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6"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10-K</w:t>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4100" w:right="2860" w:hanging="4083"/>
        <w:spacing w:after="0" w:line="306" w:lineRule="auto"/>
        <w:tabs>
          <w:tab w:leader="none" w:pos="468"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41" w:lineRule="exact"/>
        <w:rPr>
          <w:sz w:val="24"/>
          <w:szCs w:val="24"/>
          <w:color w:val="auto"/>
        </w:rPr>
      </w:pPr>
    </w:p>
    <w:p>
      <w:pPr>
        <w:ind w:left="460" w:right="140" w:hanging="443"/>
        <w:spacing w:after="0" w:line="290" w:lineRule="auto"/>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001-39897</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SARCOS TECHNOLOGY AND ROBOTICS CORPORATION</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720" w:type="dxa"/>
            <w:vAlign w:val="bottom"/>
            <w:vMerge w:val="restart"/>
          </w:tcPr>
          <w:p>
            <w:pPr>
              <w:jc w:val="center"/>
              <w:ind w:left="1833"/>
              <w:spacing w:after="0"/>
              <w:rPr>
                <w:sz w:val="20"/>
                <w:szCs w:val="20"/>
                <w:color w:val="auto"/>
              </w:rPr>
            </w:pPr>
            <w:r>
              <w:rPr>
                <w:rFonts w:ascii="Arial" w:cs="Arial" w:eastAsia="Arial" w:hAnsi="Arial"/>
                <w:sz w:val="14"/>
                <w:szCs w:val="14"/>
                <w:b w:val="1"/>
                <w:bCs w:val="1"/>
                <w:color w:val="auto"/>
                <w:w w:val="94"/>
              </w:rPr>
              <w:t>Delaware</w:t>
            </w:r>
          </w:p>
        </w:tc>
        <w:tc>
          <w:tcPr>
            <w:tcW w:w="3880" w:type="dxa"/>
            <w:vAlign w:val="bottom"/>
            <w:gridSpan w:val="5"/>
          </w:tcPr>
          <w:p>
            <w:pPr>
              <w:ind w:left="100"/>
              <w:spacing w:after="0"/>
              <w:rPr>
                <w:sz w:val="20"/>
                <w:szCs w:val="20"/>
                <w:color w:val="auto"/>
              </w:rPr>
            </w:pPr>
            <w:r>
              <w:rPr>
                <w:rFonts w:ascii="Arial" w:cs="Arial" w:eastAsia="Arial" w:hAnsi="Arial"/>
                <w:sz w:val="16"/>
                <w:szCs w:val="16"/>
                <w:b w:val="1"/>
                <w:bCs w:val="1"/>
                <w:color w:val="auto"/>
                <w:w w:val="95"/>
              </w:rPr>
              <w:t>(Exact name of registrant as specified in its charter)</w:t>
            </w:r>
          </w:p>
        </w:tc>
        <w:tc>
          <w:tcPr>
            <w:tcW w:w="3640" w:type="dxa"/>
            <w:vAlign w:val="bottom"/>
            <w:vMerge w:val="restart"/>
          </w:tcPr>
          <w:p>
            <w:pPr>
              <w:jc w:val="center"/>
              <w:ind w:right="1913"/>
              <w:spacing w:after="0"/>
              <w:rPr>
                <w:sz w:val="20"/>
                <w:szCs w:val="20"/>
                <w:color w:val="auto"/>
              </w:rPr>
            </w:pPr>
            <w:r>
              <w:rPr>
                <w:rFonts w:ascii="Arial" w:cs="Arial" w:eastAsia="Arial" w:hAnsi="Arial"/>
                <w:sz w:val="14"/>
                <w:szCs w:val="14"/>
                <w:b w:val="1"/>
                <w:bCs w:val="1"/>
                <w:color w:val="auto"/>
                <w:w w:val="93"/>
              </w:rPr>
              <w:t>85-2838301</w:t>
            </w:r>
          </w:p>
        </w:tc>
        <w:tc>
          <w:tcPr>
            <w:tcW w:w="0" w:type="dxa"/>
            <w:vAlign w:val="bottom"/>
          </w:tcPr>
          <w:p>
            <w:pPr>
              <w:spacing w:after="0"/>
              <w:rPr>
                <w:sz w:val="1"/>
                <w:szCs w:val="1"/>
                <w:color w:val="auto"/>
              </w:rPr>
            </w:pPr>
          </w:p>
        </w:tc>
      </w:tr>
      <w:tr>
        <w:trPr>
          <w:trHeight w:val="118"/>
        </w:trPr>
        <w:tc>
          <w:tcPr>
            <w:tcW w:w="37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20" w:type="dxa"/>
            <w:vAlign w:val="bottom"/>
          </w:tcPr>
          <w:p>
            <w:pPr>
              <w:jc w:val="center"/>
              <w:ind w:left="183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40" w:type="dxa"/>
            <w:vAlign w:val="bottom"/>
          </w:tcPr>
          <w:p>
            <w:pPr>
              <w:jc w:val="center"/>
              <w:ind w:right="1913"/>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3720" w:type="dxa"/>
            <w:vAlign w:val="bottom"/>
          </w:tcPr>
          <w:p>
            <w:pPr>
              <w:jc w:val="center"/>
              <w:ind w:left="1853"/>
              <w:spacing w:after="0"/>
              <w:rPr>
                <w:sz w:val="20"/>
                <w:szCs w:val="20"/>
                <w:color w:val="auto"/>
              </w:rPr>
            </w:pPr>
            <w:r>
              <w:rPr>
                <w:rFonts w:ascii="Arial" w:cs="Arial" w:eastAsia="Arial" w:hAnsi="Arial"/>
                <w:sz w:val="13"/>
                <w:szCs w:val="13"/>
                <w:b w:val="1"/>
                <w:bCs w:val="1"/>
                <w:color w:val="auto"/>
                <w:w w:val="88"/>
              </w:rPr>
              <w:t>incorporation or organization)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3"/>
            <w:vMerge w:val="restart"/>
          </w:tcPr>
          <w:p>
            <w:pPr>
              <w:jc w:val="center"/>
              <w:ind w:right="880"/>
              <w:spacing w:after="0"/>
              <w:rPr>
                <w:sz w:val="20"/>
                <w:szCs w:val="20"/>
                <w:color w:val="auto"/>
              </w:rPr>
            </w:pPr>
            <w:r>
              <w:rPr>
                <w:rFonts w:ascii="Arial" w:cs="Arial" w:eastAsia="Arial" w:hAnsi="Arial"/>
                <w:sz w:val="14"/>
                <w:szCs w:val="14"/>
                <w:b w:val="1"/>
                <w:bCs w:val="1"/>
                <w:color w:val="auto"/>
                <w:w w:val="91"/>
              </w:rPr>
              <w:t>650 South 500 West, Suite 150</w:t>
            </w:r>
          </w:p>
        </w:tc>
        <w:tc>
          <w:tcPr>
            <w:tcW w:w="3640" w:type="dxa"/>
            <w:vAlign w:val="bottom"/>
          </w:tcPr>
          <w:p>
            <w:pPr>
              <w:jc w:val="center"/>
              <w:ind w:right="1913"/>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55"/>
        </w:trPr>
        <w:tc>
          <w:tcPr>
            <w:tcW w:w="3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3"/>
            <w:vMerge w:val="continue"/>
          </w:tcPr>
          <w:p>
            <w:pPr>
              <w:spacing w:after="0"/>
              <w:rPr>
                <w:sz w:val="13"/>
                <w:szCs w:val="13"/>
                <w:color w:val="auto"/>
              </w:rPr>
            </w:pPr>
          </w:p>
        </w:tc>
        <w:tc>
          <w:tcPr>
            <w:tcW w:w="3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5"/>
              </w:rPr>
              <w:t>Salt Lake City, Utah, 84101</w:t>
            </w: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3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3"/>
              </w:rPr>
              <w:t>(888) 927-7296</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20" w:type="dxa"/>
            <w:vAlign w:val="bottom"/>
          </w:tcPr>
          <w:p>
            <w:pPr>
              <w:spacing w:after="0"/>
              <w:rPr>
                <w:sz w:val="16"/>
                <w:szCs w:val="16"/>
                <w:color w:val="auto"/>
              </w:rPr>
            </w:pPr>
          </w:p>
        </w:tc>
        <w:tc>
          <w:tcPr>
            <w:tcW w:w="38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3880" w:type="dxa"/>
            <w:vAlign w:val="bottom"/>
            <w:gridSpan w:val="5"/>
          </w:tcPr>
          <w:p>
            <w:pPr>
              <w:jc w:val="center"/>
              <w:ind w:right="80"/>
              <w:spacing w:after="0"/>
              <w:rPr>
                <w:sz w:val="20"/>
                <w:szCs w:val="20"/>
                <w:color w:val="auto"/>
              </w:rPr>
            </w:pPr>
            <w:r>
              <w:rPr>
                <w:rFonts w:ascii="Arial" w:cs="Arial" w:eastAsia="Arial" w:hAnsi="Arial"/>
                <w:sz w:val="15"/>
                <w:szCs w:val="15"/>
                <w:color w:val="auto"/>
                <w:w w:val="92"/>
              </w:rPr>
              <w:t>Securities registered pursuant to Section 12(b) of the Act:</w:t>
            </w: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gridSpan w:val="3"/>
          </w:tcPr>
          <w:p>
            <w:pPr>
              <w:jc w:val="center"/>
              <w:ind w:right="860"/>
              <w:spacing w:after="0"/>
              <w:rPr>
                <w:sz w:val="20"/>
                <w:szCs w:val="20"/>
                <w:color w:val="auto"/>
              </w:rPr>
            </w:pPr>
            <w:r>
              <w:rPr>
                <w:rFonts w:ascii="Arial" w:cs="Arial" w:eastAsia="Arial" w:hAnsi="Arial"/>
                <w:sz w:val="13"/>
                <w:szCs w:val="13"/>
                <w:b w:val="1"/>
                <w:bCs w:val="1"/>
                <w:color w:val="auto"/>
                <w:w w:val="96"/>
              </w:rPr>
              <w:t>Trading</w:t>
            </w: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20" w:type="dxa"/>
            <w:vAlign w:val="bottom"/>
          </w:tcPr>
          <w:p>
            <w:pPr>
              <w:jc w:val="center"/>
              <w:ind w:left="613"/>
              <w:spacing w:after="0"/>
              <w:rPr>
                <w:sz w:val="20"/>
                <w:szCs w:val="20"/>
                <w:color w:val="auto"/>
              </w:rPr>
            </w:pPr>
            <w:r>
              <w:rPr>
                <w:rFonts w:ascii="Arial" w:cs="Arial" w:eastAsia="Arial" w:hAnsi="Arial"/>
                <w:sz w:val="13"/>
                <w:szCs w:val="13"/>
                <w:b w:val="1"/>
                <w:bCs w:val="1"/>
                <w:color w:val="auto"/>
                <w:w w:val="89"/>
              </w:rPr>
              <w:t>Title of each class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3"/>
          </w:tcPr>
          <w:p>
            <w:pPr>
              <w:jc w:val="center"/>
              <w:ind w:right="860"/>
              <w:spacing w:after="0"/>
              <w:rPr>
                <w:sz w:val="20"/>
                <w:szCs w:val="20"/>
                <w:color w:val="auto"/>
              </w:rPr>
            </w:pPr>
            <w:r>
              <w:rPr>
                <w:rFonts w:ascii="Arial" w:cs="Arial" w:eastAsia="Arial" w:hAnsi="Arial"/>
                <w:sz w:val="13"/>
                <w:szCs w:val="13"/>
                <w:b w:val="1"/>
                <w:bCs w:val="1"/>
                <w:color w:val="auto"/>
                <w:w w:val="92"/>
              </w:rPr>
              <w:t>Symbol(s)</w:t>
            </w:r>
          </w:p>
        </w:tc>
        <w:tc>
          <w:tcPr>
            <w:tcW w:w="3640" w:type="dxa"/>
            <w:vAlign w:val="bottom"/>
          </w:tcPr>
          <w:p>
            <w:pPr>
              <w:jc w:val="center"/>
              <w:ind w:right="673"/>
              <w:spacing w:after="0"/>
              <w:rPr>
                <w:sz w:val="20"/>
                <w:szCs w:val="20"/>
                <w:color w:val="auto"/>
              </w:rPr>
            </w:pPr>
            <w:r>
              <w:rPr>
                <w:rFonts w:ascii="Arial" w:cs="Arial" w:eastAsia="Arial" w:hAnsi="Arial"/>
                <w:sz w:val="13"/>
                <w:szCs w:val="13"/>
                <w:b w:val="1"/>
                <w:bCs w:val="1"/>
                <w:color w:val="auto"/>
                <w:w w:val="91"/>
              </w:rPr>
              <w:t>Name of each exchange on which registered</w:t>
            </w:r>
          </w:p>
        </w:tc>
        <w:tc>
          <w:tcPr>
            <w:tcW w:w="0" w:type="dxa"/>
            <w:vAlign w:val="bottom"/>
          </w:tcPr>
          <w:p>
            <w:pPr>
              <w:spacing w:after="0"/>
              <w:rPr>
                <w:sz w:val="1"/>
                <w:szCs w:val="1"/>
                <w:color w:val="auto"/>
              </w:rPr>
            </w:pPr>
          </w:p>
        </w:tc>
      </w:tr>
      <w:tr>
        <w:trPr>
          <w:trHeight w:val="166"/>
        </w:trPr>
        <w:tc>
          <w:tcPr>
            <w:tcW w:w="3720" w:type="dxa"/>
            <w:vAlign w:val="bottom"/>
            <w:tcBorders>
              <w:top w:val="single" w:sz="8" w:color="auto"/>
            </w:tcBorders>
          </w:tcPr>
          <w:p>
            <w:pPr>
              <w:jc w:val="center"/>
              <w:ind w:left="613"/>
              <w:spacing w:after="0"/>
              <w:rPr>
                <w:sz w:val="20"/>
                <w:szCs w:val="20"/>
                <w:color w:val="auto"/>
              </w:rPr>
            </w:pPr>
            <w:r>
              <w:rPr>
                <w:rFonts w:ascii="Arial" w:cs="Arial" w:eastAsia="Arial" w:hAnsi="Arial"/>
                <w:sz w:val="13"/>
                <w:szCs w:val="13"/>
                <w:color w:val="auto"/>
                <w:w w:val="92"/>
              </w:rPr>
              <w:t>Common Stock, $0.0001 par value per share</w:t>
            </w: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5"/>
              </w:rPr>
              <w:t>STRC</w:t>
            </w: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640" w:type="dxa"/>
            <w:vAlign w:val="bottom"/>
            <w:tcBorders>
              <w:top w:val="single" w:sz="8" w:color="auto"/>
            </w:tcBorders>
          </w:tcPr>
          <w:p>
            <w:pPr>
              <w:jc w:val="center"/>
              <w:ind w:right="673"/>
              <w:spacing w:after="0"/>
              <w:rPr>
                <w:sz w:val="20"/>
                <w:szCs w:val="20"/>
                <w:color w:val="auto"/>
              </w:rPr>
            </w:pPr>
            <w:r>
              <w:rPr>
                <w:rFonts w:ascii="Arial" w:cs="Arial" w:eastAsia="Arial" w:hAnsi="Arial"/>
                <w:sz w:val="13"/>
                <w:szCs w:val="13"/>
                <w:color w:val="auto"/>
                <w:w w:val="95"/>
              </w:rPr>
              <w:t>The Nasdaq Stock Market LLC</w:t>
            </w:r>
          </w:p>
        </w:tc>
        <w:tc>
          <w:tcPr>
            <w:tcW w:w="0" w:type="dxa"/>
            <w:vAlign w:val="bottom"/>
          </w:tcPr>
          <w:p>
            <w:pPr>
              <w:spacing w:after="0"/>
              <w:rPr>
                <w:sz w:val="1"/>
                <w:szCs w:val="1"/>
                <w:color w:val="auto"/>
              </w:rPr>
            </w:pPr>
          </w:p>
        </w:tc>
      </w:tr>
      <w:tr>
        <w:trPr>
          <w:trHeight w:val="262"/>
        </w:trPr>
        <w:tc>
          <w:tcPr>
            <w:tcW w:w="4400" w:type="dxa"/>
            <w:vAlign w:val="bottom"/>
            <w:gridSpan w:val="2"/>
          </w:tcPr>
          <w:p>
            <w:pPr>
              <w:jc w:val="center"/>
              <w:spacing w:after="0"/>
              <w:rPr>
                <w:sz w:val="20"/>
                <w:szCs w:val="20"/>
                <w:color w:val="auto"/>
              </w:rPr>
            </w:pPr>
            <w:r>
              <w:rPr>
                <w:rFonts w:ascii="Arial" w:cs="Arial" w:eastAsia="Arial" w:hAnsi="Arial"/>
                <w:sz w:val="13"/>
                <w:szCs w:val="13"/>
                <w:color w:val="auto"/>
                <w:w w:val="92"/>
              </w:rPr>
              <w:t>Redeemable warrants, exercisable for shares of Common Stock at an exercise</w:t>
            </w:r>
          </w:p>
        </w:tc>
        <w:tc>
          <w:tcPr>
            <w:tcW w:w="120" w:type="dxa"/>
            <w:vAlign w:val="bottom"/>
          </w:tcPr>
          <w:p>
            <w:pPr>
              <w:spacing w:after="0"/>
              <w:rPr>
                <w:sz w:val="22"/>
                <w:szCs w:val="22"/>
                <w:color w:val="auto"/>
              </w:rPr>
            </w:pPr>
          </w:p>
        </w:tc>
        <w:tc>
          <w:tcPr>
            <w:tcW w:w="3080" w:type="dxa"/>
            <w:vAlign w:val="bottom"/>
            <w:gridSpan w:val="3"/>
            <w:vMerge w:val="restart"/>
          </w:tcPr>
          <w:p>
            <w:pPr>
              <w:jc w:val="center"/>
              <w:ind w:right="840"/>
              <w:spacing w:after="0"/>
              <w:rPr>
                <w:sz w:val="20"/>
                <w:szCs w:val="20"/>
                <w:color w:val="auto"/>
              </w:rPr>
            </w:pPr>
            <w:r>
              <w:rPr>
                <w:rFonts w:ascii="Arial" w:cs="Arial" w:eastAsia="Arial" w:hAnsi="Arial"/>
                <w:sz w:val="13"/>
                <w:szCs w:val="13"/>
                <w:color w:val="auto"/>
              </w:rPr>
              <w:t>STRCW</w:t>
            </w:r>
          </w:p>
        </w:tc>
        <w:tc>
          <w:tcPr>
            <w:tcW w:w="3640" w:type="dxa"/>
            <w:vAlign w:val="bottom"/>
          </w:tcPr>
          <w:p>
            <w:pPr>
              <w:jc w:val="center"/>
              <w:ind w:right="673"/>
              <w:spacing w:after="0"/>
              <w:rPr>
                <w:sz w:val="20"/>
                <w:szCs w:val="20"/>
                <w:color w:val="auto"/>
              </w:rPr>
            </w:pPr>
            <w:r>
              <w:rPr>
                <w:rFonts w:ascii="Arial" w:cs="Arial" w:eastAsia="Arial" w:hAnsi="Arial"/>
                <w:sz w:val="13"/>
                <w:szCs w:val="13"/>
                <w:color w:val="auto"/>
                <w:w w:val="95"/>
              </w:rPr>
              <w:t>The Nasdaq Stock Market LLC</w:t>
            </w:r>
          </w:p>
        </w:tc>
        <w:tc>
          <w:tcPr>
            <w:tcW w:w="0" w:type="dxa"/>
            <w:vAlign w:val="bottom"/>
          </w:tcPr>
          <w:p>
            <w:pPr>
              <w:spacing w:after="0"/>
              <w:rPr>
                <w:sz w:val="1"/>
                <w:szCs w:val="1"/>
                <w:color w:val="auto"/>
              </w:rPr>
            </w:pPr>
          </w:p>
        </w:tc>
      </w:tr>
      <w:tr>
        <w:trPr>
          <w:trHeight w:val="91"/>
        </w:trPr>
        <w:tc>
          <w:tcPr>
            <w:tcW w:w="3720" w:type="dxa"/>
            <w:vAlign w:val="bottom"/>
            <w:vMerge w:val="restart"/>
          </w:tcPr>
          <w:p>
            <w:pPr>
              <w:jc w:val="center"/>
              <w:ind w:left="633"/>
              <w:spacing w:after="0"/>
              <w:rPr>
                <w:sz w:val="20"/>
                <w:szCs w:val="20"/>
                <w:color w:val="auto"/>
              </w:rPr>
            </w:pPr>
            <w:r>
              <w:rPr>
                <w:rFonts w:ascii="Arial" w:cs="Arial" w:eastAsia="Arial" w:hAnsi="Arial"/>
                <w:sz w:val="13"/>
                <w:szCs w:val="13"/>
                <w:color w:val="auto"/>
                <w:w w:val="92"/>
              </w:rPr>
              <w:t>price of $11.50 per share</w:t>
            </w: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80" w:type="dxa"/>
            <w:vAlign w:val="bottom"/>
            <w:gridSpan w:val="3"/>
            <w:vMerge w:val="continue"/>
          </w:tcPr>
          <w:p>
            <w:pPr>
              <w:spacing w:after="0"/>
              <w:rPr>
                <w:sz w:val="7"/>
                <w:szCs w:val="7"/>
                <w:color w:val="auto"/>
              </w:rPr>
            </w:pPr>
          </w:p>
        </w:tc>
        <w:tc>
          <w:tcPr>
            <w:tcW w:w="3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7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57" w:lineRule="exact"/>
        <w:rPr>
          <w:sz w:val="24"/>
          <w:szCs w:val="24"/>
          <w:color w:val="auto"/>
        </w:rPr>
      </w:pPr>
    </w:p>
    <w:p>
      <w:pPr>
        <w:ind w:right="3940"/>
        <w:spacing w:after="0" w:line="214"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 </w:t>
      </w:r>
      <w:r>
        <w:rPr>
          <w:rFonts w:ascii="Arial Unicode MS" w:cs="Arial Unicode MS" w:eastAsia="Arial Unicode MS" w:hAnsi="Arial Unicode MS"/>
          <w:sz w:val="12"/>
          <w:szCs w:val="12"/>
          <w:color w:val="auto"/>
        </w:rPr>
        <w:t>☒</w:t>
      </w:r>
    </w:p>
    <w:p>
      <w:pPr>
        <w:spacing w:after="0" w:line="31" w:lineRule="exact"/>
        <w:rPr>
          <w:sz w:val="24"/>
          <w:szCs w:val="24"/>
          <w:color w:val="auto"/>
        </w:rPr>
      </w:pPr>
    </w:p>
    <w:p>
      <w:pPr>
        <w:spacing w:after="0" w:line="16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4" w:lineRule="exact"/>
        <w:rPr>
          <w:sz w:val="24"/>
          <w:szCs w:val="24"/>
          <w:color w:val="auto"/>
        </w:rPr>
      </w:pPr>
    </w:p>
    <w:p>
      <w:pPr>
        <w:spacing w:after="0" w:line="168"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0" w:lineRule="exact"/>
        <w:rPr>
          <w:sz w:val="24"/>
          <w:szCs w:val="24"/>
          <w:color w:val="auto"/>
        </w:rPr>
      </w:pPr>
    </w:p>
    <w:p>
      <w:pPr>
        <w:spacing w:after="0" w:line="24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71"/>
        </w:trPr>
        <w:tc>
          <w:tcPr>
            <w:tcW w:w="16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40" w:type="dxa"/>
            <w:vAlign w:val="bottom"/>
          </w:tcPr>
          <w:p>
            <w:pPr>
              <w:ind w:left="440"/>
              <w:spacing w:after="0" w:line="170" w:lineRule="exact"/>
              <w:rPr>
                <w:sz w:val="20"/>
                <w:szCs w:val="20"/>
                <w:color w:val="auto"/>
              </w:rPr>
            </w:pPr>
            <w:r>
              <w:rPr>
                <w:rFonts w:ascii="Arial Unicode MS" w:cs="Arial Unicode MS" w:eastAsia="Arial Unicode MS" w:hAnsi="Arial Unicode MS"/>
                <w:sz w:val="13"/>
                <w:szCs w:val="13"/>
                <w:color w:val="auto"/>
              </w:rPr>
              <w:t>☐</w:t>
            </w:r>
          </w:p>
        </w:tc>
        <w:tc>
          <w:tcPr>
            <w:tcW w:w="5160" w:type="dxa"/>
            <w:vAlign w:val="bottom"/>
          </w:tcPr>
          <w:p>
            <w:pPr>
              <w:ind w:left="3000"/>
              <w:spacing w:after="0"/>
              <w:rPr>
                <w:sz w:val="20"/>
                <w:szCs w:val="20"/>
                <w:color w:val="auto"/>
              </w:rPr>
            </w:pPr>
            <w:r>
              <w:rPr>
                <w:rFonts w:ascii="Arial" w:cs="Arial" w:eastAsia="Arial" w:hAnsi="Arial"/>
                <w:sz w:val="13"/>
                <w:szCs w:val="13"/>
                <w:color w:val="auto"/>
              </w:rPr>
              <w:t>Accelerated filer</w:t>
            </w:r>
          </w:p>
        </w:tc>
        <w:tc>
          <w:tcPr>
            <w:tcW w:w="820" w:type="dxa"/>
            <w:vAlign w:val="bottom"/>
          </w:tcPr>
          <w:p>
            <w:pPr>
              <w:ind w:left="700"/>
              <w:spacing w:after="0" w:line="170" w:lineRule="exact"/>
              <w:rPr>
                <w:sz w:val="20"/>
                <w:szCs w:val="20"/>
                <w:color w:val="auto"/>
              </w:rPr>
            </w:pPr>
            <w:r>
              <w:rPr>
                <w:rFonts w:ascii="Arial Unicode MS" w:cs="Arial Unicode MS" w:eastAsia="Arial Unicode MS" w:hAnsi="Arial Unicode MS"/>
                <w:sz w:val="13"/>
                <w:szCs w:val="13"/>
                <w:color w:val="auto"/>
              </w:rPr>
              <w:t>☐</w:t>
            </w:r>
          </w:p>
        </w:tc>
      </w:tr>
      <w:tr>
        <w:trPr>
          <w:trHeight w:val="162"/>
        </w:trPr>
        <w:tc>
          <w:tcPr>
            <w:tcW w:w="1640" w:type="dxa"/>
            <w:vAlign w:val="bottom"/>
          </w:tcPr>
          <w:p>
            <w:pPr>
              <w:spacing w:after="0"/>
              <w:rPr>
                <w:sz w:val="20"/>
                <w:szCs w:val="20"/>
                <w:color w:val="auto"/>
              </w:rPr>
            </w:pPr>
            <w:r>
              <w:rPr>
                <w:rFonts w:ascii="Arial" w:cs="Arial" w:eastAsia="Arial" w:hAnsi="Arial"/>
                <w:sz w:val="13"/>
                <w:szCs w:val="13"/>
                <w:color w:val="auto"/>
              </w:rPr>
              <w:t>Non-accelerated filer</w:t>
            </w:r>
          </w:p>
        </w:tc>
        <w:tc>
          <w:tcPr>
            <w:tcW w:w="3540" w:type="dxa"/>
            <w:vAlign w:val="bottom"/>
          </w:tcPr>
          <w:p>
            <w:pPr>
              <w:ind w:left="440"/>
              <w:spacing w:after="0" w:line="162" w:lineRule="exact"/>
              <w:rPr>
                <w:sz w:val="20"/>
                <w:szCs w:val="20"/>
                <w:color w:val="auto"/>
              </w:rPr>
            </w:pPr>
            <w:r>
              <w:rPr>
                <w:rFonts w:ascii="Arial Unicode MS" w:cs="Arial Unicode MS" w:eastAsia="Arial Unicode MS" w:hAnsi="Arial Unicode MS"/>
                <w:sz w:val="13"/>
                <w:szCs w:val="13"/>
                <w:color w:val="auto"/>
              </w:rPr>
              <w:t>☒</w:t>
            </w:r>
          </w:p>
        </w:tc>
        <w:tc>
          <w:tcPr>
            <w:tcW w:w="5160" w:type="dxa"/>
            <w:vAlign w:val="bottom"/>
          </w:tcPr>
          <w:p>
            <w:pPr>
              <w:ind w:left="3000"/>
              <w:spacing w:after="0"/>
              <w:rPr>
                <w:sz w:val="20"/>
                <w:szCs w:val="20"/>
                <w:color w:val="auto"/>
              </w:rPr>
            </w:pPr>
            <w:r>
              <w:rPr>
                <w:rFonts w:ascii="Arial" w:cs="Arial" w:eastAsia="Arial" w:hAnsi="Arial"/>
                <w:sz w:val="13"/>
                <w:szCs w:val="13"/>
                <w:color w:val="auto"/>
              </w:rPr>
              <w:t>Smaller reporting company</w:t>
            </w:r>
          </w:p>
        </w:tc>
        <w:tc>
          <w:tcPr>
            <w:tcW w:w="820" w:type="dxa"/>
            <w:vAlign w:val="bottom"/>
          </w:tcPr>
          <w:p>
            <w:pPr>
              <w:ind w:left="700"/>
              <w:spacing w:after="0" w:line="162" w:lineRule="exact"/>
              <w:rPr>
                <w:sz w:val="20"/>
                <w:szCs w:val="20"/>
                <w:color w:val="auto"/>
              </w:rPr>
            </w:pPr>
            <w:r>
              <w:rPr>
                <w:rFonts w:ascii="Arial Unicode MS" w:cs="Arial Unicode MS" w:eastAsia="Arial Unicode MS" w:hAnsi="Arial Unicode MS"/>
                <w:sz w:val="13"/>
                <w:szCs w:val="13"/>
                <w:color w:val="auto"/>
              </w:rPr>
              <w:t>☒</w:t>
            </w:r>
          </w:p>
        </w:tc>
      </w:tr>
      <w:tr>
        <w:trPr>
          <w:trHeight w:val="211"/>
        </w:trPr>
        <w:tc>
          <w:tcPr>
            <w:tcW w:w="16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160" w:type="dxa"/>
            <w:vAlign w:val="bottom"/>
          </w:tcPr>
          <w:p>
            <w:pPr>
              <w:ind w:left="3000"/>
              <w:spacing w:after="0"/>
              <w:rPr>
                <w:sz w:val="20"/>
                <w:szCs w:val="20"/>
                <w:color w:val="auto"/>
              </w:rPr>
            </w:pPr>
            <w:r>
              <w:rPr>
                <w:rFonts w:ascii="Arial" w:cs="Arial" w:eastAsia="Arial" w:hAnsi="Arial"/>
                <w:sz w:val="13"/>
                <w:szCs w:val="13"/>
                <w:color w:val="auto"/>
              </w:rPr>
              <w:t>Emerging growth company</w:t>
            </w:r>
          </w:p>
        </w:tc>
        <w:tc>
          <w:tcPr>
            <w:tcW w:w="820" w:type="dxa"/>
            <w:vAlign w:val="bottom"/>
          </w:tcPr>
          <w:p>
            <w:pPr>
              <w:ind w:left="70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30" w:lineRule="exact"/>
        <w:rPr>
          <w:sz w:val="24"/>
          <w:szCs w:val="24"/>
          <w:color w:val="auto"/>
        </w:rPr>
      </w:pPr>
    </w:p>
    <w:p>
      <w:pPr>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44" w:lineRule="exact"/>
        <w:rPr>
          <w:sz w:val="24"/>
          <w:szCs w:val="24"/>
          <w:color w:val="auto"/>
        </w:rPr>
      </w:pPr>
    </w:p>
    <w:p>
      <w:pPr>
        <w:spacing w:after="0" w:line="168"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30" w:lineRule="exact"/>
        <w:rPr>
          <w:sz w:val="24"/>
          <w:szCs w:val="24"/>
          <w:color w:val="auto"/>
        </w:rPr>
      </w:pPr>
    </w:p>
    <w:p>
      <w:pPr>
        <w:spacing w:after="0" w:line="168" w:lineRule="exact"/>
        <w:rPr>
          <w:sz w:val="20"/>
          <w:szCs w:val="20"/>
          <w:color w:val="auto"/>
        </w:rPr>
      </w:pPr>
      <w:r>
        <w:rPr>
          <w:rFonts w:ascii="Arial" w:cs="Arial" w:eastAsia="Arial" w:hAnsi="Arial"/>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w:t>
      </w:r>
      <w:r>
        <w:rPr>
          <w:rFonts w:ascii="Arial" w:cs="Arial" w:eastAsia="Arial" w:hAnsi="Arial"/>
          <w:sz w:val="13"/>
          <w:szCs w:val="13"/>
          <w:color w:val="231F20"/>
        </w:rPr>
        <w:t>s.</w:t>
      </w:r>
      <w:r>
        <w:rPr>
          <w:rFonts w:ascii="Arial" w:cs="Arial" w:eastAsia="Arial" w:hAnsi="Arial"/>
          <w:sz w:val="13"/>
          <w:szCs w:val="13"/>
          <w:color w:val="auto"/>
        </w:rPr>
        <w:t xml:space="preserve"> </w:t>
      </w:r>
      <w:r>
        <w:rPr>
          <w:rFonts w:ascii="Arial Unicode MS" w:cs="Arial Unicode MS" w:eastAsia="Arial Unicode MS" w:hAnsi="Arial Unicode MS"/>
          <w:sz w:val="13"/>
          <w:szCs w:val="13"/>
          <w:color w:val="auto"/>
        </w:rPr>
        <w:t>☐</w:t>
      </w:r>
    </w:p>
    <w:p>
      <w:pPr>
        <w:spacing w:after="0" w:line="5" w:lineRule="exact"/>
        <w:rPr>
          <w:sz w:val="24"/>
          <w:szCs w:val="24"/>
          <w:color w:val="auto"/>
        </w:rPr>
      </w:pPr>
    </w:p>
    <w:p>
      <w:pPr>
        <w:ind w:right="120"/>
        <w:spacing w:after="0" w:line="180" w:lineRule="exact"/>
        <w:rPr>
          <w:sz w:val="20"/>
          <w:szCs w:val="20"/>
          <w:color w:val="auto"/>
        </w:rPr>
      </w:pPr>
      <w:r>
        <w:rPr>
          <w:rFonts w:ascii="Arial" w:cs="Arial" w:eastAsia="Arial" w:hAnsi="Arial"/>
          <w:sz w:val="13"/>
          <w:szCs w:val="13"/>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231F20"/>
        </w:rPr>
        <w:t>ﬃ</w:t>
      </w:r>
      <w:r>
        <w:rPr>
          <w:rFonts w:ascii="Arial" w:cs="Arial" w:eastAsia="Arial" w:hAnsi="Arial"/>
          <w:sz w:val="13"/>
          <w:szCs w:val="13"/>
          <w:color w:val="231F20"/>
        </w:rPr>
        <w:t xml:space="preserve">cers during the relevant recovery period pursuant to §240.10D-1(b). </w:t>
      </w:r>
      <w:r>
        <w:rPr>
          <w:rFonts w:ascii="Arial Unicode MS" w:cs="Arial Unicode MS" w:eastAsia="Arial Unicode MS" w:hAnsi="Arial Unicode MS"/>
          <w:sz w:val="13"/>
          <w:szCs w:val="13"/>
          <w:color w:val="000000"/>
        </w:rPr>
        <w:t>☐</w:t>
      </w:r>
    </w:p>
    <w:p>
      <w:pPr>
        <w:spacing w:after="0" w:line="19"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67" w:lineRule="exact"/>
        <w:rPr>
          <w:sz w:val="24"/>
          <w:szCs w:val="24"/>
          <w:color w:val="auto"/>
        </w:rPr>
      </w:pPr>
    </w:p>
    <w:p>
      <w:pPr>
        <w:ind w:right="20"/>
        <w:spacing w:after="0" w:line="274" w:lineRule="auto"/>
        <w:rPr>
          <w:sz w:val="20"/>
          <w:szCs w:val="20"/>
          <w:color w:val="auto"/>
        </w:rPr>
      </w:pPr>
      <w:r>
        <w:rPr>
          <w:rFonts w:ascii="Arial" w:cs="Arial" w:eastAsia="Arial" w:hAnsi="Arial"/>
          <w:sz w:val="13"/>
          <w:szCs w:val="13"/>
          <w:color w:val="auto"/>
        </w:rPr>
        <w:t>As of June 30, 2022, the last day of the registrant’s most recently completed second fiscal quarter, the aggregate market value of the voting and non-voting common equity held by non-affiliates of the registrant, based on the closing price of the shares of common stock on the New York Stock Exchange, was approximately $331.8 million.</w:t>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color w:val="auto"/>
        </w:rPr>
        <w:t>As of March 1, 2023 the registrant had 154.3 million shares of Common Stock, $0.0001 par value per share, outstanding.</w:t>
      </w:r>
    </w:p>
    <w:p>
      <w:pPr>
        <w:spacing w:after="0" w:line="65" w:lineRule="exact"/>
        <w:rPr>
          <w:sz w:val="24"/>
          <w:szCs w:val="24"/>
          <w:color w:val="auto"/>
        </w:rPr>
      </w:pPr>
    </w:p>
    <w:p>
      <w:pPr>
        <w:ind w:left="40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3" w:lineRule="exact"/>
        <w:rPr>
          <w:sz w:val="24"/>
          <w:szCs w:val="24"/>
          <w:color w:val="auto"/>
        </w:rPr>
      </w:pPr>
    </w:p>
    <w:p>
      <w:pPr>
        <w:spacing w:after="0" w:line="244" w:lineRule="auto"/>
        <w:rPr>
          <w:sz w:val="20"/>
          <w:szCs w:val="20"/>
          <w:color w:val="auto"/>
        </w:rPr>
      </w:pPr>
      <w:r>
        <w:rPr>
          <w:rFonts w:ascii="Arial" w:cs="Arial" w:eastAsia="Arial" w:hAnsi="Arial"/>
          <w:sz w:val="13"/>
          <w:szCs w:val="13"/>
          <w:color w:val="auto"/>
        </w:rPr>
        <w:t>Portions of the registrant’s definitive Proxy Statement to be filed with the Securities and Exchange Commission in connection with the registrant’s 2023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2022. Except with respect to information specifically incorporated by reference,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0000FF"/>
                <w:w w:val="94"/>
              </w:rPr>
              <w:t>PART I</w:t>
            </w:r>
          </w:p>
        </w:tc>
        <w:tc>
          <w:tcPr>
            <w:tcW w:w="58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580" w:type="dxa"/>
            <w:vAlign w:val="bottom"/>
            <w:tcBorders>
              <w:bottom w:val="single" w:sz="8" w:color="0000FF"/>
            </w:tcBorders>
            <w:vMerge w:val="continue"/>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1.</w:t>
            </w:r>
          </w:p>
        </w:tc>
        <w:tc>
          <w:tcPr>
            <w:tcW w:w="9280" w:type="dxa"/>
            <w:vAlign w:val="bottom"/>
            <w:gridSpan w:val="21"/>
          </w:tcPr>
          <w:p>
            <w:pPr>
              <w:spacing w:after="0"/>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1A.</w:t>
            </w:r>
          </w:p>
        </w:tc>
        <w:tc>
          <w:tcPr>
            <w:tcW w:w="928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1B.</w:t>
            </w:r>
          </w:p>
        </w:tc>
        <w:tc>
          <w:tcPr>
            <w:tcW w:w="9280" w:type="dxa"/>
            <w:vAlign w:val="bottom"/>
            <w:gridSpan w:val="21"/>
          </w:tcPr>
          <w:p>
            <w:pPr>
              <w:spacing w:after="0"/>
              <w:rPr>
                <w:sz w:val="20"/>
                <w:szCs w:val="20"/>
                <w:color w:val="auto"/>
              </w:rPr>
            </w:pPr>
            <w:r>
              <w:rPr>
                <w:rFonts w:ascii="Arial" w:cs="Arial" w:eastAsia="Arial" w:hAnsi="Arial"/>
                <w:sz w:val="18"/>
                <w:szCs w:val="18"/>
                <w:color w:val="0000FF"/>
              </w:rPr>
              <w:t>Unresolved Staff Comments</w:t>
            </w: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2.</w:t>
            </w:r>
          </w:p>
        </w:tc>
        <w:tc>
          <w:tcPr>
            <w:tcW w:w="9280" w:type="dxa"/>
            <w:vAlign w:val="bottom"/>
            <w:gridSpan w:val="21"/>
          </w:tcPr>
          <w:p>
            <w:pPr>
              <w:spacing w:after="0"/>
              <w:rPr>
                <w:sz w:val="20"/>
                <w:szCs w:val="20"/>
                <w:color w:val="auto"/>
              </w:rPr>
            </w:pPr>
            <w:r>
              <w:rPr>
                <w:rFonts w:ascii="Arial" w:cs="Arial" w:eastAsia="Arial" w:hAnsi="Arial"/>
                <w:sz w:val="18"/>
                <w:szCs w:val="18"/>
                <w:color w:val="0000FF"/>
              </w:rPr>
              <w:t>Properties</w:t>
            </w: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3.</w:t>
            </w:r>
          </w:p>
        </w:tc>
        <w:tc>
          <w:tcPr>
            <w:tcW w:w="928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4.</w:t>
            </w:r>
          </w:p>
        </w:tc>
        <w:tc>
          <w:tcPr>
            <w:tcW w:w="928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39"/>
        </w:trPr>
        <w:tc>
          <w:tcPr>
            <w:tcW w:w="116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40" w:type="dxa"/>
            <w:vAlign w:val="bottom"/>
            <w:tcBorders>
              <w:top w:val="single" w:sz="8" w:color="0000FF"/>
            </w:tcBorders>
            <w:gridSpan w:val="2"/>
          </w:tcPr>
          <w:p>
            <w:pPr>
              <w:ind w:left="120"/>
              <w:spacing w:after="0"/>
              <w:rPr>
                <w:sz w:val="20"/>
                <w:szCs w:val="20"/>
                <w:color w:val="auto"/>
              </w:rPr>
            </w:pPr>
            <w:r>
              <w:rPr>
                <w:rFonts w:ascii="Arial" w:cs="Arial" w:eastAsia="Arial" w:hAnsi="Arial"/>
                <w:sz w:val="18"/>
                <w:szCs w:val="18"/>
                <w:color w:val="auto"/>
                <w:w w:val="90"/>
              </w:rPr>
              <w:t>Item 5.</w:t>
            </w:r>
          </w:p>
        </w:tc>
        <w:tc>
          <w:tcPr>
            <w:tcW w:w="520" w:type="dxa"/>
            <w:vAlign w:val="bottom"/>
            <w:gridSpan w:val="3"/>
          </w:tcPr>
          <w:p>
            <w:pPr>
              <w:spacing w:after="0"/>
              <w:rPr>
                <w:sz w:val="20"/>
                <w:szCs w:val="20"/>
                <w:color w:val="auto"/>
              </w:rPr>
            </w:pPr>
          </w:p>
        </w:tc>
        <w:tc>
          <w:tcPr>
            <w:tcW w:w="9280" w:type="dxa"/>
            <w:vAlign w:val="bottom"/>
            <w:gridSpan w:val="21"/>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6.</w:t>
            </w:r>
          </w:p>
        </w:tc>
        <w:tc>
          <w:tcPr>
            <w:tcW w:w="9280" w:type="dxa"/>
            <w:vAlign w:val="bottom"/>
            <w:gridSpan w:val="21"/>
          </w:tcPr>
          <w:p>
            <w:pPr>
              <w:spacing w:after="0"/>
              <w:rPr>
                <w:sz w:val="20"/>
                <w:szCs w:val="20"/>
                <w:color w:val="auto"/>
              </w:rPr>
            </w:pPr>
            <w:r>
              <w:rPr>
                <w:rFonts w:ascii="Arial" w:cs="Arial" w:eastAsia="Arial" w:hAnsi="Arial"/>
                <w:sz w:val="18"/>
                <w:szCs w:val="18"/>
                <w:color w:val="0000FF"/>
              </w:rPr>
              <w:t>[Reserved]</w:t>
            </w: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7.</w:t>
            </w:r>
          </w:p>
        </w:tc>
        <w:tc>
          <w:tcPr>
            <w:tcW w:w="928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7A.</w:t>
            </w:r>
          </w:p>
        </w:tc>
        <w:tc>
          <w:tcPr>
            <w:tcW w:w="9280" w:type="dxa"/>
            <w:vAlign w:val="bottom"/>
            <w:gridSpan w:val="2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8.</w:t>
            </w:r>
          </w:p>
        </w:tc>
        <w:tc>
          <w:tcPr>
            <w:tcW w:w="9280" w:type="dxa"/>
            <w:vAlign w:val="bottom"/>
            <w:gridSpan w:val="21"/>
          </w:tcPr>
          <w:p>
            <w:pPr>
              <w:spacing w:after="0"/>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9.</w:t>
            </w:r>
          </w:p>
        </w:tc>
        <w:tc>
          <w:tcPr>
            <w:tcW w:w="9280" w:type="dxa"/>
            <w:vAlign w:val="bottom"/>
            <w:gridSpan w:val="21"/>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9A.</w:t>
            </w:r>
          </w:p>
        </w:tc>
        <w:tc>
          <w:tcPr>
            <w:tcW w:w="928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9B.</w:t>
            </w:r>
          </w:p>
        </w:tc>
        <w:tc>
          <w:tcPr>
            <w:tcW w:w="928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9C.</w:t>
            </w:r>
          </w:p>
        </w:tc>
        <w:tc>
          <w:tcPr>
            <w:tcW w:w="9280" w:type="dxa"/>
            <w:vAlign w:val="bottom"/>
            <w:gridSpan w:val="21"/>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439"/>
        </w:trPr>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PART III</w:t>
            </w:r>
          </w:p>
        </w:tc>
        <w:tc>
          <w:tcPr>
            <w:tcW w:w="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10.</w:t>
            </w:r>
          </w:p>
        </w:tc>
        <w:tc>
          <w:tcPr>
            <w:tcW w:w="9280" w:type="dxa"/>
            <w:vAlign w:val="bottom"/>
            <w:gridSpan w:val="21"/>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11.</w:t>
            </w:r>
          </w:p>
        </w:tc>
        <w:tc>
          <w:tcPr>
            <w:tcW w:w="9280" w:type="dxa"/>
            <w:vAlign w:val="bottom"/>
            <w:gridSpan w:val="21"/>
          </w:tcPr>
          <w:p>
            <w:pPr>
              <w:spacing w:after="0"/>
              <w:rPr>
                <w:sz w:val="20"/>
                <w:szCs w:val="20"/>
                <w:color w:val="auto"/>
              </w:rPr>
            </w:pPr>
            <w:r>
              <w:rPr>
                <w:rFonts w:ascii="Arial" w:cs="Arial" w:eastAsia="Arial" w:hAnsi="Arial"/>
                <w:sz w:val="18"/>
                <w:szCs w:val="18"/>
                <w:color w:val="0000FF"/>
              </w:rPr>
              <w:t>Executive Compensation</w:t>
            </w: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12.</w:t>
            </w:r>
          </w:p>
        </w:tc>
        <w:tc>
          <w:tcPr>
            <w:tcW w:w="9280" w:type="dxa"/>
            <w:vAlign w:val="bottom"/>
            <w:gridSpan w:val="21"/>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13.</w:t>
            </w:r>
          </w:p>
        </w:tc>
        <w:tc>
          <w:tcPr>
            <w:tcW w:w="9280" w:type="dxa"/>
            <w:vAlign w:val="bottom"/>
            <w:gridSpan w:val="21"/>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14.</w:t>
            </w:r>
          </w:p>
        </w:tc>
        <w:tc>
          <w:tcPr>
            <w:tcW w:w="9280" w:type="dxa"/>
            <w:vAlign w:val="bottom"/>
            <w:gridSpan w:val="21"/>
          </w:tcPr>
          <w:p>
            <w:pPr>
              <w:spacing w:after="0"/>
              <w:rPr>
                <w:sz w:val="20"/>
                <w:szCs w:val="20"/>
                <w:color w:val="auto"/>
              </w:rPr>
            </w:pPr>
            <w:r>
              <w:rPr>
                <w:rFonts w:ascii="Arial" w:cs="Arial" w:eastAsia="Arial" w:hAnsi="Arial"/>
                <w:sz w:val="18"/>
                <w:szCs w:val="18"/>
                <w:color w:val="0000FF"/>
              </w:rPr>
              <w:t>Principal Accounting Fees and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39"/>
        </w:trPr>
        <w:tc>
          <w:tcPr>
            <w:tcW w:w="1160" w:type="dxa"/>
            <w:vAlign w:val="bottom"/>
            <w:gridSpan w:val="5"/>
          </w:tcPr>
          <w:p>
            <w:pPr>
              <w:spacing w:after="0"/>
              <w:rPr>
                <w:sz w:val="20"/>
                <w:szCs w:val="20"/>
                <w:color w:val="auto"/>
              </w:rPr>
            </w:pPr>
            <w:r>
              <w:rPr>
                <w:rFonts w:ascii="Arial" w:cs="Arial" w:eastAsia="Arial" w:hAnsi="Arial"/>
                <w:sz w:val="18"/>
                <w:szCs w:val="18"/>
                <w:b w:val="1"/>
                <w:bCs w:val="1"/>
                <w:color w:val="0000FF"/>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15.</w:t>
            </w:r>
          </w:p>
        </w:tc>
        <w:tc>
          <w:tcPr>
            <w:tcW w:w="9280" w:type="dxa"/>
            <w:vAlign w:val="bottom"/>
            <w:gridSpan w:val="21"/>
          </w:tcPr>
          <w:p>
            <w:pPr>
              <w:spacing w:after="0"/>
              <w:rPr>
                <w:sz w:val="20"/>
                <w:szCs w:val="20"/>
                <w:color w:val="auto"/>
              </w:rPr>
            </w:pPr>
            <w:r>
              <w:rPr>
                <w:rFonts w:ascii="Arial" w:cs="Arial" w:eastAsia="Arial" w:hAnsi="Arial"/>
                <w:sz w:val="18"/>
                <w:szCs w:val="18"/>
                <w:color w:val="0000FF"/>
              </w:rPr>
              <w:t>Exhibits, Financial Statement Schedules</w:t>
            </w: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5"/>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20"/>
              <w:spacing w:after="0"/>
              <w:rPr>
                <w:sz w:val="20"/>
                <w:szCs w:val="20"/>
                <w:color w:val="auto"/>
              </w:rPr>
            </w:pPr>
            <w:r>
              <w:rPr>
                <w:rFonts w:ascii="Arial" w:cs="Arial" w:eastAsia="Arial" w:hAnsi="Arial"/>
                <w:sz w:val="18"/>
                <w:szCs w:val="18"/>
                <w:color w:val="auto"/>
              </w:rPr>
              <w:t>Item 16</w:t>
            </w:r>
          </w:p>
        </w:tc>
        <w:tc>
          <w:tcPr>
            <w:tcW w:w="9280" w:type="dxa"/>
            <w:vAlign w:val="bottom"/>
            <w:gridSpan w:val="21"/>
          </w:tcPr>
          <w:p>
            <w:pPr>
              <w:spacing w:after="0"/>
              <w:rPr>
                <w:sz w:val="20"/>
                <w:szCs w:val="20"/>
                <w:color w:val="auto"/>
              </w:rPr>
            </w:pPr>
            <w:r>
              <w:rPr>
                <w:rFonts w:ascii="Arial" w:cs="Arial" w:eastAsia="Arial" w:hAnsi="Arial"/>
                <w:sz w:val="18"/>
                <w:szCs w:val="18"/>
                <w:color w:val="0000FF"/>
              </w:rPr>
              <w:t>Form 10-K Summary</w:t>
            </w: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September 24, 2021 (the “Closing Date”), Rotor Acquisition Corp. ("Rotor"), a Delaware corporation, consummated the previously announced business combination (the “Business Combination”) pursuant to the terms of the Agreement and Plan of Merger, dated as of April 5, 2021 (the “Original Merger Agreement”), by and among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Rotor. On the Closing Date, Rotor changed its name to Sarcos Technology and Robotics Corporation.</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For more information on the Business Combination, see </w:t>
      </w:r>
      <w:r>
        <w:rPr>
          <w:rFonts w:ascii="Arial" w:cs="Arial" w:eastAsia="Arial" w:hAnsi="Arial"/>
          <w:sz w:val="18"/>
          <w:szCs w:val="18"/>
          <w:i w:val="1"/>
          <w:iCs w:val="1"/>
          <w:color w:val="auto"/>
        </w:rPr>
        <w:t>Note 1, Basis of Presentation and Summary of Significant Accounting Policies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8, Reverse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in the accompanying consolidated financial statements.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References to the “Company,” "Sarcos," “we,” “us,” and “our” in this report refer to Old Sarcos before the consummation of the Business Combination and to Sarcos Technology and Robotics Corporation (together with its subsidiaries) after the consummation of the Business Combination, as the context suggests. In addition, where identified or the context clearly indicates, this Annual Report on Form 10-K contains historical information about Rotor before the Business Combination.</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Business Combination was accounted for as a reverse capitalization, with no goodwill or other intangible assets recorded, in accordance with U.S. generally accepted accounting principles ("GAAP"). Under this method of accounting, Rotor is treated as the “acquired” company for financial reporting purposes. Accordingly, for accounting purposes, the financial statements of the combined entity represent a continuation of the financial statements of Old Sarcos with the Business Combination being treated as the equivalent of Old Sarcos issuing stock for the net assets of Rotor, accompanied by a recapitalization. The net assets of Old Sarcos and Rotor are stated at historical cost, with no goodwill or other intangible assets recorded. Operations prior to the Business Combination are those of Old Sarcos.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Part I Item 1A Risk Factors of this Report. The following is a summary of the principal risks we face:</w:t>
      </w:r>
    </w:p>
    <w:p>
      <w:pPr>
        <w:spacing w:after="0" w:line="170"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an early stage company with a history of losses, and expect to incur significant expenses for the foreseeable future</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yet to achieve positive operating cash flow, and our ability to generate positive cash flow is uncertain.</w:t>
      </w:r>
    </w:p>
    <w:p>
      <w:pPr>
        <w:spacing w:after="0" w:line="22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effectively manage our growth, we may not be able to design, develop, manufacture, market and launch our robotic systems and solutions successfully.</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acquisition of RE2, Inc. is subject to numerous risks and uncertainties, including integration risks.</w:t>
      </w:r>
    </w:p>
    <w:p>
      <w:pPr>
        <w:spacing w:after="0" w:line="225"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and financial projections rely on management assumptions and analyses. If these assumptions or analyses prove to be incorrect, our actual operating results may be materially different from our forecasted results.</w:t>
      </w:r>
    </w:p>
    <w:p>
      <w:pPr>
        <w:spacing w:after="0" w:line="170"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Commercialization of our core systems and solutions may be delayed beyond our current expectations and therefore initial delivery to customers and receipt of anticipated revenue could be delayed.</w:t>
      </w:r>
    </w:p>
    <w:p>
      <w:pPr>
        <w:spacing w:after="0" w:line="170" w:lineRule="exact"/>
        <w:rPr>
          <w:rFonts w:ascii="Arial" w:cs="Arial" w:eastAsia="Arial" w:hAnsi="Arial"/>
          <w:sz w:val="18"/>
          <w:szCs w:val="18"/>
          <w:color w:val="auto"/>
        </w:rPr>
      </w:pPr>
    </w:p>
    <w:p>
      <w:pPr>
        <w:jc w:val="both"/>
        <w:ind w:left="760" w:hanging="378"/>
        <w:spacing w:after="0" w:line="259"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our suppliers, some of which are currently single, sole or limited source suppliers, and any inability of these suppliers to deliver necessary components of our products at the prices, volumes, performance, timing and specifications acceptable to us, could have a material adverse effect on our business, prospects, financial condition and operating results. We have not yet identified all of the suppliers that we are likely to rely on to support future commercialization of our products.</w:t>
      </w:r>
    </w:p>
    <w:p>
      <w:pPr>
        <w:spacing w:after="0" w:line="186"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very limited experience commercializing our products and may not be able to do so efficiently or effectively.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38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plans require a significant amount of capital. Our future capital needs may require us to sell additional equity or debt securities that may dilute our stockholders or introduce covenants that may restrict our operations or our ability to pay dividends.</w:t>
      </w:r>
    </w:p>
    <w:p>
      <w:pPr>
        <w:spacing w:after="0" w:line="170" w:lineRule="exact"/>
        <w:rPr>
          <w:rFonts w:ascii="Arial" w:cs="Arial" w:eastAsia="Arial" w:hAnsi="Arial"/>
          <w:sz w:val="18"/>
          <w:szCs w:val="18"/>
          <w:color w:val="auto"/>
        </w:rPr>
      </w:pPr>
    </w:p>
    <w:p>
      <w:pPr>
        <w:ind w:left="38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core products represent a new product category, and important assumptions about market demand, pricing, adoption rates and sales cycles for our current and future products may be inaccurate.</w:t>
      </w:r>
    </w:p>
    <w:p>
      <w:pPr>
        <w:spacing w:after="0" w:line="170" w:lineRule="exact"/>
        <w:rPr>
          <w:rFonts w:ascii="Arial" w:cs="Arial" w:eastAsia="Arial" w:hAnsi="Arial"/>
          <w:sz w:val="18"/>
          <w:szCs w:val="18"/>
          <w:color w:val="auto"/>
        </w:rPr>
      </w:pPr>
    </w:p>
    <w:p>
      <w:pPr>
        <w:ind w:left="380" w:hanging="378"/>
        <w:spacing w:after="0" w:line="342"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With many of our products still under development, we have limited current customers and no binding orders for the commercial versions of our core systems and solutions, and expected customer trials and discussions with respect to those products may not result in binding orders.</w:t>
      </w:r>
    </w:p>
    <w:p>
      <w:pPr>
        <w:spacing w:after="0" w:line="123" w:lineRule="exact"/>
        <w:rPr>
          <w:rFonts w:ascii="Arial" w:cs="Arial" w:eastAsia="Arial" w:hAnsi="Arial"/>
          <w:sz w:val="16"/>
          <w:szCs w:val="16"/>
          <w:color w:val="auto"/>
        </w:rPr>
      </w:pPr>
    </w:p>
    <w:p>
      <w:pPr>
        <w:ind w:left="380" w:right="2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we successfully market our products, the purchase or subscription, adoption and use of the products may be materially and negatively impacted if the employees of our customers resist the use and adoption of the products.</w:t>
      </w:r>
    </w:p>
    <w:p>
      <w:pPr>
        <w:spacing w:after="0" w:line="170"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decided to focus on a standard product sales model for our robotic systems and solutions.</w:t>
      </w:r>
    </w:p>
    <w:p>
      <w:pPr>
        <w:spacing w:after="0" w:line="225"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successful in commercializing our products, our revenue will be concentrated in a limited number of models for the foreseeable future.</w:t>
      </w:r>
    </w:p>
    <w:p>
      <w:pPr>
        <w:spacing w:after="0" w:line="248" w:lineRule="exact"/>
        <w:rPr>
          <w:rFonts w:ascii="Arial" w:cs="Arial" w:eastAsia="Arial" w:hAnsi="Arial"/>
          <w:sz w:val="16"/>
          <w:szCs w:val="16"/>
          <w:color w:val="auto"/>
        </w:rPr>
      </w:pPr>
    </w:p>
    <w:p>
      <w:pPr>
        <w:ind w:left="380" w:right="2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benefits to customers of our products could be supplanted by other technologies or solutions or competitors' products that utilize similar technology to ours in a more effective way or at a lower cost.</w:t>
      </w:r>
    </w:p>
    <w:p>
      <w:pPr>
        <w:spacing w:after="0" w:line="170" w:lineRule="exact"/>
        <w:rPr>
          <w:rFonts w:ascii="Arial" w:cs="Arial" w:eastAsia="Arial" w:hAnsi="Arial"/>
          <w:sz w:val="18"/>
          <w:szCs w:val="18"/>
          <w:color w:val="auto"/>
        </w:rPr>
      </w:pPr>
    </w:p>
    <w:p>
      <w:pPr>
        <w:jc w:val="both"/>
        <w:ind w:left="380" w:hanging="378"/>
        <w:spacing w:after="0" w:line="311"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Design flaws, defects, glitches or malfunctions in our products or the software that operates them, failure of our products to perform as expected, connectivity issues or user errors can result in product recalls, lower than expected return on investment for customers, harm to users and significant safety concerns, each of which could materially and adversely affect our results of operations, financial condition or reputation.</w:t>
      </w:r>
    </w:p>
    <w:p>
      <w:pPr>
        <w:spacing w:after="0" w:line="148" w:lineRule="exact"/>
        <w:rPr>
          <w:rFonts w:ascii="Arial" w:cs="Arial" w:eastAsia="Arial" w:hAnsi="Arial"/>
          <w:sz w:val="16"/>
          <w:szCs w:val="16"/>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 experience maintaining or servicing our products at a large scale.</w:t>
      </w:r>
    </w:p>
    <w:p>
      <w:pPr>
        <w:spacing w:after="0" w:line="225" w:lineRule="exact"/>
        <w:rPr>
          <w:rFonts w:ascii="Arial" w:cs="Arial" w:eastAsia="Arial" w:hAnsi="Arial"/>
          <w:sz w:val="18"/>
          <w:szCs w:val="18"/>
          <w:color w:val="auto"/>
        </w:rPr>
      </w:pPr>
    </w:p>
    <w:p>
      <w:pPr>
        <w:ind w:left="38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manufacture products of sufficient quality on schedule and on a large scale is unproven, and delays in the design, production and launch of our products could harm our business, prospects, financial condition and operating results.</w:t>
      </w:r>
    </w:p>
    <w:p>
      <w:pPr>
        <w:spacing w:after="0" w:line="170" w:lineRule="exact"/>
        <w:rPr>
          <w:rFonts w:ascii="Arial" w:cs="Arial" w:eastAsia="Arial" w:hAnsi="Arial"/>
          <w:sz w:val="18"/>
          <w:szCs w:val="18"/>
          <w:color w:val="auto"/>
        </w:rPr>
      </w:pPr>
    </w:p>
    <w:p>
      <w:pPr>
        <w:jc w:val="both"/>
        <w:ind w:left="380" w:right="20" w:hanging="378"/>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highly dependent on the services of our senior management and other key employees and, if we are unable to attract and retain a sufficient number of qualified employees, our ability to design, manufacture and launch our products, operate our business and compete could be harmed.</w:t>
      </w:r>
    </w:p>
    <w:p>
      <w:pPr>
        <w:spacing w:after="0" w:line="183"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management as a group has limited experience in operating a publicly-traded company.</w:t>
      </w:r>
    </w:p>
    <w:p>
      <w:pPr>
        <w:spacing w:after="0" w:line="225" w:lineRule="exact"/>
        <w:rPr>
          <w:rFonts w:ascii="Arial" w:cs="Arial" w:eastAsia="Arial" w:hAnsi="Arial"/>
          <w:sz w:val="18"/>
          <w:szCs w:val="18"/>
          <w:color w:val="auto"/>
        </w:rPr>
      </w:pPr>
    </w:p>
    <w:p>
      <w:pPr>
        <w:ind w:left="38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Ongoing impacts from COVID-19 or another pandemic, epidemic or outbreak of an infectious disease may materially and adversely impact our business, prospects, financial condition and operating results.</w:t>
      </w:r>
    </w:p>
    <w:p>
      <w:pPr>
        <w:spacing w:after="0" w:line="170" w:lineRule="exact"/>
        <w:rPr>
          <w:rFonts w:ascii="Arial" w:cs="Arial" w:eastAsia="Arial" w:hAnsi="Arial"/>
          <w:sz w:val="18"/>
          <w:szCs w:val="18"/>
          <w:color w:val="auto"/>
        </w:rPr>
      </w:pPr>
    </w:p>
    <w:p>
      <w:pPr>
        <w:ind w:left="38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transition to an outsourced manufacturing business model may not be successful, which could harm our ability to deliver products and recognize revenue.</w:t>
      </w:r>
    </w:p>
    <w:p>
      <w:pPr>
        <w:spacing w:after="0" w:line="197" w:lineRule="exact"/>
        <w:rPr>
          <w:rFonts w:ascii="Arial" w:cs="Arial" w:eastAsia="Arial" w:hAnsi="Arial"/>
          <w:sz w:val="18"/>
          <w:szCs w:val="18"/>
          <w:color w:val="auto"/>
        </w:rPr>
      </w:pPr>
    </w:p>
    <w:p>
      <w:pPr>
        <w:ind w:left="380" w:right="20" w:hanging="378"/>
        <w:spacing w:after="0" w:line="308"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and prospects depend significantly on our ability to build our brands. We may not succeed in continuing to establish, maintain and strengthen our brands, and our brands and reputation could be harmed by negative publicity regarding us or our products.</w:t>
      </w:r>
    </w:p>
    <w:p>
      <w:pPr>
        <w:spacing w:after="0" w:line="146" w:lineRule="exact"/>
        <w:rPr>
          <w:rFonts w:ascii="Arial" w:cs="Arial" w:eastAsia="Arial" w:hAnsi="Arial"/>
          <w:sz w:val="17"/>
          <w:szCs w:val="17"/>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competitive industry that is subject to rapid technological change, and we expect competition to increase.</w:t>
      </w:r>
    </w:p>
    <w:p>
      <w:pPr>
        <w:spacing w:after="0" w:line="225"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financial results may vary significantly from period to period due to fluctuations in our operating costs, product demand and other factors.</w:t>
      </w:r>
    </w:p>
    <w:p>
      <w:pPr>
        <w:spacing w:after="0" w:line="248" w:lineRule="exact"/>
        <w:rPr>
          <w:rFonts w:ascii="Arial" w:cs="Arial" w:eastAsia="Arial" w:hAnsi="Arial"/>
          <w:sz w:val="16"/>
          <w:szCs w:val="16"/>
          <w:color w:val="auto"/>
        </w:rPr>
      </w:pPr>
    </w:p>
    <w:p>
      <w:pPr>
        <w:ind w:left="38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develop and maintain an effective system of internal control over financial reporting, we may not be able to accurately report our financial results in a timely manner, which may adversely affect investor confidence</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41" w:right="339" w:bottom="1440" w:gutter="0" w:footer="0" w:header="0"/>
        </w:sectPr>
      </w:pPr>
    </w:p>
    <w:bookmarkStart w:id="4" w:name="page5"/>
    <w:bookmarkEnd w:id="4"/>
    <w:p>
      <w:pPr>
        <w:ind w:left="380"/>
        <w:spacing w:after="0"/>
        <w:rPr>
          <w:sz w:val="20"/>
          <w:szCs w:val="20"/>
          <w:color w:val="auto"/>
        </w:rPr>
      </w:pPr>
      <w:r>
        <w:rPr>
          <w:rFonts w:ascii="Arial" w:cs="Arial" w:eastAsia="Arial" w:hAnsi="Arial"/>
          <w:sz w:val="17"/>
          <w:szCs w:val="17"/>
          <w:color w:val="auto"/>
        </w:rPr>
        <w:t>in us and materially and adversely affect our business and operating results, as well as result in litigation, regulatory action or other risks.</w:t>
      </w:r>
    </w:p>
    <w:p>
      <w:pPr>
        <w:spacing w:after="0" w:line="237" w:lineRule="exact"/>
        <w:rPr>
          <w:sz w:val="20"/>
          <w:szCs w:val="20"/>
          <w:color w:val="auto"/>
        </w:rPr>
      </w:pPr>
    </w:p>
    <w:p>
      <w:pPr>
        <w:ind w:left="380" w:hanging="378"/>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expect to incur substantial research and development costs and devote significant resources to identifying and commercializing new products, which could significantly reduce our profitability and may never result in revenue.</w:t>
      </w:r>
    </w:p>
    <w:p>
      <w:pPr>
        <w:spacing w:after="0" w:line="170" w:lineRule="exact"/>
        <w:rPr>
          <w:rFonts w:ascii="Arial" w:cs="Arial" w:eastAsia="Arial" w:hAnsi="Arial"/>
          <w:sz w:val="18"/>
          <w:szCs w:val="18"/>
          <w:color w:val="auto"/>
        </w:rPr>
      </w:pPr>
    </w:p>
    <w:p>
      <w:pPr>
        <w:ind w:left="380" w:right="20" w:hanging="378"/>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in part on our ability to obtain and maintain protection for the intellectual property relating to or incorporated into our products.</w:t>
      </w:r>
    </w:p>
    <w:p>
      <w:pPr>
        <w:spacing w:after="0" w:line="170" w:lineRule="exact"/>
        <w:rPr>
          <w:rFonts w:ascii="Arial" w:cs="Arial" w:eastAsia="Arial" w:hAnsi="Arial"/>
          <w:sz w:val="18"/>
          <w:szCs w:val="18"/>
          <w:color w:val="auto"/>
        </w:rPr>
      </w:pPr>
    </w:p>
    <w:p>
      <w:pPr>
        <w:ind w:left="380" w:hanging="378"/>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in all countries.</w:t>
      </w:r>
    </w:p>
    <w:p>
      <w:pPr>
        <w:spacing w:after="0" w:line="225" w:lineRule="exact"/>
        <w:rPr>
          <w:rFonts w:ascii="Arial" w:cs="Arial" w:eastAsia="Arial" w:hAnsi="Arial"/>
          <w:sz w:val="18"/>
          <w:szCs w:val="18"/>
          <w:color w:val="auto"/>
        </w:rPr>
      </w:pPr>
    </w:p>
    <w:p>
      <w:pPr>
        <w:ind w:left="380" w:hanging="378"/>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subject to intellectual property infringement claims or misappropriation claims, which may be time consuming and expensive and, if adversely determined, could limit our ability to commercialize our products.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statements in this Report constitute “forward-looking statements” within the meaning of Section 27A of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spacing w:after="0" w:line="125" w:lineRule="exact"/>
        <w:rPr>
          <w:sz w:val="20"/>
          <w:szCs w:val="20"/>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sell our products to new and existing customers;</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integrate RE2 and achieve the expected benefits of the acquisition;</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 roadmap, including the expected timing of new product releases;</w:t>
      </w:r>
    </w:p>
    <w:p>
      <w:pPr>
        <w:spacing w:after="0" w:line="184"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and overcome supply chain challenges, including increases in the cost of and an interruption in the supply or availability of components, parts and materials;</w:t>
      </w:r>
    </w:p>
    <w:p>
      <w:pPr>
        <w:spacing w:after="0" w:line="143"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existing or future businesses and technologies;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our growth and expenses;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modified or new laws and regulations applicable to our business;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with the necessary experience;</w:t>
      </w:r>
    </w:p>
    <w:p>
      <w:pPr>
        <w:spacing w:after="0" w:line="184"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introduce new products that meet our customers’ requirements and to successfully transition to high volume manufacturing of our products by third-party manufacturers or by us;</w:t>
      </w:r>
    </w:p>
    <w:p>
      <w:pPr>
        <w:spacing w:after="0" w:line="143"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projected financial and operating information and estimates of market size and opportunities;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financial performance;</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the COVID-19 pandemic and global economic and geopolitical conditions on our business and the business of our customers;</w:t>
      </w:r>
    </w:p>
    <w:p>
      <w:pPr>
        <w:spacing w:after="0" w:line="209" w:lineRule="exact"/>
        <w:rPr>
          <w:rFonts w:ascii="Arial" w:cs="Arial" w:eastAsia="Arial" w:hAnsi="Arial"/>
          <w:sz w:val="17"/>
          <w:szCs w:val="17"/>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market for our products and services;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plans and opportunities, including plans to expand our product availability globally;</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capital requirements and sources and uses of cash;</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defend and the outcome of any known and unknown litigation and regulatory proceedings;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and protect our brand; and</w:t>
      </w:r>
    </w:p>
    <w:p>
      <w:pPr>
        <w:spacing w:after="0" w:line="184"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statements preceded by, followed by or that include the words “may,” “can,” “should,” “will,” “estimate,” “plan,” “project,” “forecast,” “intend,” “expect,” “anticipate,” “believe,” “seek,” “aim,” “target” or similar expressions.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spacing w:after="0" w:line="275" w:lineRule="auto"/>
        <w:rPr>
          <w:sz w:val="20"/>
          <w:szCs w:val="20"/>
          <w:color w:val="auto"/>
        </w:rPr>
      </w:pPr>
      <w:r>
        <w:rPr>
          <w:rFonts w:ascii="Arial" w:cs="Arial" w:eastAsia="Arial" w:hAnsi="Arial"/>
          <w:sz w:val="17"/>
          <w:szCs w:val="17"/>
          <w:color w:val="auto"/>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the information about us contained elsewhere in this Report, including the information set forth in our consolidated financial statements and the related notes. Some of the information contained in this section or set forth elsewhere in this Report, including information with respect to our plans and strategy for our business, includes forward-looking statements that involve risks and uncertainties. You should read Part I Item 1A Risk Factors and the section titled “Special Note Regarding Forward-Looking Statements” for a discussion of important factors that could cause actual results to differ materially from the results described in or implied by the forward-looking statements contained in the following discussion and throughout this Report.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 technology leader in the design, development and manufacture of advanced robotic systems and solutions that redefine human possibilities. Our mission is to increase worker productivity and longevity and prevent injuries through robotics. Our robotic systems are designed to augment and increase human productivity by combining human intelligence, instinct and judgment with the strength, endurance and precision of machines. We aim to bring the benefits of robotics to dynamic and unstructured environments (i.e., environments that change or that require our robotic systems to perform different tasks at different times in different places, especially outdoor environments). To do this, we design our robotic systems to be mobile, dexterous and adaptable through the use of flexible hardware designs and intelligent software. Our core systems consist of the Guardian XM (formerly known as the Sapien 6M), Guardian XT and Guardian Sea Class teleoperated/semi-autonomous systems and the Guardian XO exoskeleton. Our teleoperated/semi-autonomous systems are comprised of mobile robotic arms, sensing, wireless communications, control stations with intuitive human-robot interfaces and application-specific end-of-arm attachments (end-effectors), such as grippers, drills or spray nozzles. We create our solutions by combining our systems with use-case specific features and components, which may include third-party hardware, such as lifts, bucket trucks and underwater remotely operated vehicles, or ROVs, as well as use-case specific hardware designs, software and end-effectors.</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general, the use-cases we are targeting are currently being done by humans, at times with the aid of generic industrial equipment like a crane or forklift, and involve dangerous or injury-prone activities in areas experiencing, and expected to continue to experience, labor shortages. As a result, we believe our systems and solutions will increase safety and reduce injuries, prolong careers, broaden the pool of available workers by equalizing physical capabilities and increase productivity. While taking advantage of our proprietary intelligent software, humans continue to be an essential part of our systems’ operation, whether through teleoperation, supervised autonomy or directly operating the robot (e.g., by wearing an exoskeleton). In this way, human jobs and health are preserved while increasing productivity and helping to address labor shortages in our target markets. While we ultimately expect our systems and solutions to benefit a wide variety of markets, we are currently focusing our systems and solutions on use-cases in the aviation, construction, defense, maritime, power and utility and solar energy industries.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adapt our teleoperated/semi-autonomous core systems for specific use-cases based on the capabilities and characteristics of each system to create solutions. We may also combine aspects of multiple systems or create a specific system for a particular solution. For example, we currently expect that the next version of our solar field construction solution will be a hybrid of our Guardian XM and Guardian XT systems, and the baggage-handling solution we are developing uses a specific system designed for that solution. Our product development efforts are led by a highly experienced robotics team, with some members of our engineering team having worked together for over 20 years. We also benefit from more than $375 million in research and development investment in our proprietary technologies and an extensive patent portfolio. Much of our technology we leverage across our systems and solutions. For example, various technologies and inventions developed for the Guardian XO have been incorporated into the Guardian XT.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Combined with our advanced, success-based learning artificial intelligence, or AI approach, our supervised autonomy software framework uses multi-modal sensor data to optimally perceive, interact, and conceptualize dynamic, unstructured environments to harness the power of real-time and learned-behavior data inputs that allow our robotic systems and solutions to successfully execute task-specific autonomy in unstructured environments. Our advanced, success-based AI enables human workers’ flexibility, creativity and improvisation skills to deliver improved workflow performance and safer interactions between humans and machines in unstructured environments.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interest shown by our development customers and potential commercial customers in purchasing our systems and solutions, we have decided to offer our products primarily through a sales business model where the customer purchases a system or solution for a one-time, upfront amount. As a result, we do not expect the Robot-as-a-Service (RaaS) model that we had previously planned to apply to our Guardian XO and Guardian XT systems to be a focus of our business model going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forward. We also plan to offer software upgrades and additional capabilities and to offer for sale add-on hardware components (such as additional interchangeable end-effectors).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 and Corporate Information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Sarcos is the result of a decades-long effort in research and development of robotic systems and solutions. Our original predecessor was spun-out of the University of Utah in 1983. In 2007, our predecessor was acquired by Raytheon and was operated until 2014 as a division of Raytheon known as Raytheon Sarcos. During this period, Raytheon Sarcos was focused primarily on developing cutting-edge technologies for use by U.S. governmental agencies. In December 2014, the assets of Raytheon Sarcos were acquired by a consortium led by the former Raytheon Sarcos President and our current Chief Innovation Officer Dr. Fraser Smith and technology and telecom entrepreneur Benjamin Wolff, our former Chief Executive Officer and current member of the Board of Directors. This acquisition was the basis for the establishment of Old Sarcos, which was incorporated in Utah in February 2015 as Sarcos Corp. On September 24, 2021, we completed the Business Combination whereby Old Sarcos became a wholly-owned subsidiary of Rotor Acquisition Corp. and Rotor Acquisition Corp. changed its name to Sarcos Technology and Robotics Corporation.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2022, we acquired RE2, Inc., a Pittsburgh, Pennsylvania based robotics company. The acquisition added engineering talent, technology, products and customers and expanded the potential use-cases and target markets we can address.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principal executive offices are located at 650 South 500 West, Suite 150, Salt Lake City, Utah, 84101. Our telephone number is 888-927-7296.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Website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maintain a company website with the address www.sarcos.com. We are not including the information contained on our website as a part of, or incorporating it by reference into, this Annual Report on Form 10-K. We make available free of charge through the www.sarcos.com website our Annual Reports on Form 10-K, Quarterly Reports on Form 10-Q and Current Reports on Form 8-K, and amendments to these reports filed or furnished pursuant to Section 13(a) or 15(d) of the Exchange Act, as soon as reasonably practicable after we electronically file such material with, or furnish such material to, the SEC. These reports and other information are also available, free of charge, at www.sec.gov. In addition, our Code of Business Conduct and Ethics is available through the www.sarcos.com website and any amendments to or waivers of the Code of Conduct will be disclosed on that website.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Evolution of Robotics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Industrial robots have been commercially available and used in industrial and manufacturing environments for many decades. They are typically large, stationary machines designed to automate repetitive tasks in a controlled environment (e.g., a factory assembly line) that require speed and strength greater than what a human can accomplish. For manufacturing tasks, industrial robots generally execute plans by rote programming (functions that are programmed in advance by a human engineer).</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Over time, industrial robots have become more sophisticated. Industrial robots have seen widespread adoption in a host of applications and have gained acceptance across many industries. However, these heavy industrial robots generally require workspaces to be configured around them and large safety cages to protect workers on the factory floor, consume significant amounts of power and space, are substantially less agile and versatile than humans and are difficult and costly to move from one location to another. These characteristics typically limit the number of use-cases to highly routinized tasks. As a result, two new categories of products, called collaborative robots, or cobots, and automated mobile robots, or AMRs, are gaining market traction.</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Advances in tangential technologies such as grippers, vision systems, cloud computing, augmented reality, or AR, and artificial intelligence, or AI, have led to the broader adoption and commercial viability of cobots and AMRs. These advances have offered increased safety and operational flexibility, allowing robots to be deployed safely alongside humans, disrupting the historical industrial robotics industry and labor markets while offering more advanced capabilities than earlier models. However, neither cobots nor AMRs are designed to perform tasks in dynamic or unstructured environments, especially outdoors. As with their predecessors, they are tools of automation, designed and programmed to perform routinized tasks. They also generally lack human-like dexterity and the ability to lift and manipulate heavy objects.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jc w:val="both"/>
        <w:spacing w:after="0" w:line="270" w:lineRule="auto"/>
        <w:rPr>
          <w:sz w:val="20"/>
          <w:szCs w:val="20"/>
          <w:color w:val="auto"/>
        </w:rPr>
      </w:pPr>
      <w:r>
        <w:rPr>
          <w:rFonts w:ascii="Arial" w:cs="Arial" w:eastAsia="Arial" w:hAnsi="Arial"/>
          <w:sz w:val="17"/>
          <w:szCs w:val="17"/>
          <w:color w:val="auto"/>
        </w:rPr>
        <w:t>Robotic exoskeletons are also not a new concept. They have been a staple of science fiction for decades. General Electric was the first to try to move the concept from fiction to reality with its experimental Hardiman exoskeleton debuting in the 1960s. Early versions of full-body, powered exoskeletons were reliant on hydraulic power supplies connected via a cord or hydraulic lines, which greatly restricted the mobility and the number of use-cases. They also consumed large amounts of power, making it impractical to use these early versions on an untethered basis. More recently, partial-body, powered exoskeletons have primarily been deployed for healthcare and rehabilitative uses. Partial-body, non-powered devices (called passive exoskeletons) have been adopted for passive support functions such as assisting parts-assembly workers when performing repetitive, overhead manual labor. Unlike these commercial predecessors, powered, full-body industrial robotic exoskeletons seek to combine human intelligence and mobility with the strength, endurance and precision of traditional industrial robots by allowing humans and robots to operate as a single unit, substantially augmenting a typical worker's capabilities while reducing the risk of occupational injuries.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Manual Labor Market</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Historically, many industries have been dependent on manual human labor and heavy equipment (such as forklifts or cranes) for physically demanding tasks. Human limitations, such as strength, potential for injury and limited reach, and equipment inflexibility, such as size constraints, power needs and limited or narrow functionality, create costly inefficiencies. Relying on human labor sources also has considerable financial and safety costs, which impact both businesses and workers. Workplace accidents and fatigue caused by heavy lifting and working at-height have significant detrimental effects on a workforce’s productivity and can cause extensive bodily harm to human workers.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Challenges to the labor market include:</w:t>
      </w:r>
    </w:p>
    <w:p>
      <w:pPr>
        <w:spacing w:after="0" w:line="185" w:lineRule="exact"/>
        <w:rPr>
          <w:sz w:val="20"/>
          <w:szCs w:val="20"/>
          <w:color w:val="auto"/>
        </w:rPr>
      </w:pPr>
    </w:p>
    <w:p>
      <w:pPr>
        <w:jc w:val="both"/>
        <w:ind w:left="760" w:hanging="378"/>
        <w:spacing w:after="0" w:line="25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Rising average age of the labor force in developed nations. According to data collected by the Organization for Economic Co-operation and Development (OECD) (see OECD (2023), Old-age dependency ratio (indicator); as shown on March 14, 2023): as of 2022, 24.6% of the United States labor force was over the age of 65; by 2050, that percentage is expected to rise to 40.4%; worldwide (representing the average of all country data tracked by the OECD), as of 2022, 32.4% of the labor force was over the age of 65; and, by 2050, that number is expected to rise to 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111125</wp:posOffset>
            </wp:positionV>
            <wp:extent cx="2494280" cy="2494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249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760" w:hanging="378"/>
        <w:spacing w:after="0" w:line="25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Shrinking pool of manual laborers</w:t>
      </w:r>
      <w:r>
        <w:rPr>
          <w:rFonts w:ascii="Arial" w:cs="Arial" w:eastAsia="Arial" w:hAnsi="Arial"/>
          <w:sz w:val="18"/>
          <w:szCs w:val="18"/>
          <w:color w:val="auto"/>
        </w:rPr>
        <w:t>. Long-term trends suggest workers may avoid manual labor due to, among other factors, occupational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hazards, resulting in labor shortages. According to a 2018 industry study, there will be a shortage of approximately 2.4 million workers in U.S. manufacturing by 2028 resulting in a $2.5 trillion negative impact on the U.S. economy. Moreover, although the long-term effects of COVID-19 are largely unknown, COVID-19 has resulted in many people leaving the workforce and may continue to negatively affect the availability of the labor force.</w:t>
      </w:r>
    </w:p>
    <w:p>
      <w:pPr>
        <w:spacing w:after="0" w:line="147"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Costs associated with physically taxing occupations</w:t>
      </w:r>
      <w:r>
        <w:rPr>
          <w:rFonts w:ascii="Arial" w:cs="Arial" w:eastAsia="Arial" w:hAnsi="Arial"/>
          <w:sz w:val="18"/>
          <w:szCs w:val="18"/>
          <w:color w:val="auto"/>
        </w:rPr>
        <w:t>. In the United States alone, (a) in 2006 The Journal of Bone &amp; Joint Surgery reported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healthcare costs, lost wages and decreased productivity associated with back injuries cost approximately $100 billion annually, and (b) according to a 2018 U.S. Bone and Joint Initiative study, back pain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jc w:val="both"/>
        <w:ind w:left="760"/>
        <w:spacing w:after="0" w:line="259" w:lineRule="auto"/>
        <w:rPr>
          <w:sz w:val="20"/>
          <w:szCs w:val="20"/>
          <w:color w:val="auto"/>
        </w:rPr>
      </w:pPr>
      <w:r>
        <w:rPr>
          <w:rFonts w:ascii="Arial" w:cs="Arial" w:eastAsia="Arial" w:hAnsi="Arial"/>
          <w:sz w:val="18"/>
          <w:szCs w:val="18"/>
          <w:color w:val="auto"/>
        </w:rPr>
        <w:t>accounts for an estimated more than 264 million lost workdays a year, the equivalent of approximately two workdays for every full-time worker in the country. Falls from heights are the fourth most disabling and costly injury, coming after such injuries as overexertion and falling from the same level, according to the 2019 Liberty Mutual Workplace Safety Index. According to a 2007 publication, OSHA reported that approximately $136 billion is lost annually due to worker fatigue.</w:t>
      </w:r>
    </w:p>
    <w:p>
      <w:pPr>
        <w:spacing w:after="0" w:line="79" w:lineRule="exact"/>
        <w:rPr>
          <w:sz w:val="20"/>
          <w:szCs w:val="20"/>
          <w:color w:val="auto"/>
        </w:rPr>
      </w:pPr>
    </w:p>
    <w:p>
      <w:pPr>
        <w:jc w:val="both"/>
        <w:ind w:left="760" w:hanging="378"/>
        <w:spacing w:after="0" w:line="279"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Many manual labor jobs are conducted in dangerous environments. </w:t>
      </w:r>
      <w:r>
        <w:rPr>
          <w:rFonts w:ascii="Arial" w:cs="Arial" w:eastAsia="Arial" w:hAnsi="Arial"/>
          <w:sz w:val="17"/>
          <w:szCs w:val="17"/>
          <w:color w:val="auto"/>
        </w:rPr>
        <w:t>In the markets we are targeting, many manual labor jobs involve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dangerous environments, such as working at height, underwater or near or using explosives or dangerous equipment. According to the CDC, 18% of the non-fatal work injuries resulting in days away from work in 2020 were related to slips, trips and falls. Another study reported that injuries related to falls accounted for approximately $4.8 billion per year in lost productivity and wages in the United States.</w:t>
      </w:r>
    </w:p>
    <w:p>
      <w:pPr>
        <w:spacing w:after="0" w:line="144" w:lineRule="exact"/>
        <w:rPr>
          <w:rFonts w:ascii="Arial" w:cs="Arial" w:eastAsia="Arial" w:hAnsi="Arial"/>
          <w:sz w:val="17"/>
          <w:szCs w:val="17"/>
          <w:color w:val="auto"/>
        </w:rPr>
      </w:pPr>
    </w:p>
    <w:p>
      <w:pPr>
        <w:jc w:val="both"/>
        <w:ind w:left="760" w:hanging="378"/>
        <w:spacing w:after="0" w:line="26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Equipment that is not ideal for complex environments or the task at hand</w:t>
      </w:r>
      <w:r>
        <w:rPr>
          <w:rFonts w:ascii="Arial" w:cs="Arial" w:eastAsia="Arial" w:hAnsi="Arial"/>
          <w:sz w:val="18"/>
          <w:szCs w:val="18"/>
          <w:color w:val="auto"/>
        </w:rPr>
        <w:t>. Common equipment, such as cranes, forklifts and lift-assist devices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often lack the flexibility needed to address the dynamic needs of a worksite. Larger equipment sizes and inflexibility in the range of tasks they can perform often do little to address some of the common issues faced by the labor force.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Sarcos Approach</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design our robotic systems and solutions to augment human performance by combining human intelligence, instinct and judgment with the strength, endurance and precision of machines to enhance human safety and productivity while addressing many of the labor market’s challenges mentioned above. We aim to bring the benefits of robotics to dynamic, unstructured work environments involving dangerous or physically demanding tasks by moving humans from doing the task themselves to being an operator or supervisor of a robotic system or, in the case of exoskeletons, enhancing human capabilities to reduce the risk of physical injury by having the human and the robotic system operate as one unit. Our robotic systems and solutions combine technologically-advanced robotic hardware with advanced intelligent software, along with human operation or supervision, to increase capability, precision and productivity beyond unassisted human capabilities. As a result, we believe our robotic systems and solutions will provide the following benefits (in some cases, depending on the system):</w:t>
      </w:r>
    </w:p>
    <w:p>
      <w:pPr>
        <w:spacing w:after="0" w:line="84" w:lineRule="exact"/>
        <w:rPr>
          <w:sz w:val="20"/>
          <w:szCs w:val="20"/>
          <w:color w:val="auto"/>
        </w:rPr>
      </w:pPr>
    </w:p>
    <w:p>
      <w:pPr>
        <w:ind w:left="1020" w:hanging="503"/>
        <w:spacing w:after="0" w:line="308"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Fewer Injuries. </w:t>
      </w:r>
      <w:r>
        <w:rPr>
          <w:rFonts w:ascii="Arial" w:cs="Arial" w:eastAsia="Arial" w:hAnsi="Arial"/>
          <w:sz w:val="17"/>
          <w:szCs w:val="17"/>
          <w:color w:val="auto"/>
        </w:rPr>
        <w:t>Fewer employee injuries from physically demanding work, which should reduce costs associated with such injuries, such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medical costs and replacement or temporary labor costs and related delays (including hiring and training time and costs).</w:t>
      </w:r>
    </w:p>
    <w:p>
      <w:pPr>
        <w:spacing w:after="0" w:line="146"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Safer Work Conditions. </w:t>
      </w:r>
      <w:r>
        <w:rPr>
          <w:rFonts w:ascii="Arial" w:cs="Arial" w:eastAsia="Arial" w:hAnsi="Arial"/>
          <w:sz w:val="18"/>
          <w:szCs w:val="18"/>
          <w:color w:val="auto"/>
        </w:rPr>
        <w:t>Less hazardous job conditions, which should also reduce injury-related costs and certain other costs,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insurance costs and hazard pay.</w:t>
      </w:r>
    </w:p>
    <w:p>
      <w:pPr>
        <w:spacing w:after="0" w:line="170"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Productivity. </w:t>
      </w:r>
      <w:r>
        <w:rPr>
          <w:rFonts w:ascii="Arial" w:cs="Arial" w:eastAsia="Arial" w:hAnsi="Arial"/>
          <w:sz w:val="18"/>
          <w:szCs w:val="18"/>
          <w:color w:val="auto"/>
        </w:rPr>
        <w:t>Increased productivity through increased throughput and/or decreased time to completion, fewer errors or accidents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may compromise materials or work surfaces that then require repair or replacement and/or addressing labor shortages by enabling more work to be done with the same number of human workers (e.g., decreasing crew sizes to increase the number of available crews while increasing the productivity of any particular crew).</w:t>
      </w:r>
    </w:p>
    <w:p>
      <w:pPr>
        <w:spacing w:after="0" w:line="186" w:lineRule="exact"/>
        <w:rPr>
          <w:rFonts w:ascii="Arial" w:cs="Arial" w:eastAsia="Arial" w:hAnsi="Arial"/>
          <w:sz w:val="18"/>
          <w:szCs w:val="18"/>
          <w:color w:val="auto"/>
        </w:rPr>
      </w:pPr>
    </w:p>
    <w:p>
      <w:pPr>
        <w:jc w:val="both"/>
        <w:ind w:left="1020" w:hanging="503"/>
        <w:spacing w:after="0" w:line="286"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Career Longevity. </w:t>
      </w:r>
      <w:r>
        <w:rPr>
          <w:rFonts w:ascii="Arial" w:cs="Arial" w:eastAsia="Arial" w:hAnsi="Arial"/>
          <w:sz w:val="17"/>
          <w:szCs w:val="17"/>
          <w:color w:val="auto"/>
        </w:rPr>
        <w:t>Increase the health and career longevity of human workers by transferring the physical demands associated with our target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use-cases from humans to our robotic systems and solutions thereby enabling experienced, more productive workers to remain on the job with fewer injuries and reduced wear-and-tear on their bodies, which should reduce labor costs and shortages.</w:t>
      </w:r>
    </w:p>
    <w:p>
      <w:pPr>
        <w:spacing w:after="0" w:line="165" w:lineRule="exact"/>
        <w:rPr>
          <w:rFonts w:ascii="Arial" w:cs="Arial" w:eastAsia="Arial" w:hAnsi="Arial"/>
          <w:sz w:val="17"/>
          <w:szCs w:val="17"/>
          <w:color w:val="auto"/>
        </w:rPr>
      </w:pPr>
    </w:p>
    <w:p>
      <w:pPr>
        <w:ind w:left="1020" w:hanging="503"/>
        <w:spacing w:after="0" w:line="308"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Expanded Potential Workforce. </w:t>
      </w:r>
      <w:r>
        <w:rPr>
          <w:rFonts w:ascii="Arial" w:cs="Arial" w:eastAsia="Arial" w:hAnsi="Arial"/>
          <w:sz w:val="17"/>
          <w:szCs w:val="17"/>
          <w:color w:val="auto"/>
        </w:rPr>
        <w:t>Increased opportunities to fill jobs with workers with physical limitations that would otherwise make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jobs difficult or impossible for them by employing them to operate a robotic system, which should increase the potential labor pool.</w:t>
      </w:r>
    </w:p>
    <w:p>
      <w:pPr>
        <w:spacing w:after="0" w:line="146" w:lineRule="exact"/>
        <w:rPr>
          <w:rFonts w:ascii="Arial" w:cs="Arial" w:eastAsia="Arial" w:hAnsi="Arial"/>
          <w:sz w:val="17"/>
          <w:szCs w:val="17"/>
          <w:color w:val="auto"/>
        </w:rPr>
      </w:pPr>
    </w:p>
    <w:p>
      <w:pPr>
        <w:jc w:val="both"/>
        <w:ind w:left="1020" w:hanging="503"/>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Mobility. </w:t>
      </w:r>
      <w:r>
        <w:rPr>
          <w:rFonts w:ascii="Arial" w:cs="Arial" w:eastAsia="Arial" w:hAnsi="Arial"/>
          <w:sz w:val="18"/>
          <w:szCs w:val="18"/>
          <w:color w:val="auto"/>
        </w:rPr>
        <w:t>Mobility, which allows our systems and solutions to be deployed at a job site and to move around the job site rather than require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job be brought to the robotic system in a factory or other controlled environment, thereby allowing robotic systems and solutions to tackle use-cases that previously could not be addressed easily or at all through robotics.</w:t>
      </w:r>
    </w:p>
    <w:p>
      <w:pPr>
        <w:spacing w:after="0" w:line="183"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Adaptable Systems. </w:t>
      </w:r>
      <w:r>
        <w:rPr>
          <w:rFonts w:ascii="Arial" w:cs="Arial" w:eastAsia="Arial" w:hAnsi="Arial"/>
          <w:sz w:val="18"/>
          <w:szCs w:val="18"/>
          <w:color w:val="auto"/>
        </w:rPr>
        <w:t>The ability to teach our robotic systems and solutions through software using AI and machine learning, or ML, so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robotic systems and solutions can learn to do multiple and changing repetitive tasks with human supervision but without the need for human operation. For example, the software we are creating will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jc w:val="both"/>
        <w:ind w:left="1020"/>
        <w:spacing w:after="0" w:line="263" w:lineRule="auto"/>
        <w:rPr>
          <w:sz w:val="20"/>
          <w:szCs w:val="20"/>
          <w:color w:val="auto"/>
        </w:rPr>
      </w:pPr>
      <w:r>
        <w:rPr>
          <w:rFonts w:ascii="Arial" w:cs="Arial" w:eastAsia="Arial" w:hAnsi="Arial"/>
          <w:sz w:val="18"/>
          <w:szCs w:val="18"/>
          <w:color w:val="auto"/>
        </w:rPr>
        <w:t>allow some of our systems and solutions to enable operators to train the system to set autonomous tasks such as painting or sandblasting over a particular area and then operate on its own with human supervision. Ultimately, this should further increase productivity as one human worker supervises multiple robotic systems.</w:t>
      </w:r>
    </w:p>
    <w:p>
      <w:pPr>
        <w:spacing w:after="0" w:line="76" w:lineRule="exact"/>
        <w:rPr>
          <w:sz w:val="20"/>
          <w:szCs w:val="20"/>
          <w:color w:val="auto"/>
        </w:rPr>
      </w:pPr>
    </w:p>
    <w:p>
      <w:pPr>
        <w:ind w:left="1020" w:hanging="503"/>
        <w:spacing w:after="0" w:line="342"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Aligned Interests of Employers and Workers. </w:t>
      </w:r>
      <w:r>
        <w:rPr>
          <w:rFonts w:ascii="Arial" w:cs="Arial" w:eastAsia="Arial" w:hAnsi="Arial"/>
          <w:sz w:val="16"/>
          <w:szCs w:val="16"/>
          <w:color w:val="auto"/>
        </w:rPr>
        <w:t>Compatibility of objectives between employers and employees because our robotic systems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solutions are intended to empower, not replace, the labor force and enhance employee safety while reducing employer costs.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our systems and solutions can benefit a wide variety of markets, including the aerospace and aviation, construction, defense, distribution and warehousing, industrial manufacturing, maritime, mining, power and utilities and solar energy industries, among others. Based on product testing and trials and customer feedback, we expect our robotic systems and solutions to increase productivity across a variety of use-cases, while significantly reducing the risk, and associated costs, of employee injuries.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our core strength is in the design and development of highly complex and technologically advanced robotic systems and solutions, including associated software. As a result, we may integrate our systems with readily available third-party products, such as lifts, bucket trucks, ROVs and other components as part of creating solutions for specific markets or use-cases. Our technological innovations include or will include:</w:t>
      </w:r>
    </w:p>
    <w:p>
      <w:pPr>
        <w:spacing w:after="0" w:line="57" w:lineRule="exact"/>
        <w:rPr>
          <w:sz w:val="20"/>
          <w:szCs w:val="20"/>
          <w:color w:val="auto"/>
        </w:rPr>
      </w:pPr>
    </w:p>
    <w:p>
      <w:pPr>
        <w:jc w:val="both"/>
        <w:ind w:left="1020" w:hanging="503"/>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Human-like Dexterity with Augmented Strength and Extended Reachability</w:t>
      </w:r>
      <w:r>
        <w:rPr>
          <w:rFonts w:ascii="Arial" w:cs="Arial" w:eastAsia="Arial" w:hAnsi="Arial"/>
          <w:sz w:val="18"/>
          <w:szCs w:val="18"/>
          <w:color w:val="auto"/>
        </w:rPr>
        <w:t>. We are designing our robotic systems to provide human-like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operate in dynamic, unstructured environments and augment humans with the strength, stamina, precision, reach and speed of robotics.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Energetic Autonomy (untethered, battery-powered)</w:t>
      </w:r>
      <w:r>
        <w:rPr>
          <w:rFonts w:ascii="Arial" w:cs="Arial" w:eastAsia="Arial" w:hAnsi="Arial"/>
          <w:sz w:val="18"/>
          <w:szCs w:val="18"/>
          <w:color w:val="auto"/>
        </w:rPr>
        <w:t>. We are designing our systems and solutions to offer reduced power consumption via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optimized power utilization.</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Safety</w:t>
      </w:r>
      <w:r>
        <w:rPr>
          <w:rFonts w:ascii="Arial" w:cs="Arial" w:eastAsia="Arial" w:hAnsi="Arial"/>
          <w:sz w:val="18"/>
          <w:szCs w:val="18"/>
          <w:color w:val="auto"/>
        </w:rPr>
        <w:t>. Our robotic systems and solutions are being developed to include advanced controls and comprehensive system recovery to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safety.</w:t>
      </w:r>
    </w:p>
    <w:p>
      <w:pPr>
        <w:spacing w:after="0" w:line="62" w:lineRule="exact"/>
        <w:rPr>
          <w:rFonts w:ascii="Arial" w:cs="Arial" w:eastAsia="Arial" w:hAnsi="Arial"/>
          <w:sz w:val="18"/>
          <w:szCs w:val="18"/>
          <w:color w:val="auto"/>
        </w:rPr>
      </w:pPr>
    </w:p>
    <w:p>
      <w:pPr>
        <w:jc w:val="both"/>
        <w:ind w:left="1020" w:hanging="503"/>
        <w:spacing w:after="0" w:line="273"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Intelligent AI-Based Software</w:t>
      </w:r>
      <w:r>
        <w:rPr>
          <w:rFonts w:ascii="Arial" w:cs="Arial" w:eastAsia="Arial" w:hAnsi="Arial"/>
          <w:sz w:val="17"/>
          <w:szCs w:val="17"/>
          <w:color w:val="auto"/>
        </w:rPr>
        <w:t>. Our supervised autonomy framework uses multi-modal sensor data to optimally perceive, interact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conceptualize unstructured, outdoor environments. Combined with our advanced, success-based learning AI approach, our supervised autonomy software framework uses the power of real-time and learned-behavior data inputs that enable our robotic systems and solutions to successfully execute task-specific autonomy in unstructured environments. Our advanced, success-based AI enables human workers’ flexibility, creativity and improvisation skills to deliver improved workflow performance and safer interactions between humans and machines in unstructured environments. In addition, we intend to offer our software solutions separately for sale or license.</w:t>
      </w:r>
    </w:p>
    <w:p>
      <w:pPr>
        <w:spacing w:after="0" w:line="69" w:lineRule="exact"/>
        <w:rPr>
          <w:rFonts w:ascii="Arial" w:cs="Arial" w:eastAsia="Arial" w:hAnsi="Arial"/>
          <w:sz w:val="17"/>
          <w:szCs w:val="17"/>
          <w:color w:val="auto"/>
        </w:rPr>
      </w:pPr>
    </w:p>
    <w:p>
      <w:pPr>
        <w:jc w:val="both"/>
        <w:ind w:left="1020" w:hanging="503"/>
        <w:spacing w:after="0" w:line="25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Simulations / Mixed Reality. </w:t>
      </w:r>
      <w:r>
        <w:rPr>
          <w:rFonts w:ascii="Arial" w:cs="Arial" w:eastAsia="Arial" w:hAnsi="Arial"/>
          <w:sz w:val="18"/>
          <w:szCs w:val="18"/>
          <w:color w:val="auto"/>
        </w:rPr>
        <w:t>Our robotic systems use augmented reality (AR), virtual reality (VR), digital twin and AI-enabled simulation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techniques to create a simulations environment in which we can train and optimize the robot and the human operator. Simulations allow analysis of system performance in conditions otherwise too expensive, risky or time-consuming to investigate in the physical world. By virtually inserting a physics-based representation of our robot (a.k.a. a digital twin) into a simulated work environment, we can analyze how the robot is performing as well as predict how it may perform under varying conditions. The simulation also collects training data and helps to expand the behavior tree library for the robotic system so that it continues to get smarter in how it addresses real-time impediments or fault-situations when executing a work task.</w:t>
      </w:r>
    </w:p>
    <w:p>
      <w:pPr>
        <w:spacing w:after="0" w:line="86" w:lineRule="exact"/>
        <w:rPr>
          <w:rFonts w:ascii="Arial" w:cs="Arial" w:eastAsia="Arial" w:hAnsi="Arial"/>
          <w:sz w:val="18"/>
          <w:szCs w:val="18"/>
          <w:color w:val="auto"/>
        </w:rPr>
      </w:pPr>
    </w:p>
    <w:p>
      <w:pPr>
        <w:jc w:val="both"/>
        <w:ind w:left="1020" w:hanging="503"/>
        <w:spacing w:after="0" w:line="25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Natural Extended Reality (XR) Interactions between Human and Robots. </w:t>
      </w:r>
      <w:r>
        <w:rPr>
          <w:rFonts w:ascii="Arial" w:cs="Arial" w:eastAsia="Arial" w:hAnsi="Arial"/>
          <w:sz w:val="18"/>
          <w:szCs w:val="18"/>
          <w:color w:val="auto"/>
        </w:rPr>
        <w:t>We are advancing the state-of-the-art in fully immersive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teleoperation technology for natural XR interactions between humans and robots, which combines VR/AR, new robot affordable motion capture technology based on magnetic motion tracking, haptic feedback from the teleoperated robot to the human and advanced intelligent controls software to provide a greater sense of realism and increased performance, as well as safety and control. This technology is robot agnostic.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Systems, Solutions and Software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core robotic systems consist of: the Guardian XM, the Guardian XT, the Guardian Sea Class and the Guardian XO. Based on product development progress, combined with our views of market readiness and demand, we are currently focused on the commercialization of three of our core robotic systems: the Guardian XM, Guardian XT and Guardian Sea Class. We have begun production of initial commercial versions of the Guardian XM and Guardian XT robotic systems and offer both for sale.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7"/>
          <w:szCs w:val="17"/>
          <w:color w:val="auto"/>
        </w:rPr>
        <w:t>We believe that we will also begin production of the initial commercial version of the Guardian Sea Class during 2023, and therefore we also offer that system for sale. During 2022, as a result of supply chain constraints, product readiness and perceived market demand, we decided to focus on the development and commercialization of the Guardian XM and Guardian XT rather than the Guardian XO. We used that time as an opportunity to do a full product evaluation of the Guardian XO and determined that it required additional development before commercialization, in particular with regards to weight and additional safety enhancements. Although this will result in further delays in the commercialization of the Guardian XO, we continue to develop the system for commercialization and reap the benefits of our product development work on the Guardian XO as we apply its technology to our other systems and solutions. We have also seen meaningful market demand for our Guardian Sea Class system and, as that system is nearing commercial readiness, have decided to also focus on the commercialization of that system.</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we offer for sale our Guardian S remote-controlled visual inspection and surveillance robotic system and our Guardian HLS heavy-lift pneumatic rescue and recovery system designed in collaboration with the Air Force Research Laboratory (AFRL) to lift armored tactical vehicles and other substantial payloads when the speed, timing and accuracy of operations are crucial. Our Guardian GT system is a custom product in the early stages of development and is being designed to be similar to the Guardian XT, but much larger in size. We expect future development and production of the Guardian GT to be on a bespoke basis in collaboration with each customer desiring the product. These systems are not currently a focus of our commercial efforts, and we do not expect the Guardian S, Guardian HLS or Guardian GT systems to comprise a meaningful part of our future 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Robotic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Guardian XM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Guardian XM system is an intelligent robotic manipulator that offers speed, dexterity, precision and strength in a compact, lightweight package. With six degrees of freedom, an optimized strength-to-weight ratio, embedded intelligence and a hardware design that can withstand extreme temperatures and environmental conditions, the Guardian XM system can be used for a variety of complex outdoor and indoor applications. It is compatible with our autonomy software, enabling semi-autonomous mobile manipulation in structured environments, such as in a factory with controlled lighting, and in unstructured environments like outdoor construction sites. When human-in-the-loop control is required, the Guardian XM system can be teleoperated. Key features of the Guardian XM system include:</w:t>
      </w:r>
    </w:p>
    <w:p>
      <w:pPr>
        <w:spacing w:after="0" w:line="84"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Enhanced Mobility. </w:t>
      </w:r>
      <w:r>
        <w:rPr>
          <w:rFonts w:ascii="Arial" w:cs="Arial" w:eastAsia="Arial" w:hAnsi="Arial"/>
          <w:sz w:val="18"/>
          <w:szCs w:val="18"/>
          <w:color w:val="auto"/>
        </w:rPr>
        <w:t>The Guardian XM is designed for enhanced mobile manipulation through:</w:t>
      </w:r>
    </w:p>
    <w:p>
      <w:pPr>
        <w:spacing w:after="0" w:line="11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optimized strength-to-weight ratio;</w:t>
      </w:r>
    </w:p>
    <w:p>
      <w:pPr>
        <w:spacing w:after="0" w:line="117" w:lineRule="exact"/>
        <w:rPr>
          <w:rFonts w:ascii="Arial" w:cs="Arial" w:eastAsia="Arial" w:hAnsi="Arial"/>
          <w:sz w:val="18"/>
          <w:szCs w:val="18"/>
          <w:color w:val="auto"/>
        </w:rPr>
      </w:pPr>
    </w:p>
    <w:p>
      <w:pPr>
        <w:ind w:left="1540" w:right="20" w:hanging="509"/>
        <w:spacing w:after="0" w:line="277" w:lineRule="auto"/>
        <w:rPr>
          <w:rFonts w:ascii="Arial" w:cs="Arial" w:eastAsia="Arial" w:hAnsi="Arial"/>
          <w:sz w:val="18"/>
          <w:szCs w:val="18"/>
          <w:color w:val="auto"/>
        </w:rPr>
      </w:pPr>
      <w:r>
        <w:rPr>
          <w:rFonts w:ascii="Arial" w:cs="Arial" w:eastAsia="Arial" w:hAnsi="Arial"/>
          <w:sz w:val="18"/>
          <w:szCs w:val="18"/>
          <w:color w:val="auto"/>
        </w:rPr>
        <w:t>onot requiring an external control box due to being powered with low-voltage DC embedded computing and intelligence to minimize its footprint; and</w:t>
      </w:r>
    </w:p>
    <w:p>
      <w:pPr>
        <w:spacing w:after="0" w:line="62"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hardened mechanical design that is resilient to shock and vibration and can operate both indoors and outdoors.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Standard Interfaces. </w:t>
      </w:r>
      <w:r>
        <w:rPr>
          <w:rFonts w:ascii="Arial" w:cs="Arial" w:eastAsia="Arial" w:hAnsi="Arial"/>
          <w:sz w:val="16"/>
          <w:szCs w:val="16"/>
          <w:color w:val="auto"/>
        </w:rPr>
        <w:t>Standard power and communication interfaces allow for fast and easy integration with third-party tools and sensors.</w:t>
      </w:r>
    </w:p>
    <w:p>
      <w:pPr>
        <w:spacing w:after="0" w:line="248"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Capable of Many Tasks. </w:t>
      </w:r>
      <w:r>
        <w:rPr>
          <w:rFonts w:ascii="Arial" w:cs="Arial" w:eastAsia="Arial" w:hAnsi="Arial"/>
          <w:sz w:val="16"/>
          <w:szCs w:val="16"/>
          <w:color w:val="auto"/>
        </w:rPr>
        <w:t>A standard end-effector interface allows for the integration of a wide variety of interchangeable end-of-arm tools.</w:t>
      </w:r>
    </w:p>
    <w:p>
      <w:pPr>
        <w:spacing w:after="0" w:line="248"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Durable for Use in Harsh Conditions. </w:t>
      </w:r>
      <w:r>
        <w:rPr>
          <w:rFonts w:ascii="Arial" w:cs="Arial" w:eastAsia="Arial" w:hAnsi="Arial"/>
          <w:sz w:val="18"/>
          <w:szCs w:val="18"/>
          <w:color w:val="auto"/>
        </w:rPr>
        <w:t>The Guardian XM’s rugged hardware is tolerant to extreme temperatures and harsh environmental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such as rain, sleet, snow and the corrosive effects of salt spray.</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Precision. </w:t>
      </w:r>
      <w:r>
        <w:rPr>
          <w:rFonts w:ascii="Arial" w:cs="Arial" w:eastAsia="Arial" w:hAnsi="Arial"/>
          <w:sz w:val="17"/>
          <w:szCs w:val="17"/>
          <w:color w:val="auto"/>
        </w:rPr>
        <w:t>Six degrees of freedom, including continuous wrist and elbow roll joints, allow for the precise placement of end-effectors.</w:t>
      </w:r>
    </w:p>
    <w:p>
      <w:pPr>
        <w:spacing w:after="0" w:line="236"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Semi-autonomous Capability. </w:t>
      </w:r>
      <w:r>
        <w:rPr>
          <w:rFonts w:ascii="Arial" w:cs="Arial" w:eastAsia="Arial" w:hAnsi="Arial"/>
          <w:sz w:val="18"/>
          <w:szCs w:val="18"/>
          <w:color w:val="auto"/>
        </w:rPr>
        <w:t>The Guardian XM has the capability to perform semi-autonomous manipulation using our proprietary Detect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multi-modal computer vision software and our proprietary Intellect multi-algorithm AI software.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Guardian XT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jc w:val="both"/>
        <w:spacing w:after="0" w:line="273" w:lineRule="auto"/>
        <w:rPr>
          <w:sz w:val="20"/>
          <w:szCs w:val="20"/>
          <w:color w:val="auto"/>
        </w:rPr>
      </w:pPr>
      <w:r>
        <w:rPr>
          <w:rFonts w:ascii="Arial" w:cs="Arial" w:eastAsia="Arial" w:hAnsi="Arial"/>
          <w:sz w:val="17"/>
          <w:szCs w:val="17"/>
          <w:color w:val="auto"/>
        </w:rPr>
        <w:t>The Guardian XT is a highly-dexterous, mobile robotic system designed to combine robotic strength and precision with human judgment and ingenuity via teleoperation and increase productivity and worker safety in dangerous, complex and unstructured industrial environments. Its versatile design enables mounting to various third-party mobile and lift platforms and allows operators to control their trade tools remotely while working at height, overhead or at ground level. The Guardian XT is based on the upper body of the Guardian XO exoskeleton and is designed to be a one- or two-armed system that is platform-agnostic and attachable to various mobile bases. The two-armed Guardian XT system can lift and manipulate up to 200 lbs. and accomplish precision tasks under various conditions. Key features of the Guardian XT system include:</w:t>
      </w:r>
    </w:p>
    <w:p>
      <w:pPr>
        <w:spacing w:after="0" w:line="178" w:lineRule="exact"/>
        <w:rPr>
          <w:sz w:val="20"/>
          <w:szCs w:val="20"/>
          <w:color w:val="auto"/>
        </w:rPr>
      </w:pPr>
    </w:p>
    <w:p>
      <w:pPr>
        <w:jc w:val="both"/>
        <w:ind w:left="1020" w:hanging="503"/>
        <w:spacing w:after="0" w:line="25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Remote, Safe and Intuitive Operation. </w:t>
      </w:r>
      <w:r>
        <w:rPr>
          <w:rFonts w:ascii="Arial" w:cs="Arial" w:eastAsia="Arial" w:hAnsi="Arial"/>
          <w:sz w:val="18"/>
          <w:szCs w:val="18"/>
          <w:color w:val="auto"/>
        </w:rPr>
        <w:t>The Guardian XT offers remote, safe operation to perform precise, dexterous tasks using intuitive,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easy-to-use custom and off-the-shelf trade tools that provide situational awareness to the operator. The system comes with an intuitive Operator Control Station (OCS) that includes a controller to operate the system with an HD touch screen display for monitoring, programming and controlling the robotic system. The robotic system can be teleoperated intuitively, without any prior experience, by the human operator.</w:t>
      </w:r>
    </w:p>
    <w:p>
      <w:pPr>
        <w:spacing w:after="0" w:line="18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Anthropomorphic. </w:t>
      </w:r>
      <w:r>
        <w:rPr>
          <w:rFonts w:ascii="Arial" w:cs="Arial" w:eastAsia="Arial" w:hAnsi="Arial"/>
          <w:sz w:val="18"/>
          <w:szCs w:val="18"/>
          <w:color w:val="auto"/>
        </w:rPr>
        <w:t>Operated in part by mimicking the natural movement of the operator. A robot head, equipped with cameras located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where a human would see provides situational awareness with which the human operator is already familiar, including the spatial relationship between the sensory input and the robotic arm.</w:t>
      </w:r>
    </w:p>
    <w:p>
      <w:pPr>
        <w:spacing w:after="0" w:line="183"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Flexibility. </w:t>
      </w:r>
      <w:r>
        <w:rPr>
          <w:rFonts w:ascii="Arial" w:cs="Arial" w:eastAsia="Arial" w:hAnsi="Arial"/>
          <w:sz w:val="18"/>
          <w:szCs w:val="18"/>
          <w:color w:val="auto"/>
        </w:rPr>
        <w:t>The Guardian XT is capable of indoor and outdoor use, and is battery-operated for mobile use in unstructured environments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also accommodate installed power sources). Further, a combination of robotic arms, torso and actuated end-effectors enables a wide range of motion and dexterity (e.g., reach, grab, raise/lower, turn). The tasks carried out by the system can be complex, and occur in unstructured environments where automation is currently not a practical alternative.</w:t>
      </w:r>
    </w:p>
    <w:p>
      <w:pPr>
        <w:spacing w:after="0" w:line="186"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Strength. </w:t>
      </w:r>
      <w:r>
        <w:rPr>
          <w:rFonts w:ascii="Arial" w:cs="Arial" w:eastAsia="Arial" w:hAnsi="Arial"/>
          <w:sz w:val="18"/>
          <w:szCs w:val="18"/>
          <w:color w:val="auto"/>
        </w:rPr>
        <w:t>Each arm can lift and manipulate up to 100 lbs.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are also developing a variant of the Guardian XT for the U.S. military, the Guardian DX, for defense logistics and maintenance applications.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Guardian Sea Class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Guardian Sea Class robotic system is designed to provide human-like manipulation capability in complex underwater environments. Whether used for commercial applications or military operations, the system can reduce the need to put divers in the water and can explore depths that are unsafe for humans. An electromechanical system that can stay submerged for up to two hours at a time, it remains fully operational in depths up to 1 kilometer. The system is a one- or two-armed system that is integrated into third-party ROVs from major manufacturers and that can be teleoperated or operated through optional semi-autonomous control. The electromechanical system’s low-power stand-by state enables the use of mobile power sources and helps extend run time for enhanced productivity. Key features of the Guardian Sea Class system include:</w:t>
      </w:r>
    </w:p>
    <w:p>
      <w:pPr>
        <w:spacing w:after="0" w:line="178" w:lineRule="exact"/>
        <w:rPr>
          <w:sz w:val="20"/>
          <w:szCs w:val="20"/>
          <w:color w:val="auto"/>
        </w:rPr>
      </w:pPr>
    </w:p>
    <w:p>
      <w:pPr>
        <w:jc w:val="both"/>
        <w:ind w:left="1020" w:hanging="503"/>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Optimized for Size and Power Usage. </w:t>
      </w:r>
      <w:r>
        <w:rPr>
          <w:rFonts w:ascii="Arial" w:cs="Arial" w:eastAsia="Arial" w:hAnsi="Arial"/>
          <w:sz w:val="18"/>
          <w:szCs w:val="18"/>
          <w:color w:val="auto"/>
        </w:rPr>
        <w:t>Electronically driven, energy-saving system that provides reduced weight, size and expense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with hydraulic power unit systems. Lightweight, compact design allows for a smaller “footprint,” or volume, in constricted or precarious environments.</w:t>
      </w:r>
    </w:p>
    <w:p>
      <w:pPr>
        <w:spacing w:after="0" w:line="183"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Water Resistant. </w:t>
      </w:r>
      <w:r>
        <w:rPr>
          <w:rFonts w:ascii="Arial" w:cs="Arial" w:eastAsia="Arial" w:hAnsi="Arial"/>
          <w:sz w:val="18"/>
          <w:szCs w:val="18"/>
          <w:color w:val="auto"/>
        </w:rPr>
        <w:t>Fewer sealed surfaces than comparable hydraulic systems to significantly lower maintenance costs and risk of 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downtime due to failure. Closed, sealed design protects the electrical system from water ingress.</w:t>
      </w:r>
    </w:p>
    <w:p>
      <w:pPr>
        <w:spacing w:after="0" w:line="17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One- or Two- Armed System. </w:t>
      </w:r>
      <w:r>
        <w:rPr>
          <w:rFonts w:ascii="Arial" w:cs="Arial" w:eastAsia="Arial" w:hAnsi="Arial"/>
          <w:sz w:val="18"/>
          <w:szCs w:val="18"/>
          <w:color w:val="auto"/>
        </w:rPr>
        <w:t>Can be equipped with two mirrored six-degree-of-freedom arms to improve modularity and reduce training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for service and repair.</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Precision. </w:t>
      </w:r>
      <w:r>
        <w:rPr>
          <w:rFonts w:ascii="Arial" w:cs="Arial" w:eastAsia="Arial" w:hAnsi="Arial"/>
          <w:sz w:val="18"/>
          <w:szCs w:val="18"/>
          <w:color w:val="auto"/>
        </w:rPr>
        <w:t>Neutral buoyancy improves ROV/system balance and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Guardian XO</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Guardian XO is a full-body, powered exoskeleton designed to augment user strength, endurance and precision without materially restricting freedom of movement. We expect that the Guardian XO will enable the operator to safely lift significantly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jc w:val="both"/>
        <w:spacing w:after="0" w:line="342" w:lineRule="auto"/>
        <w:rPr>
          <w:sz w:val="20"/>
          <w:szCs w:val="20"/>
          <w:color w:val="auto"/>
        </w:rPr>
      </w:pPr>
      <w:r>
        <w:rPr>
          <w:rFonts w:ascii="Arial" w:cs="Arial" w:eastAsia="Arial" w:hAnsi="Arial"/>
          <w:sz w:val="16"/>
          <w:szCs w:val="16"/>
          <w:color w:val="auto"/>
        </w:rPr>
        <w:t>more than the 35-40 lbs. typically recommended by OSHA with small effort in a wide range of use-cases and industrial processes. The Guardian XO’s advanced sensing and control system is designed to provide both responsiveness and fluidity of movement, making it user-friendly and intuitive to operate.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Guardian XO is intended to enhance productivity, mitigate worker fatigue, reduce the risk of workplace injuries and democratize the labor force by augmenting the capabilities of individuals otherwise physically unable to perform the required tasks. We believe the Guardian XO has the potential to revolutionize the way work gets done in a variety of industries, such as aerospace/aviation, automotive, construction, defense, distribution and warehousing for ecommerce and other industries, industrial manufacturing, maritime and power and utilities.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Key features of the Guardian XO will include:</w:t>
      </w:r>
    </w:p>
    <w:p>
      <w:pPr>
        <w:spacing w:after="0" w:line="225" w:lineRule="exact"/>
        <w:rPr>
          <w:sz w:val="20"/>
          <w:szCs w:val="20"/>
          <w:color w:val="auto"/>
        </w:rPr>
      </w:pPr>
    </w:p>
    <w:p>
      <w:pPr>
        <w:ind w:left="1020" w:hanging="503"/>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Added Strength and Endurance</w:t>
      </w:r>
      <w:r>
        <w:rPr>
          <w:rFonts w:ascii="Arial" w:cs="Arial" w:eastAsia="Arial" w:hAnsi="Arial"/>
          <w:sz w:val="16"/>
          <w:szCs w:val="16"/>
          <w:color w:val="auto"/>
        </w:rPr>
        <w:t>. The exoskeleton is expected to enable the operator to carry significantly more than the 35-40 lbs. typically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recommended by OSHA. It is also designed to enable a smooth lifting motion by dynamically compensating for gravity and inertia.</w:t>
      </w:r>
    </w:p>
    <w:p>
      <w:pPr>
        <w:spacing w:after="0" w:line="123"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Battery-powered for Mobile Performance and Near-continuous Use</w:t>
      </w:r>
      <w:r>
        <w:rPr>
          <w:rFonts w:ascii="Arial" w:cs="Arial" w:eastAsia="Arial" w:hAnsi="Arial"/>
          <w:sz w:val="18"/>
          <w:szCs w:val="18"/>
          <w:color w:val="auto"/>
        </w:rPr>
        <w:t>. The Guardian XO will be powered by onboard hot-swappable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batteries intended to provide near-continuous operation. Additionally, the XO Pod docking station is expected to facilitate battery charging, donning and doffing of the system and data management.</w:t>
      </w:r>
    </w:p>
    <w:p>
      <w:pPr>
        <w:spacing w:after="0" w:line="183" w:lineRule="exact"/>
        <w:rPr>
          <w:rFonts w:ascii="Arial" w:cs="Arial" w:eastAsia="Arial" w:hAnsi="Arial"/>
          <w:sz w:val="18"/>
          <w:szCs w:val="18"/>
          <w:color w:val="auto"/>
        </w:rPr>
      </w:pPr>
    </w:p>
    <w:p>
      <w:pPr>
        <w:jc w:val="both"/>
        <w:ind w:left="1020" w:hanging="503"/>
        <w:spacing w:after="0" w:line="291"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Sensors and Advanced Control Systems for Enhanced Maneuverability and Mobility</w:t>
      </w:r>
      <w:r>
        <w:rPr>
          <w:rFonts w:ascii="Arial" w:cs="Arial" w:eastAsia="Arial" w:hAnsi="Arial"/>
          <w:sz w:val="16"/>
          <w:szCs w:val="16"/>
          <w:color w:val="auto"/>
        </w:rPr>
        <w:t>. Integrated sensors in the Guardian XO are expected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enable the system’s advanced controls system to detect movement (position, force, angular rate, orientation, torque and speed) in milliseconds to eliminate perceived latency. Maneuverability and mobility are intended to be provided through gravity compensation, which will cause the robot to feel almost weightless to the user, and many motorized joints, or degrees of freedom, which will allow the user to move freely and naturally in unstructured environments. The Guardian XO is also expected to include a “hands-free” mode in which the user can lock the suit’s arms while carrying a heavy load and simultaneously complete dexterous tasks requiring human hands. Each system will be equipped with a user-friendly control interface for user controls and diagnostics notification display.</w:t>
      </w:r>
    </w:p>
    <w:p>
      <w:pPr>
        <w:spacing w:after="0" w:line="166" w:lineRule="exact"/>
        <w:rPr>
          <w:rFonts w:ascii="Arial" w:cs="Arial" w:eastAsia="Arial" w:hAnsi="Arial"/>
          <w:sz w:val="16"/>
          <w:szCs w:val="16"/>
          <w:color w:val="auto"/>
        </w:rPr>
      </w:pPr>
    </w:p>
    <w:p>
      <w:pPr>
        <w:jc w:val="both"/>
        <w:ind w:left="1020" w:hanging="503"/>
        <w:spacing w:after="0" w:line="296"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Ergonomic, Safety-first Features for User Comfort and Injury Prevention</w:t>
      </w:r>
      <w:r>
        <w:rPr>
          <w:rFonts w:ascii="Arial" w:cs="Arial" w:eastAsia="Arial" w:hAnsi="Arial"/>
          <w:sz w:val="16"/>
          <w:szCs w:val="16"/>
          <w:color w:val="auto"/>
        </w:rPr>
        <w:t>. We are designing the Guardian XO to include important safety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features and accommodate customer-specialized protective gear and fall-prevention devices. In the event of a sudden power loss, redundant hardware and software are expected to enable “passive braking” to prevent or reduce user injury. In addition, the systems are expected to include a highly responsive control system to enable the user to execute fall-prevention motions such as stumble-recovery. We anticipate that users will be able to don and doff a system without assistance in less than 30 seconds, with additional provisions for sudden egress.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address the needs of our near-term target markets, we are developing use-case specific solutions:</w:t>
      </w:r>
    </w:p>
    <w:p>
      <w:pPr>
        <w:spacing w:after="0" w:line="225" w:lineRule="exact"/>
        <w:rPr>
          <w:sz w:val="20"/>
          <w:szCs w:val="20"/>
          <w:color w:val="auto"/>
        </w:rPr>
      </w:pPr>
    </w:p>
    <w:p>
      <w:pPr>
        <w:jc w:val="both"/>
        <w:ind w:left="1020" w:hanging="503"/>
        <w:spacing w:after="0" w:line="25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Aviation</w:t>
      </w:r>
      <w:r>
        <w:rPr>
          <w:rFonts w:ascii="Arial" w:cs="Arial" w:eastAsia="Arial" w:hAnsi="Arial"/>
          <w:sz w:val="18"/>
          <w:szCs w:val="18"/>
          <w:color w:val="auto"/>
        </w:rPr>
        <w:t>. We are developing solutions to address aircraft servicing (such as de-icing) and baggage-handling (loading and unloading airplane</w:t>
      </w:r>
      <w:r>
        <w:rPr>
          <w:rFonts w:ascii="Arial" w:cs="Arial" w:eastAsia="Arial" w:hAnsi="Arial"/>
          <w:sz w:val="18"/>
          <w:szCs w:val="18"/>
          <w:i w:val="1"/>
          <w:iCs w:val="1"/>
          <w:color w:val="auto"/>
        </w:rPr>
        <w:t xml:space="preserve"> </w:t>
      </w:r>
      <w:r>
        <w:rPr>
          <w:rFonts w:ascii="Arial" w:cs="Arial" w:eastAsia="Arial" w:hAnsi="Arial"/>
          <w:sz w:val="18"/>
          <w:szCs w:val="18"/>
          <w:color w:val="auto"/>
        </w:rPr>
        <w:t>baggage compartments) use-cases. We expect these solutions to reduce delays on the tarmac by enabling work to be done when humans are not able to perform the tasks (such as during lightning or other severe weather events) and to otherwise increase productivity by reducing the number of human workers needed to complete the tasks.</w:t>
      </w:r>
    </w:p>
    <w:p>
      <w:pPr>
        <w:spacing w:after="0" w:line="186"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Construction / Surface Preparation. </w:t>
      </w:r>
      <w:r>
        <w:rPr>
          <w:rFonts w:ascii="Arial" w:cs="Arial" w:eastAsia="Arial" w:hAnsi="Arial"/>
          <w:sz w:val="18"/>
          <w:szCs w:val="18"/>
          <w:color w:val="auto"/>
        </w:rPr>
        <w:t>We are developing a solution based on the Guardian XM to address surface preparation that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adaptable to a variety of contexts, such as buildings, ships and airplanes, to enable blasting and paint removal, painting, washing and similar activities. We expect this solution to address human safety and health concerns frequently associated with these activities, increase precision and productivity and reducing scaffolding work and costs.</w:t>
      </w:r>
    </w:p>
    <w:p>
      <w:pPr>
        <w:spacing w:after="0" w:line="186"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Defense</w:t>
      </w:r>
      <w:r>
        <w:rPr>
          <w:rFonts w:ascii="Arial" w:cs="Arial" w:eastAsia="Arial" w:hAnsi="Arial"/>
          <w:sz w:val="18"/>
          <w:szCs w:val="18"/>
          <w:color w:val="auto"/>
        </w:rPr>
        <w:t>. Some of our solutions have defense applications. For example, our surface preparation solutions can work on Navy ships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maritime solutions can assist with mine clearing.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jc w:val="both"/>
        <w:ind w:left="1020" w:right="20" w:hanging="503"/>
        <w:spacing w:after="0" w:line="301"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Maritime</w:t>
      </w:r>
      <w:r>
        <w:rPr>
          <w:rFonts w:ascii="Arial" w:cs="Arial" w:eastAsia="Arial" w:hAnsi="Arial"/>
          <w:sz w:val="16"/>
          <w:szCs w:val="16"/>
          <w:color w:val="auto"/>
        </w:rPr>
        <w:t>. We are developing maritime solutions based on the Guardian Sea Class system to address a variety of underwater use-cases,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ship inspection (damage or security), rudder and prop shaft clearing, contraband recovery, mine clearing, salvage and infrastructure (locks, dams, power plants) inspection and debris removal and obstruction clearing. We believe the Guardian Sea Class solutions will reduce the need for divers to be in dangerous, underwater conditions and increase the depths and duration at which work can be done.</w:t>
      </w:r>
    </w:p>
    <w:p>
      <w:pPr>
        <w:spacing w:after="0" w:line="157" w:lineRule="exact"/>
        <w:rPr>
          <w:rFonts w:ascii="Arial" w:cs="Arial" w:eastAsia="Arial" w:hAnsi="Arial"/>
          <w:sz w:val="16"/>
          <w:szCs w:val="16"/>
          <w:color w:val="auto"/>
        </w:rPr>
      </w:pPr>
    </w:p>
    <w:p>
      <w:pPr>
        <w:jc w:val="both"/>
        <w:ind w:left="1020" w:hanging="503"/>
        <w:spacing w:after="0" w:line="279"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Power and utilities</w:t>
      </w:r>
      <w:r>
        <w:rPr>
          <w:rFonts w:ascii="Arial" w:cs="Arial" w:eastAsia="Arial" w:hAnsi="Arial"/>
          <w:sz w:val="17"/>
          <w:szCs w:val="17"/>
          <w:color w:val="auto"/>
        </w:rPr>
        <w:t>. We are developing a solution to address vegetation management for the power and utilities market. This solution is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the Guardian XT system and is being designed to remove vegetation at a height of up to 45 feet and be able to cover over a kilometer of distance per day. Based on customer feedback, we expect this solution to extend daily work hours (multiple-shifts), reduce the impact of weather conditions (heat, wind, rain) on productivity and reduce the dependence on human workers.</w:t>
      </w:r>
    </w:p>
    <w:p>
      <w:pPr>
        <w:spacing w:after="0" w:line="171" w:lineRule="exact"/>
        <w:rPr>
          <w:rFonts w:ascii="Arial" w:cs="Arial" w:eastAsia="Arial" w:hAnsi="Arial"/>
          <w:sz w:val="17"/>
          <w:szCs w:val="17"/>
          <w:color w:val="auto"/>
        </w:rPr>
      </w:pPr>
    </w:p>
    <w:p>
      <w:pPr>
        <w:jc w:val="both"/>
        <w:ind w:left="1020" w:hanging="503"/>
        <w:spacing w:after="0" w:line="255"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Solar Field Construction</w:t>
      </w:r>
      <w:r>
        <w:rPr>
          <w:rFonts w:ascii="Arial" w:cs="Arial" w:eastAsia="Arial" w:hAnsi="Arial"/>
          <w:sz w:val="18"/>
          <w:szCs w:val="18"/>
          <w:color w:val="auto"/>
        </w:rPr>
        <w:t>. We are developing a solar field construction solution to automate the installation of photovoltaic, or PV, panels at</w:t>
      </w:r>
      <w:r>
        <w:rPr>
          <w:rFonts w:ascii="Arial" w:cs="Arial" w:eastAsia="Arial" w:hAnsi="Arial"/>
          <w:sz w:val="18"/>
          <w:szCs w:val="18"/>
          <w:i w:val="1"/>
          <w:iCs w:val="1"/>
          <w:color w:val="auto"/>
        </w:rPr>
        <w:t xml:space="preserve"> </w:t>
      </w:r>
      <w:r>
        <w:rPr>
          <w:rFonts w:ascii="Arial" w:cs="Arial" w:eastAsia="Arial" w:hAnsi="Arial"/>
          <w:sz w:val="18"/>
          <w:szCs w:val="18"/>
          <w:color w:val="auto"/>
        </w:rPr>
        <w:t>utility scale solar sites. Early prototypes have been based on the Guardian XM, but we expect the commercial version of this solution to be based on a new system comprising aspects of both the Guardian XM and Guardian XT systems. We believe that our solar field construction solution will increase productivity through increasing the number of panels that can be installed in a given day, reducing damage to PV panels arising from human accidents or mishandling and reducing the size of installation crews to help address the labor shortages facing the industry.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robotic systems and solutions are the combination of advanced robot technology and software. As a result, our software is a critical part of our systems and solutions and our ability to create robotic solutions for dynamic, unstructured environments. In part with initial funding from the U.S. Airforce, we have developed and are developing software leveraging artificial intelligence and machine learning technologies that is designed to optimize the significant capabilities of our robots. Among other things, we are developing our software to enable:</w:t>
      </w:r>
    </w:p>
    <w:p>
      <w:pPr>
        <w:spacing w:after="0" w:line="187"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Intelligent teleoperation</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Supervised and multi-algorithm autonomy</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Multi-modal computer vision and fused perception</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Success-based reinforcement learning</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Motion planning and optimization</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Predictive fault compensation</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Fused perception</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Physics-based simulation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Each of our robotic systems and solutions comes with a baseline software package that enables basic operation and useability of the system, teleoperation and semi-autonomous capabilities, cybersecurity, controls and communications. For our market and use-case specific solutions, we will also include additional software designed to meet the base requirements of the particular use-case. In either case, for customers who want additional features, we will sell or license upgrades to the baseline package. For example, we intend to offer supervised autonomy as an incremental service. Combined with our advanced, success-based learning AI approach, our supervised autonomy software framework uses multi-modal sensor data to optimally perceive, interact, and conceptualize unstructured environments to harness the power of real-time and learned-behavior data inputs that allow the applicable robotic systems to successfully execute task-specific autonomy in unstructured environments. Our advanced, success-based AI enables human workers’ flexibility, creativity and improvisation skills to deliver improved workflow performance and safer interactions between humans and machines in unstructured environments. Other enhancements that we intend to develop and offer include advanced teleoperation capabilities, task libraries (predefined data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sets, tools, inferencing models and scripts for controlling specific workflow execution) and fleet management and remote monitoring to allow a human operator to remotely control or supervise several robots from a central control location.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we are exploring opportunities to sell and license our software separate from our own robots for use in third-party systems. We anticipate that this will largely be done through a software-as-a-service license model.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Robot Service Platform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refer to the combination of our software and the web-based portal we are developing to enable customers to monitor and configure the robotic systems and solutions they purchase as our “robot service platform.” We are designing our robot service platform to enable us to provide customers with additional data analytics, operational tools, systems diagnostics, bug fixes and software upgrade deployment and other features, as well as a web-based portal where the customer can access information and request upgrades.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long run, we believe that we will be able to offer robotic systems and solutions that will benefit many markets and industries. As a result, we believe that the global total addressable market, or TAM, for our robotic systems and solutions is large and will reach approximately $600 billion in 2029, which we estimated based on independent third-party research regarding the TAM for the solar power, construction, aerospace/aviation and maritime markets. Of the global TAM, we estimate our global serviceable addressable market, or SAM, will be approximately $9.3 billion in 2029. Finally, we believe that our global serviceable obtainable market, or SOM, will be approximately $1.2 billion by 2029, which is calculated as 13.5% of 2029 global SAM and assumes that our products will penetrate the Early Adopters phase of the Rogers' Innovation-Adoption Lifecycle by 2029. We assume that our initial customer base will be comprised of innovators and early adopters in the industries we are targeting. Following successful deployment with these early adopters, we believe that there will be many potential customers that are fast-followers.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2029 TAM and SAM estimates for our principal target industries were: (1) solar power - $373.8 billion and $334 million, respectively; (2) construction</w:t>
      </w:r>
    </w:p>
    <w:p>
      <w:pPr>
        <w:spacing w:after="0" w:line="46" w:lineRule="exact"/>
        <w:rPr>
          <w:sz w:val="20"/>
          <w:szCs w:val="20"/>
          <w:color w:val="auto"/>
        </w:rPr>
      </w:pPr>
    </w:p>
    <w:p>
      <w:pPr>
        <w:jc w:val="both"/>
        <w:ind w:firstLine="8"/>
        <w:spacing w:after="0" w:line="267" w:lineRule="auto"/>
        <w:tabs>
          <w:tab w:leader="none" w:pos="11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$156.2 billion and $2.4 billion, respectively; (3) aerospace/aviation - $68.6 billion and $1.9 billion, respectively; and (4) maritime - $8.0 billion and $4.5 billion, respectively. Other than construction, each 2029 industry TAM estimate is from independent third-party research. To calculate the construction TAM, we projected from 2023 TAM using a 2023-2030 compound annual growth rate, or CAGR, where the 2023 TAM and 2023-2030 CAGR are from independent third-party research. To calculate each 2029 industry SAM, we projected from 2023 or 2024 industry SAM, which are from commissioned third-party research, using the industry CAGRs from the independent third-party TAM research, and assume the following: (a) average selling price (ASP) of $127,000 for each industry except maritime, where we assume $590,000 ASP, and (b) no material change in SAM from 2023 to 2024. Furthermore, global SAM assumes target markets in (a) 13 countries (Australia, Brazil, China, France, Germany, Italy, Japan, South Korea, Mexico, New Zealand, Spain, the United Kingdom and the United States) for solar power; (b) the same 13 countries plus Canada and Norway for maritime; (c) the same 13 countries for commercial aerospace/aviation and the United States only for defense aerospace/aviation; and (d) the United States only for construction. We believe our estimates are based on reasonable assumptions given our technology's leadership position in the category of industrial, highly-dexterous mobile robotic systems, the general lack of directly competitive products in this new category, our plans to further differentiate our products via AI-enabled performance enhancing software and our interactions with leading industrial companies across a number of verticals. However it is possible that these assumptions will proved incorrect, and, as a result, actual results and market sizes may deviate materially from our estimates. See Part I Item 1A Risk Factors - </w:t>
      </w:r>
      <w:r>
        <w:rPr>
          <w:rFonts w:ascii="Arial" w:cs="Arial" w:eastAsia="Arial" w:hAnsi="Arial"/>
          <w:sz w:val="17"/>
          <w:szCs w:val="17"/>
          <w:i w:val="1"/>
          <w:iCs w:val="1"/>
          <w:color w:val="auto"/>
        </w:rPr>
        <w:t>“Our operating and financial projections rely on management assumptions and analyses. If these assumptions or analyses prove to be incorrect,</w:t>
      </w:r>
      <w:r>
        <w:rPr>
          <w:rFonts w:ascii="Arial" w:cs="Arial" w:eastAsia="Arial" w:hAnsi="Arial"/>
          <w:sz w:val="17"/>
          <w:szCs w:val="17"/>
          <w:color w:val="auto"/>
        </w:rPr>
        <w:t xml:space="preserve"> </w:t>
      </w:r>
      <w:r>
        <w:rPr>
          <w:rFonts w:ascii="Arial" w:cs="Arial" w:eastAsia="Arial" w:hAnsi="Arial"/>
          <w:sz w:val="17"/>
          <w:szCs w:val="17"/>
          <w:i w:val="1"/>
          <w:iCs w:val="1"/>
          <w:color w:val="auto"/>
        </w:rPr>
        <w:t>our actual operating results may be materially different from our forecasted results.</w:t>
      </w:r>
      <w:r>
        <w:rPr>
          <w:rFonts w:ascii="Arial" w:cs="Arial" w:eastAsia="Arial" w:hAnsi="Arial"/>
          <w:sz w:val="17"/>
          <w:szCs w:val="17"/>
          <w:color w:val="auto"/>
        </w:rPr>
        <w:t>”</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near-term, due to a combination of size, growth opportunities and our current product portfolio, we have decided to focus our commercialization efforts on six primary markets and related use-cases: aviation, construction, defense, maritime, power and utility and solar energy. Further, we believe that many of the potential customers within these markets for the solutions we are currently commercializing have additional use-cases beyond what we are currently targeting that we could choose to address in the future as we continue to develop our systems and solutions to expand their capabilities and applications.</w:t>
      </w:r>
    </w:p>
    <w:p>
      <w:pPr>
        <w:spacing w:after="0" w:line="188" w:lineRule="exact"/>
        <w:rPr>
          <w:sz w:val="20"/>
          <w:szCs w:val="20"/>
          <w:color w:val="auto"/>
        </w:rPr>
      </w:pPr>
    </w:p>
    <w:p>
      <w:pPr>
        <w:ind w:left="102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Aviation</w:t>
      </w:r>
      <w:r>
        <w:rPr>
          <w:rFonts w:ascii="Arial" w:cs="Arial" w:eastAsia="Arial" w:hAnsi="Arial"/>
          <w:sz w:val="18"/>
          <w:szCs w:val="18"/>
          <w:color w:val="auto"/>
        </w:rPr>
        <w:t>. We are initially focused on providing a baggage-handling solution and certain other solutions (such as de-icing and aircraft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servicing) for the aviation ground services market.</w:t>
      </w:r>
    </w:p>
    <w:p>
      <w:pPr>
        <w:spacing w:after="0" w:line="17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Construction. </w:t>
      </w:r>
      <w:r>
        <w:rPr>
          <w:rFonts w:ascii="Arial" w:cs="Arial" w:eastAsia="Arial" w:hAnsi="Arial"/>
          <w:sz w:val="18"/>
          <w:szCs w:val="18"/>
          <w:color w:val="auto"/>
        </w:rPr>
        <w:t>According to an August 2022 report by Associated Builders and Contractors, as of July 2022 there were more than 375,000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unfilled construction jobs in the United States and construction workers were quitting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ind w:left="1020"/>
        <w:spacing w:after="0" w:line="258" w:lineRule="auto"/>
        <w:rPr>
          <w:sz w:val="20"/>
          <w:szCs w:val="20"/>
          <w:color w:val="auto"/>
        </w:rPr>
      </w:pPr>
      <w:r>
        <w:rPr>
          <w:rFonts w:ascii="Arial" w:cs="Arial" w:eastAsia="Arial" w:hAnsi="Arial"/>
          <w:sz w:val="17"/>
          <w:szCs w:val="17"/>
          <w:color w:val="auto"/>
        </w:rPr>
        <w:t>their jobs at a faster rate than they were laid off or discharged for the 17</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consecutive month. Further, based on 2022 U.S. Bureau of Labor Statistics, the construction industry has the highest level of workplace injuries resulting from falls, slips and trips. As a result, we believe the construction market is a significant opportunity for our solutions, primarily for surface preparation and other at-height work use-cases, to increase productivity and address the labor shortage while increasing worker safety.</w:t>
      </w:r>
    </w:p>
    <w:p>
      <w:pPr>
        <w:spacing w:after="0" w:line="187" w:lineRule="exact"/>
        <w:rPr>
          <w:sz w:val="20"/>
          <w:szCs w:val="20"/>
          <w:color w:val="auto"/>
        </w:rPr>
      </w:pPr>
    </w:p>
    <w:p>
      <w:pPr>
        <w:jc w:val="both"/>
        <w:ind w:left="1020" w:hanging="503"/>
        <w:spacing w:after="0" w:line="311"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Defense. </w:t>
      </w:r>
      <w:r>
        <w:rPr>
          <w:rFonts w:ascii="Arial" w:cs="Arial" w:eastAsia="Arial" w:hAnsi="Arial"/>
          <w:sz w:val="16"/>
          <w:szCs w:val="16"/>
          <w:color w:val="auto"/>
        </w:rPr>
        <w:t>We believe the defense industry will be an important market for us. We have worked with the U.S. Department of Defense for many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on product development to address its needs. Further, some of our commercial solutions have defense applications. For example, our surface preparation solutions can work on Navy ships and our maritime solutions can assist with mine clearing and ship inspection and repair.</w:t>
      </w:r>
    </w:p>
    <w:p>
      <w:pPr>
        <w:spacing w:after="0" w:line="148" w:lineRule="exact"/>
        <w:rPr>
          <w:rFonts w:ascii="Arial" w:cs="Arial" w:eastAsia="Arial" w:hAnsi="Arial"/>
          <w:sz w:val="16"/>
          <w:szCs w:val="16"/>
          <w:color w:val="auto"/>
        </w:rPr>
      </w:pPr>
    </w:p>
    <w:p>
      <w:pPr>
        <w:jc w:val="both"/>
        <w:ind w:left="1020" w:hanging="503"/>
        <w:spacing w:after="0" w:line="311"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Maritime</w:t>
      </w:r>
      <w:r>
        <w:rPr>
          <w:rFonts w:ascii="Arial" w:cs="Arial" w:eastAsia="Arial" w:hAnsi="Arial"/>
          <w:sz w:val="16"/>
          <w:szCs w:val="16"/>
          <w:color w:val="auto"/>
        </w:rPr>
        <w:t>. With the capability to work underwater for up to 2 hours, at depths of up to 1000 meters and to perform dexterous tasks semi-autonomously or by teleoperation, such as inspection, repair or object removal, we believe our Guardian Sea Class system and solutions have a large market opportunity while increasing safety by reducing the need for human divers to work in dangerous underwater conditions.</w:t>
      </w:r>
    </w:p>
    <w:p>
      <w:pPr>
        <w:spacing w:after="0" w:line="148" w:lineRule="exact"/>
        <w:rPr>
          <w:rFonts w:ascii="Arial" w:cs="Arial" w:eastAsia="Arial" w:hAnsi="Arial"/>
          <w:sz w:val="16"/>
          <w:szCs w:val="16"/>
          <w:color w:val="auto"/>
        </w:rPr>
      </w:pPr>
    </w:p>
    <w:p>
      <w:pPr>
        <w:jc w:val="both"/>
        <w:ind w:left="1020" w:hanging="503"/>
        <w:spacing w:after="0" w:line="25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Power and Utility</w:t>
      </w:r>
      <w:r>
        <w:rPr>
          <w:rFonts w:ascii="Arial" w:cs="Arial" w:eastAsia="Arial" w:hAnsi="Arial"/>
          <w:sz w:val="18"/>
          <w:szCs w:val="18"/>
          <w:color w:val="auto"/>
        </w:rPr>
        <w:t>. We are developing solutions for vegetation management and utility pole top repair, as well as underwater dam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inspection or repair use-cases, for use by power utilities. We believe these use-cases are significant opportunities for our solutions because they are designed to decrease the need for humans to work at height and in dangerous weather conditions or underwater and to increase productivity.</w:t>
      </w:r>
    </w:p>
    <w:p>
      <w:pPr>
        <w:spacing w:after="0" w:line="186" w:lineRule="exact"/>
        <w:rPr>
          <w:rFonts w:ascii="Arial" w:cs="Arial" w:eastAsia="Arial" w:hAnsi="Arial"/>
          <w:sz w:val="18"/>
          <w:szCs w:val="18"/>
          <w:color w:val="auto"/>
        </w:rPr>
      </w:pPr>
    </w:p>
    <w:p>
      <w:pPr>
        <w:jc w:val="both"/>
        <w:ind w:left="1020" w:hanging="503"/>
        <w:spacing w:after="0" w:line="25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Solar Field Construction</w:t>
      </w:r>
      <w:r>
        <w:rPr>
          <w:rFonts w:ascii="Arial" w:cs="Arial" w:eastAsia="Arial" w:hAnsi="Arial"/>
          <w:sz w:val="18"/>
          <w:szCs w:val="18"/>
          <w:color w:val="auto"/>
        </w:rPr>
        <w:t>. President Biden has announced that the United States is targeting a carbon pollution-free electrical grid by 2035.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According to the Solar Energy Industries Association, achieving the PV installation target to meet this goal will require roughly 900,000 solar panel installers. SEIA has estimated that as of 2020, there were approximately 230,000 such installers in the United States and that this number has declined since 2016. As a result, we believe there is a significant opportunity for our solution in the solar field construction market.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key elements of our growth strategy include: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Focused Effort on Commercialization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will continue to focus on the commercialization of select systems and solutions to increase speed to market and accelerate market penetration by targeting specific use-cases, while demonstrating our ability to sell, manufacture and service our products. We believe this will prove the benefits of our systems and solutions in everyday working conditions while confirming market demand and achieving and growing product revenue.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Develop our Robotic Systems and Solutions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plan to pursue continuous improvement of our current systems and solutions and to develop additional systems and solutions over time. We believe that as we show the commercial viability and benefits of our products in our initial target markets and use-cases, customers and potential customers will want to use robotics, and specifically our products, to address other use-cases that previously have not been conducive to automation. As our products are highly complex, we want to ensure that we continue to develop new systems and solutions to address new markets and use-cases, and thereby grow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Investment in Innovation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will continue to invest significant resources in developing proprietary technologies across hardware, firmware, software and controls to commercialize our robotic systems and solutions. We expect our research and development activities to focus on areas such as human-like dexterity with augmented strength and reach, energetic autonomy, safety, intelligent AI-based software, simulations/mixed reality and natural extended reality interactions between humans and robots. We believe that these investments will be critical to our future growth as we seek to expand the capabilities of our systems and to create new solutions to address new markets and use-cases, as well as to sell upgrades and additional functionality to previous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Efficient Manufacturing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8" w:name="page19"/>
    <w:bookmarkEnd w:id="18"/>
    <w:p>
      <w:pPr>
        <w:jc w:val="both"/>
        <w:spacing w:after="0" w:line="279" w:lineRule="auto"/>
        <w:rPr>
          <w:sz w:val="20"/>
          <w:szCs w:val="20"/>
          <w:color w:val="auto"/>
        </w:rPr>
      </w:pPr>
      <w:r>
        <w:rPr>
          <w:rFonts w:ascii="Arial" w:cs="Arial" w:eastAsia="Arial" w:hAnsi="Arial"/>
          <w:sz w:val="17"/>
          <w:szCs w:val="17"/>
          <w:color w:val="auto"/>
        </w:rPr>
        <w:t>We have decided to focus on a standard product sales model for our robotic systems and solutions instead of the robot-as-a-service, or RaaS, model we previously expected to pursue particularly for the Guardian XO and Guardian XT. The standard sales model has the benefit of reducing our capital requirements since we do not need to wait to recover our production costs over many months or years of RaaS subscription payments. As a result, we expect that our capital requirements will be reduced and that we can manufacture our systems and solutions in a more capital efficient manner.</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plan to engage one or more contract manufacturing partners and that, over time, our manufacturing partner(s) will be responsible for most of our manufacturing. We believe that leveraging the core strengths of a contract manufacturing partner will have the long-term benefits of increased speed to market, high-quality volume production and the ability to scale more quickly to meet demand, as well as potentially decreasing supply chain costs, reducing delays and expanding our supplier-base. Further, we would not need to build large-scale manufacturing facilities and incur the up-front capital investment and the recurring fixed costs and overhead that would be required for us to own and operate such manufacturing facilities. We expect outsourced manufacturing to allow us to focus on our core competencies while significantly reducing overall risk and give us the flexibility to quickly scale volumes up or down to match demand levels since we can leverage an established manufacturing operation and supply chain. </w:t>
      </w:r>
      <w:r>
        <w:rPr>
          <w:rFonts w:ascii="Arial" w:cs="Arial" w:eastAsia="Arial" w:hAnsi="Arial"/>
          <w:sz w:val="18"/>
          <w:szCs w:val="18"/>
          <w:i w:val="1"/>
          <w:iCs w:val="1"/>
          <w:color w:val="auto"/>
        </w:rPr>
        <w:t>See “—Manufacturing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Suppliers</w:t>
      </w:r>
      <w:r>
        <w:rPr>
          <w:rFonts w:ascii="Arial" w:cs="Arial" w:eastAsia="Arial" w:hAnsi="Arial"/>
          <w:sz w:val="18"/>
          <w:szCs w:val="18"/>
          <w:color w:val="auto"/>
        </w:rPr>
        <w:t>”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Collaborate with Development Customers to Expand Target Markets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engaged, are engaging and intend to engage in the future with development customers in various industries, including aerospace/aviation, construction, defense, utilities, solar, distribution and warehousing, industrial manufacturing, maritime and power and utilities. In many cases, these development customers pay us to develop our products, and this constitutes the bulk of our services revenue. This allows us to reduce our net loss and use of cash while continuing product development efforts to improve and commercialize our products, develop new products and establish relationships with potential commercial and government customers that have helped us create products designed to meet their needs. We believe working with these development customers will allow us to accelerate our brand awareness within these and adjacent industries and develop products that will meet the needs of a variety of potential customers. These relationships have already played an important role in helping us select the markets, use-cases and product capabilities we are currently pursuing.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while our focus has been primarily on the U.S. domestic market, we intend to explore opportunities in select non-U.S. markets as and when we deem appropriate.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Selective Strategic Acquisitions and Partnerships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pursue strategic acquisitions from time to time that we believe will be complementary to our existing business or otherwise increase the value proposition we deliver to our customers. We may pursue acquisitions that we believe will help us add new or enhanced capabilities or technology, expand our product offering, accelerate customer growth, enter new markets or add talent and expertise to our organization. For example, our acquisition of RE2, Inc. in April 2022 provided many of these benefits, including bringing much needed and hard to hire engineering talent into our company. In addition, the RE2 acquisition has brought us additional technology, products and customers that are key elements of many of our currently targeted markets, use-cases and solutions, such as solar field construction, baggage-handling and maritime.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also enter into strategic partnerships from time to time, including to combine our product offerings with those of our partners. For example, we may partner with companies whose products may serve as a mobile base for the Guardian XT or an integrated ROV for the Guardian Sea Class and offer the combined unit as a standalone product or solution. Among other benefits, these partnerships could reduce barriers to customer adoption and use of our products, allow us to leverage the partner’s existing sales and distribution channels or provide lead generation and conversion of additional potential customers for our other product offerings.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Differentiated and Proprietary Technology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our technology distinguishes us from others in the industrial robotics space because our technology seeks to augment, rather than replace, humans by combining human intelligence, instinct and judgment with the strength, endurance and precision of machines. We are a pioneer in the robotic systems industry and benefit from lessons learned over more than 30 years and $375 million in research and development investment in our proprietary technologies, as well as our extensive patent portfolio. We believe that our innovations, including advances in energetic outdoor mobile manipulation, human like dexterity, intelligent AI-based software for controls and outdoor autonomy and immersive teleoperation technology for natural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jc w:val="both"/>
        <w:spacing w:after="0" w:line="275" w:lineRule="auto"/>
        <w:rPr>
          <w:sz w:val="20"/>
          <w:szCs w:val="20"/>
          <w:color w:val="auto"/>
        </w:rPr>
      </w:pPr>
      <w:r>
        <w:rPr>
          <w:rFonts w:ascii="Arial" w:cs="Arial" w:eastAsia="Arial" w:hAnsi="Arial"/>
          <w:sz w:val="17"/>
          <w:szCs w:val="17"/>
          <w:color w:val="auto"/>
        </w:rPr>
        <w:t>extended reality interactions between humans and robots, together with advances in electronics, materials, motors and other components of our products, will enable us to produce machines that do not suffer from historical limitations and are intuitive to use and relatively quick and easy for setup and workflow changeover. We often have opportunities to use technology developed for one system or solution in other systems or solutions. For example, many of the technologies we developed for the Guardian XO have been incorporated into the Guardian XT and our intelligent software for controls and simulations developed for the Guardian XO has been extended to our other core products. See “</w:t>
      </w:r>
      <w:r>
        <w:rPr>
          <w:rFonts w:ascii="Arial" w:cs="Arial" w:eastAsia="Arial" w:hAnsi="Arial"/>
          <w:sz w:val="17"/>
          <w:szCs w:val="17"/>
          <w:i w:val="1"/>
          <w:iCs w:val="1"/>
          <w:color w:val="auto"/>
        </w:rPr>
        <w:t>-Intellectual Property</w:t>
      </w:r>
      <w:r>
        <w:rPr>
          <w:rFonts w:ascii="Arial" w:cs="Arial" w:eastAsia="Arial" w:hAnsi="Arial"/>
          <w:sz w:val="17"/>
          <w:szCs w:val="17"/>
          <w:color w:val="auto"/>
        </w:rPr>
        <w:t>”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Mover Across Wide Range of Industries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we are creating a new category of industrial robotics – intelligent systems and solutions designed to be mobile, highly-dexterous, used in changing, unstructured environments and capable of different tasks as directed by human operators. We have spent many years working with and listening to people with experience in the industries we expect to target, including advisors and development customers. These early engagements have helped us form relationships with potential customers, helped fund our development efforts and provided critical customer insight and feedback into our development plans and product designs. We believe our early efforts to get this feedback and build these relationships with potential customers situate us well to create robotic systems and solutions that meet customer needs.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Visionary and Experienced Management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 proven and experienced team with deep operational expertise in bringing emerging technologies to market. Our team is led by Kiva Allgood, our Chief Executive Officer, who has many years of executive-level, operational experience within global telecommunications and technology companies, including Ericsson and Qualcomm. Our engineering and design efforts are led by a highly experienced robotics team with hundreds of years of cumulative robotics experience, with some members of our engineering team working together for over 20 years. Members of our board of directors have extensive experience across a wide array of disciplines, including experience in many of the industries that we intend to serve and in the production and delivery of complex hardware and software solutions.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Collaborators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collaborate or have collaborated with various companies, including development customers, in the development of our systems and solutions, such as Delta Air Lines, Changi Airport Group, Mortensen and Microsoft. Some of the companies with which we have collaborated have also invested in Sarcos. We have also worked closely with the U.S. Department of Defense and the U.S. Department of Energy on the development of some of our products or technologies. We believe these collaborations provide valuable feedback that will enhance our early mover advantage and product development efforts.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we are developing a new category of industrial robotic systems and solutions that augment, rather than replace, humans. In many cases, our primary competition will be traditional modes of human labor, sometimes assisted with material handling products such as overhead cranes, forklifts and pallet jacks. To overcome potential resistance to innovation and the adoption of new products and ways of working, we must demonstrate to customers the value proposition of our products, including increasing productivity, reducing costly occupational injuries and broadening the pool of available employees by equalizing workers’ physical capabilities to include older and less physically strong workers.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our product offerings compete in a broad competitive landscape that includes robotics and automation companies that have both directly competing as well as alternative solutions ranging from exoskeletons, collaborative robots, industrial robots, traditional lift-assist equipment and unmanned robotic vehicles. We also view our competitive landscape to include companies who have different product lines in the automation space, such as ABB Robotics, Siasun Robot &amp; Automation, Teradyne and Berkshire Grey. Also included in our broader competitive landscape are robotic solution suppliers, like Rockwell Automation, Honeywell, Keyence Corporation, COGNEX Corporation and Hexagon AB, which may not have a directly competing product today, but which could become competitors through diversification; these companies have existing customer relationships and channels, as well as significant financial and other resources, that could enable them to emerge as formidable competitors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breakdown of the competitive landscape for our core systems and solutions:</w:t>
      </w:r>
    </w:p>
    <w:p>
      <w:pPr>
        <w:spacing w:after="0" w:line="225" w:lineRule="exact"/>
        <w:rPr>
          <w:sz w:val="20"/>
          <w:szCs w:val="20"/>
          <w:color w:val="auto"/>
        </w:rPr>
      </w:pPr>
    </w:p>
    <w:p>
      <w:pPr>
        <w:ind w:left="10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Guardian XM and Guardian XT systems face a varied competitive landscape that includes collaborative robotics companies, such as Kuka, Fanuc, Doosan Robotics and Universal Robotics, as well as automation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left="1020"/>
        <w:spacing w:after="0"/>
        <w:rPr>
          <w:sz w:val="20"/>
          <w:szCs w:val="20"/>
          <w:color w:val="auto"/>
        </w:rPr>
      </w:pPr>
      <w:r>
        <w:rPr>
          <w:rFonts w:ascii="Arial" w:cs="Arial" w:eastAsia="Arial" w:hAnsi="Arial"/>
          <w:sz w:val="18"/>
          <w:szCs w:val="18"/>
          <w:color w:val="auto"/>
        </w:rPr>
        <w:t>companies like Teradyne, ABB Robotics, Siasun Robot &amp; Automation, Berkshire Grey, Ready Robotics and OMRON.</w:t>
      </w:r>
    </w:p>
    <w:p>
      <w:pPr>
        <w:spacing w:after="0" w:line="225" w:lineRule="exact"/>
        <w:rPr>
          <w:sz w:val="20"/>
          <w:szCs w:val="20"/>
          <w:color w:val="auto"/>
        </w:rPr>
      </w:pPr>
    </w:p>
    <w:p>
      <w:pPr>
        <w:ind w:left="1020" w:right="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Guardian Sea Class competes with robotic arm manipulator companies like Deep Trekker, Nauticus Robotics, Reach Robotics and QYSEA that provide manipulators and grippers for light and working-class ROVs.</w:t>
      </w:r>
    </w:p>
    <w:p>
      <w:pPr>
        <w:spacing w:after="0" w:line="170"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Guardian XO competes with robotics and automation solutions that help workers with heavy materials handling, heavy lift-and-transport-assist and overhead assembly type jobs. Principal competitors include Hyundai and Daewoo, who have previously shown powered exoskeleton prototype units, and companies like Cyberdyne, Samsung, Ekso Bionics, Ottobock, Lockheed Martin, SuitX and Levitate who currently sell powered, partial-body exoskeletons or passively-powered, partial-body variants.</w:t>
      </w:r>
    </w:p>
    <w:p>
      <w:pPr>
        <w:spacing w:after="0" w:line="186"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vegetation management solution competes indirectly with general purpose mechanical brush clearing solutions like the Mini-Jaraff by Jarraff Industries and the Kershaw SkyTrim product by Progress Rail and modified lift trucks, such as the BIK Boom Truck and Sennebogen, that are marketed for vegetation management.</w:t>
      </w:r>
    </w:p>
    <w:p>
      <w:pPr>
        <w:spacing w:after="0" w:line="183"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believe our PV panel installation solution will compete with products under development by AES and Bailey Crane. AES, a large utility company, announced in 2021 it was developing an autonomous solar module installation point-solution. Bailey Crane has announced that it is developing a solar panel installation robot that could compete with our solution.</w:t>
      </w:r>
    </w:p>
    <w:p>
      <w:pPr>
        <w:spacing w:after="0" w:line="183"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baggage-handling solution competes with AMR and automated guided vehicle (AGV) products designed for baggage-handling by companies such as Vanderlande, Addverb Technologies, Alstef Group, Siemens and Lloyd W. Aubry Company and baggage-loader/unloader systems such as those provided by Beumer Group and BBHS.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of our competitors and potential competitors have products that are commercially available and/or in development. We expect some products currently in development to become commercially available in the next few years. In addition, we compete or may compete with companies that develop artificial intelligence and industrial automation solutions, such as those offered by Hyundai-Boston Dynamics, Grey Matter, Canvas Technology, DroneSense, Intuitive, iRobot, Hahn Robotics, Kuka, Fanuc, Neurala, Ready Robotics, Rethink Robotics and Yaskawa.</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 base may change or expand as we continue to develop and commercialize our robotic systems and solutions in the future. These or other competitors may develop new technologies or products that provide superior results to customers or are less expensive than our products. Our technologies and products could be rendered obsolete by such developments. See Part I Item 1A Risk Factors - “</w:t>
      </w:r>
      <w:r>
        <w:rPr>
          <w:rFonts w:ascii="Arial" w:cs="Arial" w:eastAsia="Arial" w:hAnsi="Arial"/>
          <w:sz w:val="18"/>
          <w:szCs w:val="18"/>
          <w:i w:val="1"/>
          <w:iCs w:val="1"/>
          <w:color w:val="auto"/>
        </w:rPr>
        <w:t>We operate in a competitive industry that is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rapid technological change, and we expect competition to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we will compete on the following factors:</w:t>
      </w:r>
    </w:p>
    <w:p>
      <w:pPr>
        <w:spacing w:after="0" w:line="225"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quality, reliability and safety;</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features and performance, including from our intelligent software;</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pricing;</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efficiency and resources;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brand;</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experience, including support; and</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existing customer relationships.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we do and will compete favorably on the basis of these factors; however, our potential competitors may have greater financial, technical, manufacturing and other resources than we have. Our competitors may be able to deploy greater resources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8"/>
          <w:szCs w:val="18"/>
          <w:color w:val="auto"/>
        </w:rPr>
        <w:t>to the design, development, manufacturing, distribution, promotion, sales, marketing and support of their cobot and industrial robotics programs than we can. Additionally, our competitors may have greater name recognition, longer operating histories, larger sales forces, broader customer and industry relationships and other tangible and intangible resources than we have. These competitors also compete with us in recruiting and retaining qualified research and development, sales, marketing and management personnel, as well as in acquiring technologies complementary to, or necessary for, our products. Additional mergers and acquisitions in the cobot and industrial robotics market may result in even more resources being concentrated in our competitors.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Partners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engage with a wide-variety of potential customers in many different industries, including some of the largest companies in our target markets, small and medium-sized businesses and government agencies such as the U.S. Department of Defense and the U.S. Department of Energy. Our development customers include some of the largest enterprises in our target markets, including Delta Air Lines, Changi Airport Group, Mortenson and the U.S. Department of Defense. We have also partnered with such companies as Microsoft and Array.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the end of 2022 our customers have primarily been development customers – customers paying us to fund our product research and development efforts. While we expect our revenue to continue to include product development contract revenue, we also expect to begin to see meaningful product sales revenue in 2023 as we begin to sell and deliver commercial versions of our Guardian XM, Guardian XT and Guardian Sea Class systems and solutions. However, we have only recently begun to offer these systems for sale and, while we are having discussions with many potential customers that have expressed strong interest in purchasing our systems and solutions, at this time we do not yet have binding customer sales contracts for the commercial versions of these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research and development team is comprised of technology experts from fields including controls, perception and simulations engineering, artificial intelligence and machine learning, software/firmware engineering, mechanical and electrical engineering, systems engineering, finite element analysis, human factors and design and applications engineering. Our primary areas of focus in research and development are centered around supervised autonomy solutions, including multi-modal sensor data to optimally perceive, interact and conceptualize unstructured environments. Combined with our advanced, success-based learning AI approach, our supervised autonomy software framework uses the power of real-time and learned-behavior data inputs that enable our robotic systems and solutions to successfully execute task-specific autonomy in unstructured environments.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More specifically, among other things, we are focusing research and development efforts on: for the Guardian XM, supervised autonomy for outdoor environments that enable dexterous manipulation for aviation, solar panel construction, surface preparation and other use-cases; for the Guardian XT, immersive teleoperation technology for natural extended reality interactions between humans and robots and using the motions and task solutions of the human operator to train the system for increasing levels of autonomy; for the Guardian Sea Class, an autonomy solution for multi-modal sensor perception and dexterous manipulation of robotic arms and guidance, navigation and control of an ROV to increase autonomy for underwater applications; and for the Guardian XO, optimized bipedal walking controllers and supervised learning techniques to develop a novel, stable motion control framework to enable a hybrid use of the Guardian XO (either with or without a human operator).</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research and development efforts also include our DfX (design for excellence) work, including comprehensive design for manufacturing, design for cost and procurement, design for testing and design for assembly. These efforts are aimed at ensuring the manufacturability, serviceability and robustness of our products.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research and development expenses were $34.1 million and $17.5 million in 2022 and 2021, respectively, (which does not include the research and development expenses of RE2 prior to the acquisition on April 25, 2022). Our customer first, collaborative approach is a cornerstone of our research and development processes.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research and development efforts over many years has resulted in significant intellectual property. Our ability to create, obtain and maintain intellectual property is important to our business. We rely upon a combination of protections afforded to owners of patents, copyrights, trade secrets and trademarks, along with employee and third-party non-disclosure agreements and other contractual restrictions to establish and protect our intellectual property rights.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jc w:val="both"/>
        <w:spacing w:after="0" w:line="293" w:lineRule="auto"/>
        <w:rPr>
          <w:sz w:val="20"/>
          <w:szCs w:val="20"/>
          <w:color w:val="auto"/>
        </w:rPr>
      </w:pPr>
      <w:r>
        <w:rPr>
          <w:rFonts w:ascii="Arial" w:cs="Arial" w:eastAsia="Arial" w:hAnsi="Arial"/>
          <w:sz w:val="16"/>
          <w:szCs w:val="16"/>
          <w:color w:val="auto"/>
        </w:rPr>
        <w:t>We pursue patent protection at times when we believe we have developed a patentable invention and the benefits of obtaining a patent outweigh the risks of making the invention public through patent filings. Our patents and patent applications are focused primarily on robots and robotic systems, including wearable exoskeletons to enhance human operations, humanoid robots, teleoperated robots, mobile platform-based robotic arms, teleoperated robots, unmanned ground robots and end-effectors, including patents in the areas of safety, robot vision, sensors, power efficiency, control strategies and cybersecurity. We also have patents and patent applications covering technology in the fields of counter-attack unmanned aerial vehicles (drones) for enemy drone neutralization, various micro-camera and other medical devices, augmented reality, sensors, valves, motors, actuators and others.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February 2023, we had approximately 90 issued and unexpired U.S. patents and approximately 100 issued and unexpired international patents, as well as approximately 135 patent applications filed in the United States or internationally. Many of our previously issued patents have expired, with others set to expire on dates ranging from 2023 to 2040, exclusive of any patent term adjustment or patent term extension. We do not know whether all of our pending patent applications will result in issued patents, or whether the examination process will require a narrowing of claimed subject matter. Furthermore, in light of the highly active fields of technology in which we are involved, particularly the field of robotics, our patents and pending patent applications may not provide us with broad-level protection.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an effort to protect our brand, we also pursue the registration of our domain names and various trademarks in the United States and in select international locations.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currently offer for sale our Guardian XM, Guardian XT and Guardian Sea Class systems through a direct sales model. We focus our sales and marketing efforts on industries that we believe show a strong potential for growth and a significant need based on worker shortage, limited innovations for their tasks (such as for outdoor tasks in unstructured environments) and risk of injury. Due to their size and their potential opportunity and willingness to be early adopters, we generally direct our sales efforts toward leading companies in the industries and markets we target as we believe these companies have the potential and ability to serve as referenceable customers and drive additional sales. Notwithstanding the foregoing, we also target small and medium-sized businesses and government agencies such as the U.S. Department of Defense and the U.S. Department of Energy. We intend to continue to invest in our sales and marketing efforts in support of the commercialization of our robotic systems and solutions.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pursue strategic relationships with systems integrators, companies with complementary technologies, software application providers, distributors and consulting firms to expand the channels in which our robotic systems and solutions are marketed. We believe working with these partners will accelerate our brand awareness within various industries and provide complementary capabilities and differentiation that will attract new customers while helping us expand our customer base.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expect that initial sales of our robotic systems and solutions will be a standard sales model where the customer pays an upfront amount to purchase the system or solution, rather than the RaaS leasing model that we previously expected to pursue particularly with our Guardian XO and Guardian XT systems. We had expected the RaaS model to be enticing to customers for a variety of reasons, though we had expected to follow a sales model for the Guardian XM, Guardian Sea Class and other products that were part of the Sapien product line acquired from RE2. However, based on interest shown by our development customers and potential commercial customers in purchasing our systems, we have decided to pursue a standard sales model and we expect that our product revenue will primarily result from standard product sales. As a result, while we could consider a RaaS or other model for a particular customer, we do not expect the RaaS model to be a focus of our business model going forward. We expect that the standard sales model will enable us to reduce our capital requirements as we will not need to bear the upfront manufacturing costs associated with building our systems and solutions and then wait to recover those costs over many months or years of RaaS subscription payments.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our software, to the extent we are successful in commercializing it separately from our robotic systems and solutions, we expect to favor a software-as-a-service (SaaS) model that would result in a recurring revenue stream, though we will also consider one-time sales. Similarly, we would also favor a SaaS model but consider one-time sales for software upgrades. We expect to continue discussions with potential customers to ultimately determine the appropriate model for us in light of market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Suppliers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We believe we can manufacture 300-500 systems per year in our current facilities, depending on the mix. However, we do not expect to use all of that capacity in 2023, especially after engaging a contract manufacturing partner to provide additional capacity and expertise. While we currently do not anticipate high-volume production by a contract manufacturing partner to be in place until at least the end of 2023, we have signed an agreement and begun initial engagement activities with a contract manufacturing partner. We expect that this contract manufacturing partner will initially focus on helping us produce sub-systems for the Guardian XT.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leveraging the core strengths of a contract manufacturing partner will have the long-term benefits of increased speed to market, high quality volume production and the ability to scale more quickly to meet demand, as well as potentially decreasing supply chain costs, reducing delays and expanding our supplier-base. Further, we would not need to build large-scale manufacturing facilities and incur the up-front capital investment and the recurring fixed costs and overhead that would be required for us to own and operate such manufacturing facilities. We expect outsourced manufacturing to allow us to focus on our core competencies while significantly reducing overall risk and give us the flexibility to quickly scale volumes up or down to match demand levels since we can leverage an established manufacturing operation and supply chain. See above discussion under “Growth Strategy - Capital Efficient Manufacturing.”</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a diverse set of suppliers. Most of our suppliers are based in the United States and we often target suppliers that are local to our facilities, though we also pursue consolidation of suppliers between facilities when we deem it more cost-effective or to otherwise be beneficial. Most of our supplier relationships are purchase order based and we do not have many long-term supply contracts. In some cases, we have sole source (where the component is only available from a single vendor, often as a result of customization for our use) or single source (where we purchase from a single vendor but there are alternative sources of the component) suppliers. We seek to minimize our dependence on sole or single source suppliers in order to reduce risk in our supply chain, including the risk of losing a sole or single source supplier due to bankruptcy, discontinuing production of the particular component or some other reason.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various U.S. federal, state and local laws and regulations governing the occupational health and safety of our employees and wage regulations, including the requirements of the U.S. Occupational Safety and Health Act, as amended, or OSHA, and comparable state laws that protect and regulate employee health and safety.</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also subject to U.S. laws and regulations that may limit and restrict the export of some of our products and services and may restrict our transactions with certain customers, suppliers, business partners and other persons. These laws and regulations may include outright prohibitions or export license requirements. We must also comply with export restrictions and laws imposed by other countries affecting trade and investments to the extent applicable. We maintain export compliance controls and procedures but there are risks that these compliance controls might not be effective, in which case we could be exposed to legal liabilities. Compliance with these laws has not significantly limited our sales or other transactions with third parties but could significantly limit them in the future. Changes in, and responses to, U.S. trade policy could reduce the competitiveness of our products and cause our sales to drop or make it difficult or impossible to enter affected markets, which could have a material adverse effect on our business, prospects, financial condition or results of operations.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robotic platforms must comply with the rules of the Federal Communications Commission (FCC) with respect to: any radio frequency, or RF, spectrum utilized for such components as the remote control or teleoperation system; the power level and frequency of any RF energy emitted (intentionally or otherwise); and any conditions imposed by the FCC on the device certification(s) issued to us or to third parties for any modular transmitters installed in our products. Such rules require, among other things, specific consumer disclosures with respect to RF emissions and proper installation and operation of the device components and any modular transmitters in our products.</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subject to requirements under the Dodd-Frank Wall Street Reform and Consumer Protection Act of 2010 that will require us to diligence, disclose and report whether our products contain conflict minerals. The implementation of these requirements could adversely affect the sourcing, availability and pricing of the materials used in the manufacture of components used in our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of operations. Regardless of outcome, litigation can have an adverse impact on us because of defense and settlement costs, diversion of management resources and other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employees are critical to our success. As of December 31, 2023, we had approximately 280 full-time and part-time employees with the majority of our employees based in the Salt Lake City, Utah and Pittsburgh, Pennsylvania areas. We also engage consultants and contractors to supplement our permanent workforce on an as-needed basis. Approximately 45% of our employees are involved in engineering functions, including research and development. To date, we have not experienced any organized work stoppages and consider our relationship with our employees to be good. None of our employees are subject to a collective bargaining agreement or represented by a labor union.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currently operate in a corporate and manufacturing facility in Salt Lake City, Utah consisting of approximately 61,000 square feet, and in three facilities in Pittsburgh, Pennsylvania. The lease of our Salt Lake City facility expires in May 2033 and has two options to extend the lease for a three-year period each. The leases for our facilities (or portions thereof) in Pittsburgh, including outdoor test space and indoor office, test, manufacturing, production and warehouse space, expire in August 2023, March 2025 and June 2025, with various renewal or extension options. We believe that should we need additional or different space we will be able to obtain such space on commercially reasonable terms.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You should carefully consider the following risk factors, in addition to the other information contained in this Report, including “Management’s Discussion and Analysis of Financial Condition and Results of Operations” and our audited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 References in this Item 1A Risk Factors to financial information as of dates or for periods ended on or prior to April 25, 2022 do not include the financial information of RE2 as of those dates or for those periods.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 early stage company with a history of losses, and expect to incur significant expenses for the foreseeable future.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incurred a net loss of $157.1 million for the year ended December 31, 2022 and a net loss of $81.5 million for the year ended December 31, 2021. We believe that we will continue to incur operating and net losses until 2025 at the earliest. Even if we are able to successfully develop our robotic systems and solutions and attract customers for commercial sales, we may not become profitable. Our potential profitability is dependent upon the successful development and successful commercial introduction and adoption on a larger scale of our robotic systems and solutions and our ability to lower production costs as we achieve economies of scale through high-volume production, none of which may occur.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we will continue to incur losses in future periods as we:</w:t>
      </w:r>
    </w:p>
    <w:p>
      <w:pPr>
        <w:spacing w:after="0" w:line="225"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design, develop, manufacture and commercialize our robotic systems and solutions;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continue to utilize and develop potential new relationships with third-party partners for supply, design for manufacturing and manufacturing;</w:t>
      </w:r>
    </w:p>
    <w:p>
      <w:pPr>
        <w:spacing w:after="0" w:line="236" w:lineRule="exact"/>
        <w:rPr>
          <w:rFonts w:ascii="Arial" w:cs="Arial" w:eastAsia="Arial" w:hAnsi="Arial"/>
          <w:sz w:val="17"/>
          <w:szCs w:val="17"/>
          <w:color w:val="auto"/>
        </w:rPr>
      </w:pPr>
    </w:p>
    <w:p>
      <w:pPr>
        <w:ind w:left="760" w:hanging="378"/>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expand our production capabilities, including costs associated with the outsourcing of the manufacturing of our robotic systems and solutions;</w:t>
      </w:r>
    </w:p>
    <w:p>
      <w:pPr>
        <w:spacing w:after="0" w:line="248" w:lineRule="exact"/>
        <w:rPr>
          <w:rFonts w:ascii="Arial" w:cs="Arial" w:eastAsia="Arial" w:hAnsi="Arial"/>
          <w:sz w:val="16"/>
          <w:szCs w:val="16"/>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build up inventories of parts (including replacement parts) and components for our robotic systems and solutions;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our maintenance and servicing capacity and capabilities;</w:t>
      </w:r>
    </w:p>
    <w:p>
      <w:pPr>
        <w:spacing w:after="0" w:line="22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manufacture an inventory of our robotic systems and solutions, including upfront expenditures to manufacture systems prior to delivery and recognition of related revenue;</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our sales and marketing activities and develop our sales and distribution infrastructure;</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our remote monitoring, updating and other cloud-based services on our robot service platform;</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develop and test safety measures for our products, including working with customers to evaluate and test the efficacy of those safety measures;</w:t>
      </w:r>
    </w:p>
    <w:p>
      <w:pPr>
        <w:spacing w:after="0" w:line="248" w:lineRule="exact"/>
        <w:rPr>
          <w:rFonts w:ascii="Arial" w:cs="Arial" w:eastAsia="Arial" w:hAnsi="Arial"/>
          <w:sz w:val="16"/>
          <w:szCs w:val="16"/>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and expand our technology infrastructure and cybersecurity measures, policies and controls; and</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 our general and administrative functions and systems to support our growing operations and to operate as a publicly-traded company.</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we will incur costs and expenses from these efforts before we receive incremental revenue with respect thereto and because we are early in the commercialization of our products, we expect that our losses in future periods will continue to be significant until we start to achieve significant product sales and associated revenue. In addition, we may find that these efforts are more expensive than we currently anticipate or that these efforts may result in less than expected or no additional revenue, which would further increase our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yet to achieve positive operating cash flow, and our ability to generate positive cash flow is uncertain.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spacing w:after="0" w:line="291" w:lineRule="auto"/>
        <w:rPr>
          <w:sz w:val="20"/>
          <w:szCs w:val="20"/>
          <w:color w:val="auto"/>
        </w:rPr>
      </w:pPr>
      <w:r>
        <w:rPr>
          <w:rFonts w:ascii="Arial" w:cs="Arial" w:eastAsia="Arial" w:hAnsi="Arial"/>
          <w:sz w:val="16"/>
          <w:szCs w:val="16"/>
          <w:color w:val="auto"/>
        </w:rPr>
        <w:t>We had negative cash flow from operating activities of $65.4 million and $42.1 million for the years ended December 31, 2022 and 2021, respectively. We expect to continue to have negative cash flow from operating and investing activities until 2025 at the earliest as we expect to incur research and development, sales and marketing, and general and administrative expenses and make capital expenditures in our efforts to commercialize our products, increase sales, engage in continuous development work and ramp up operations. Our business also will at times require significant amounts of working capital to build inventory and support the growth of additional products. An inability to generate positive cash flow for the near term may adversely affect our ability to raise capital for our business on reasonable terms, diminish supplier or customer willingness to enter into transactions with us and have other adverse effects that may decrease our long-term viability. We may not achieve positive cash flow in the near future or at all.</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effectively manage our growth, we may not be able to design, develop, manufacture, market and launch our robotic systems and solutions successfully.</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intend to invest significantly in order to expand our business. Any failure to manage our growth effectively could materially and adversely affect our business, prospects, financial condition and operating results. As we grow our business, we will need to manage the following activities, among others:</w:t>
      </w:r>
    </w:p>
    <w:p>
      <w:pPr>
        <w:spacing w:after="0" w:line="124" w:lineRule="exact"/>
        <w:rPr>
          <w:sz w:val="20"/>
          <w:szCs w:val="20"/>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expanding our management, engineering and product teams;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and recruiting individuals with the appropriate relevant experience;</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hiring and training new personnel;</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commercializing our products;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forecasting production and revenue and implementing ERP systems;</w:t>
      </w:r>
    </w:p>
    <w:p>
      <w:pPr>
        <w:spacing w:after="0" w:line="22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entering into relationships with one or more third-party design for manufacturing partners and third-party manufacturers and/or expanding our internal manufacturing capabilities;</w:t>
      </w:r>
    </w:p>
    <w:p>
      <w:pPr>
        <w:spacing w:after="0" w:line="170"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potentially carrying out acquisitions and entering into collaborations, in-licensing arrangements, joint ventures, strategic alliances or partnerships;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expanding and enhancing internal information technology, safety and security systems;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or expanding sales, customer service and maintenance and servicing facilities and organizations;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conducting demonstrations and customer trials of robotic systems and solutions;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entering into agreements with suppliers and service providers; and</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implementing and enhancing administrative infrastructure, systems and processes.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may need to hire a significant number of additional personnel, including engineers, design and production personnel and service technicians for our robotic systems and solutions. Because of the innovative nature of our technology, individuals with the necessary experience have not been, and likely will continue not to be, readily available to hire, and as a result, we will need to expend significant time and expense to recruit and retain experienced employees and appropriately train any newly hired employees. Competition for individuals with experience designing, producing and servicing dexterous robots and their software is intense, and we may not be able to attract, integrate, train, motivate or retain additional highly qualified personnel. Further, since December 2021, we have hired a significant number of new employees, including Kiva Allgood, our CEO, in December 2021, and Andrew Hamer, our CFO, in October 2022, and other senior employees, as well as over 100 employees as a result of our acquisition of RE2 in April 2022. Integrating a large number of new employees in a short time can cause disruptions to processes, projects, culture, priorities and a company as a whole. New employees may not perform as expected or may not fit culturally, and long-term employees may not embrace new leaders, priorities, methods, processes or other changes and may decide to leave or may not perform as well as in the past. Further, we face these and other risks as a result of our acquisition of RE2.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The success of our acquisition of RE2, Inc. is subject to numerous risks and uncertainties, including integration risks.</w:t>
      </w:r>
      <w:r>
        <w:rPr>
          <w:rFonts w:ascii="Arial" w:cs="Arial" w:eastAsia="Arial" w:hAnsi="Arial"/>
          <w:sz w:val="17"/>
          <w:szCs w:val="17"/>
          <w:color w:val="auto"/>
        </w:rPr>
        <w:t>” Any failure to attract, integrate, train, motivate and retain employees or difficulty adjusting to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larger organization with new leadership and a large number of new employees could significantly delay our product development and commercial release and materially harm our business, prospects, financial condition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acquisition of RE2, Inc. is subject to numerous risks and uncertainties, including integration risks.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2022, we completed our acquisition of RE2, Inc. We believe that RE2's business is complementary to ours, and that both RE2 and Sarcos have benefitted and will benefit from the combination of the two companies. While we have largely integrated RE2 into our business and organization, some integration activities continue. As a result, we continue to be subject to integration risks, such as risks associated with combining two organizations and cultures in two different geographies, integrating certain systems, combining product lines and technologies and achieving the expected benefits of the acquisition. While we believe that both organizations share common values and cultures and that the acquisition will help us expand our product portfolio, serve additional markets and further our product development efforts, integration involves significant risk and management attention. If we are not able to successfully continue to integrate RE2 and achieve the expected benefits of the acquisition while managing the development and commercialization of our products, commercialization of our products could be delayed, which would adversely impact our ability to generate revenue, our overall profitability and our operating performance.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operating and financial projections rely on management assumptions and analyses. If these assumptions or analyses prove to be incorrect, our actual operating results may be materially different from our forecasted results.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 development stage company, with very limited experience commercializing our products. Our projected financial and operating information reflect estimates of future performance and are based on multiple business, financial, technical and operational assumptions, including timely hiring of additional skilled personnel, timing of commercial launch of our robotic systems and solutions, the level of demand for our robotic systems and solutions, the size of our target markets, the performance of our robotic systems and solutions, the utilization of the robot fleet, product pricing, the useable life of the robotic systems and solutions, cost of manufacturing, cost of components and availability of adequate supply, number of systems that will need to be manufactured in each batch, the nature and length of the sales cycle, maintenance and servicing costs and the costs of refurbishing the robotic systems. However, given our limited commercial experience, it is likely that many of these assumptions will prove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Arial" w:cs="Arial" w:eastAsia="Arial" w:hAnsi="Arial"/>
          <w:sz w:val="17"/>
          <w:szCs w:val="17"/>
          <w:i w:val="1"/>
          <w:iCs w:val="1"/>
          <w:color w:val="auto"/>
        </w:rPr>
        <w:t>Special Note Regarding Forward-Looking Statements</w:t>
      </w:r>
      <w:r>
        <w:rPr>
          <w:rFonts w:ascii="Arial" w:cs="Arial" w:eastAsia="Arial" w:hAnsi="Arial"/>
          <w:sz w:val="17"/>
          <w:szCs w:val="17"/>
          <w:color w:val="auto"/>
        </w:rPr>
        <w:t xml:space="preserve">” </w:t>
      </w:r>
      <w:r>
        <w:rPr>
          <w:rFonts w:ascii="Arial" w:cs="Arial" w:eastAsia="Arial" w:hAnsi="Arial"/>
          <w:sz w:val="17"/>
          <w:szCs w:val="17"/>
          <w:i w:val="1"/>
          <w:iCs w:val="1"/>
          <w:color w:val="auto"/>
        </w:rPr>
        <w:t>and</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Some of these risks, uncertainties and contingencies that could determine whether actual operating and financial results and business developments will be consistent with our expectations and assumptions include:</w:t>
      </w:r>
    </w:p>
    <w:p>
      <w:pPr>
        <w:spacing w:after="0" w:line="179" w:lineRule="exact"/>
        <w:rPr>
          <w:sz w:val="20"/>
          <w:szCs w:val="20"/>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continue to integrate RE2 into our business and achieve the expected benefits of the acquisition;</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adequately address customer safety requirements;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sufficient capital to sustain and grow our business;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22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contractual terms of agreements with customers, suppliers and manufacturing partners, and whether we can effectively manage and maintain relationships with these third-parties;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and costs of components and materials;</w:t>
      </w:r>
    </w:p>
    <w:p>
      <w:pPr>
        <w:spacing w:after="0" w:line="22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manufacture our products and successfully engage with a contract manufacturer, including the costs, quality and output associated with any such outsourced manufacturing;</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costs of the required marketing and promotional efforts;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cost of each sale;</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customers and their employees will adopt the robotic systems and solutions offered by 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required and success of customer testing of our technology;</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competition, including from established and future competitors;</w:t>
      </w:r>
    </w:p>
    <w:p>
      <w:pPr>
        <w:spacing w:after="0" w:line="225"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retain existing key management, to attract additional leaders, to integrate recent hires and to attract, retain and motivate qualified personnel, including engineers, design and production personnel and service technicians;</w:t>
      </w:r>
    </w:p>
    <w:p>
      <w:pPr>
        <w:spacing w:after="0" w:line="170"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overall strength and stability of domestic and international economies, including the impact of macro-economic conditions such as inflation and interest rates;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demand for our products;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legislative and political changes; and</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 requirements and preferences.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Unfavorable changes in any of these or other factors could cause us to fail to meet our operating and financial projections and could materially and adversely affect our business, prospects, financial condition and operating results.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Commercialization of our core systems and solutions may be delayed beyond our current expectations and therefore initial delivery to customers and receipt of anticipated revenue could be delayed.</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began production of the initial commercial version of our Guardian XM in September 2022 and production of the initial commercial version of our Guardian XT in December 2022, and we currently expect these systems to be available for delivery to customers beginning in the first half of 2023. We currently expect to begin production of the initial commercial version of our Guardian Sea Class in the second half of 2023, to be available for delivery to customers beginning in the second half of 2023. We have prioritized commercialization of these systems due to our expectations regarding customer demand, product readiness and our efforts to minimize supply chain risks. As a result, although we continue our development efforts with respect to the Guardian XO, we do not believe we will begin production of the initial commercial version of the Guardian XO until sometime after 2023. We continue to experience supply chain challenges, including increases in the cost of and interruptions in the supply or availability of components, parts and materials, including long lead-times. There are significant risks and challenges that could delay our continued development efforts and production of commercial systems and solutions, and therefore delivery to customers could be delayed beyond current expectations, including:</w:t>
      </w:r>
    </w:p>
    <w:p>
      <w:pPr>
        <w:spacing w:after="0" w:line="166" w:lineRule="exact"/>
        <w:rPr>
          <w:sz w:val="20"/>
          <w:szCs w:val="20"/>
          <w:color w:val="auto"/>
        </w:rPr>
      </w:pPr>
    </w:p>
    <w:p>
      <w:pPr>
        <w:ind w:left="760" w:hanging="378"/>
        <w:spacing w:after="0" w:line="342"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COVID-19 pandemic and general labor shortages of qualified applicants has affected and is likely to continue to affect our ability to recruit skilled employees to join our team, negatively affecting the development, production and commercial launch timelines for our products.</w:t>
      </w:r>
    </w:p>
    <w:p>
      <w:pPr>
        <w:spacing w:after="0" w:line="123" w:lineRule="exact"/>
        <w:rPr>
          <w:rFonts w:ascii="Arial" w:cs="Arial" w:eastAsia="Arial" w:hAnsi="Arial"/>
          <w:sz w:val="16"/>
          <w:szCs w:val="16"/>
          <w:color w:val="auto"/>
        </w:rPr>
      </w:pPr>
    </w:p>
    <w:p>
      <w:pPr>
        <w:jc w:val="both"/>
        <w:ind w:left="760" w:hanging="378"/>
        <w:spacing w:after="0" w:line="291"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and our suppliers are currently experiencing increases in the cost of and an interruption in the supply or shortage of materials. Our products are complex and some contain several thousand components. Difficulty securing components and materials has resulted in delays in the development of certain of our products, including the Guardian XO, and could result in further delays in the development and commercialization of our products. Further, such difficulties could result in delays in our ability to manufacture commercial quantities of our products, which delays could be compounded if components or products require redesign or reengineering. Although we actively take steps to manage our supply chain and attempt to order parts, materials and components sufficiently in advance of when they are needed, many parts and components require significant lead-times to acquire or the lead-times vary or are unpredictable and some could take more than 12 months to acquire.</w:t>
      </w:r>
    </w:p>
    <w:p>
      <w:pPr>
        <w:spacing w:after="0" w:line="166" w:lineRule="exact"/>
        <w:rPr>
          <w:rFonts w:ascii="Arial" w:cs="Arial" w:eastAsia="Arial" w:hAnsi="Arial"/>
          <w:sz w:val="16"/>
          <w:szCs w:val="16"/>
          <w:color w:val="auto"/>
        </w:rPr>
      </w:pPr>
    </w:p>
    <w:p>
      <w:pPr>
        <w:jc w:val="both"/>
        <w:ind w:left="760" w:hanging="378"/>
        <w:spacing w:after="0" w:line="254"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beginning and ramping up production by a third-party contract manufacturer, whether due to delays in the development of our products or otherwise, could delay the availability of our products for customer delivery. For example, design changes in our products would likely delay production, both internally or by a third-party contract manufacturer. We have recently entered into an agreement with a third-party contract manufacturer. We expect that the contract manufacturer will initially help with the production of Guardian XT sub-systems. However, the manufacturing partner will require significant time, ramp-up, testing and coordination before high-volume production capability by the partner is achieved. We currently do not anticipate high-volume production by our contract manufacturing partner to be in place until at least the end of 2023.</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spacing w:after="0" w:line="290" w:lineRule="auto"/>
        <w:rPr>
          <w:sz w:val="20"/>
          <w:szCs w:val="20"/>
          <w:color w:val="auto"/>
        </w:rPr>
      </w:pPr>
      <w:r>
        <w:rPr>
          <w:rFonts w:ascii="Arial" w:cs="Arial" w:eastAsia="Arial" w:hAnsi="Arial"/>
          <w:sz w:val="16"/>
          <w:szCs w:val="16"/>
          <w:color w:val="auto"/>
        </w:rPr>
        <w:t>Our current estimates for completion of our pre-commercialization development efforts and the commencement of production and delivery of commercial systems to customers of the Guardian XM, Guardian XT, Guardian Sea Class and Guardian XO are dependent on our ability to continue to hire and retain qualified employees and the availability of components on a timely basis. In addition, we have seen a significant increase in personnel and materials costs due to shortages of qualified personnel in the labor market and general inflationary pressures. Geopolitical events and macro-economic conditions, such as the continuing effects of the COVID-19 pandemic, the current conflict between Russia and Ukraine, inflation and high interest rates, and responses thereto are also contributing to supply shortages and price increases. Over the past year we have experienced, and we continue to experience, challenges in both of these areas, which have negatively impacted our product development schedules and progress. We expect these challenges to continue and, if they do and if we are unable to effectively mitigate their impact, it is likely that we will be unable to meet our currently expected timelines.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Also, if ongoing product testing demonstrates that our systems and solutions have not been designed or assembled to deliver the performance, reliability and/or safety that we expect, production of commercial systems and solutions and therefore delivery to customers may be delayed as we work to address the deficiencies. For example, we continue to re-design and develop the Guardian XO to reduce its weight, increase its safety features and incorporate customer feedback prior to commercial launch while we prioritize the commercialization of the Guardian XM, Guardian XT and Guardian Sea Class, as well as certain solutions. Delays in the commercial production, sale and delivery of our products will result in a commensurate delay in revenue and profitability. As a result, our results of operations and financial condition may be materially and adversely affected. In addition, delays in developing and releasing products with the performance, reliability and/or safety we and our potential customers are expecting could materially harm our reputation and lead potential customers to seek alternative solutions. If we experience further delays in the commercial release of our products, our results of operations and financial condition would be further adversely affected, perhaps materially.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dependent on our suppliers, some of which are currently single, sole or limited source suppliers, and any inability of these suppliers to deliver necessary components of our products at the prices, volumes, performance, timing and specifications acceptable to us, could have a material adverse effect on our business, prospects, financial condition and operating results. We have not yet identified all of the suppliers that we are likely to rely on to support future commercialization of our products.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rely on third-party suppliers for the provision and development of many of the key components and materials used in our products. We have not yet identified all of the suppliers, contractors and other third parties that we are likely to rely on to support the future commercialization of our products. While we plan to obtain components from multiple sources whenever possible, some of the components used in our products may have to be purchased by us from a single source and some may only be available from a sole source, for example, if we have developed custom components with a supply partner. If our third-party suppliers are unable to supply key components and materials in the required volumes, at the needed times or at acceptable prices, our sales, revenue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or provide warranties for their products that are necessary for our solutions. If we are unable to obtain components and materials used in our products from our suppliers, our business would be adversely affected.</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less negotiating leverage with suppliers than larger and more established companies and may not be able to obtain favorable pricing and other terms. For example, agreements with suppliers may include terms that are unfavorable to us, such as requirements that we order components and manufacture systems and solutions in excess of our demand due to minimum order quantity requirements or minimum price thresholds. While we believe that we may be able to establish alternate supply relationships and can obtain or engineer replacement components for our single source components, we may be unable to do so in time to support our production needs, or at all, or at prices or quality levels that are favorable to us. Further, we may not be able to develop satisfactory alternatives to sole-sourced components. Any inability to find satisfactory alternatives to our single- and sole-sourced component suppliers, whether due to bankruptcy of the supplier, a decision to discontinue manufacturing the component or for any other reason, could affect our costs and component availability and have a material adverse effect on our business, prospects, financial condition and operating results.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Moreover, we and our suppliers are currently experiencing increases in the cost of and an interruption in the supply or shortage of materials. We have experienced and are experiencing significant lead-times, delays, costs and quality issues with the supply of our parts, materials and components. It is unclear how long these challenges will remain. Due to the complexity of our products, each system contains several thousand components. Difficulty securing components and materials has resulted and could continue to result in delays in the development of the Guardian XO and could result in delays in the development of our other products, which delays could be compounded if components or products require redesign or reengineering, as discussed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both"/>
        <w:spacing w:after="0" w:line="290" w:lineRule="auto"/>
        <w:rPr>
          <w:sz w:val="20"/>
          <w:szCs w:val="20"/>
          <w:color w:val="auto"/>
        </w:rPr>
      </w:pPr>
      <w:r>
        <w:rPr>
          <w:rFonts w:ascii="Arial" w:cs="Arial" w:eastAsia="Arial" w:hAnsi="Arial"/>
          <w:sz w:val="16"/>
          <w:szCs w:val="16"/>
          <w:color w:val="auto"/>
        </w:rPr>
        <w:t>under “</w:t>
      </w:r>
      <w:r>
        <w:rPr>
          <w:rFonts w:ascii="Arial" w:cs="Arial" w:eastAsia="Arial" w:hAnsi="Arial"/>
          <w:sz w:val="16"/>
          <w:szCs w:val="16"/>
          <w:i w:val="1"/>
          <w:iCs w:val="1"/>
          <w:color w:val="auto"/>
        </w:rPr>
        <w:t>Commercialization of our core systems and solutions may be delayed beyond our current expectations and therefore initial delivery to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and receipt of anticipated revenue could be delayed.</w:t>
      </w:r>
      <w:r>
        <w:rPr>
          <w:rFonts w:ascii="Arial" w:cs="Arial" w:eastAsia="Arial" w:hAnsi="Arial"/>
          <w:sz w:val="16"/>
          <w:szCs w:val="16"/>
          <w:color w:val="auto"/>
        </w:rPr>
        <w:t>” Any sustained supply interruption or shortage or cost increases that result in our products being</w:t>
      </w:r>
      <w:r>
        <w:rPr>
          <w:rFonts w:ascii="Arial" w:cs="Arial" w:eastAsia="Arial" w:hAnsi="Arial"/>
          <w:sz w:val="16"/>
          <w:szCs w:val="16"/>
          <w:i w:val="1"/>
          <w:iCs w:val="1"/>
          <w:color w:val="auto"/>
        </w:rPr>
        <w:t xml:space="preserve"> </w:t>
      </w:r>
      <w:r>
        <w:rPr>
          <w:rFonts w:ascii="Arial" w:cs="Arial" w:eastAsia="Arial" w:hAnsi="Arial"/>
          <w:sz w:val="16"/>
          <w:szCs w:val="16"/>
          <w:color w:val="auto"/>
        </w:rPr>
        <w:t>priced beyond what customers are willing to pay would prevent or delay the commercialization of our products or require us to sell products at a loss until we are able to reduce costs, whether through volume production synergies or otherwise, either of which could materially and negatively impact our business, prospects, financial condition and operating results. We and our suppliers use various materials in our businesses and products, including for example semiconductors, energy storage materials, commodity materials and specialty metal alloys, and the prices for these materials fluctuate. The available supply of some of these materials and components is currently and may continue to be unstable, depending on market conditions and global demand, and could adversely affect our business and operating results. Risks relating to our supply chain also include:</w:t>
      </w:r>
    </w:p>
    <w:p>
      <w:pPr>
        <w:spacing w:after="0" w:line="273" w:lineRule="exact"/>
        <w:rPr>
          <w:sz w:val="20"/>
          <w:szCs w:val="20"/>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“Buy American” or other similar requirements that may be imposed on government contractors;</w:t>
      </w:r>
    </w:p>
    <w:p>
      <w:pPr>
        <w:spacing w:after="0" w:line="333"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the cost, or decrease in the available supply, of semiconductor chips, electrical components, commodity materials and specialty alloys;</w:t>
      </w:r>
    </w:p>
    <w:p>
      <w:pPr>
        <w:spacing w:after="0" w:line="278"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import or export restrictions on parts, materials and components;</w:t>
      </w:r>
    </w:p>
    <w:p>
      <w:pPr>
        <w:spacing w:after="0" w:line="333"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ongoing effects of the COVID-19 pandemic;</w:t>
      </w:r>
    </w:p>
    <w:p>
      <w:pPr>
        <w:spacing w:after="0" w:line="333"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geopolitical and economic events and conditions, such as inflation, labor shortages and war, as well as responses to such events and conditions (e.g., economic sanctions);</w:t>
      </w:r>
    </w:p>
    <w:p>
      <w:pPr>
        <w:spacing w:after="0" w:line="278"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 in the supply of lithium-ion batteries due to quality issues, recalls or other factors;</w:t>
      </w:r>
    </w:p>
    <w:p>
      <w:pPr>
        <w:spacing w:after="0" w:line="333"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 in global logistics, such as increased rates, constrained capacity and extended shipping delays; and</w:t>
      </w:r>
    </w:p>
    <w:p>
      <w:pPr>
        <w:spacing w:after="0" w:line="333"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value of any foreign currencies in which manufactured parts, commercial components and related raw material purchases are or may be denominated against the U.S. dollar.</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is dependent on the continued supply of lithium-ion battery cells. While we have sourced a supplier of such cells, that supplier is a sole-source supplier and is not obligated to provide such cells to us, and in any event may not be able or willing to meet all our requirements, especially as we commercialize our products. Any disruption in the supply of battery cells from such supplier could disrupt production of our products. Furthermore, fluctuations or shortages in raw materials or components and other economic conditions may cause us to experience significant increases in freight charges and material costs. Substantial increases in the prices for our materials, such as those charged by battery cell suppliers, would increase our operating costs, and could reduce our margins if the increased costs cannot be recouped through increased system or solution sales prices. Any attempts to increase prices in response to increased material costs could result in cancellations of orders and reservations and therefore materially and adversely affect our brand, business, prospects, financial condition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very limited experience commercializing our products and may not be able to do so efficiently or effectively.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jc w:val="both"/>
        <w:spacing w:after="0" w:line="289" w:lineRule="auto"/>
        <w:rPr>
          <w:sz w:val="20"/>
          <w:szCs w:val="20"/>
          <w:color w:val="auto"/>
        </w:rPr>
      </w:pPr>
      <w:r>
        <w:rPr>
          <w:rFonts w:ascii="Arial" w:cs="Arial" w:eastAsia="Arial" w:hAnsi="Arial"/>
          <w:sz w:val="16"/>
          <w:szCs w:val="16"/>
          <w:color w:val="auto"/>
        </w:rPr>
        <w:t>Although we have sold products to individual customers in the past, we have very limited experience commercializing robotic systems and solutions at a large scale and may not be able to do so efficiently or effectively. Moreover, commercialization may be delayed due to the challenges discussed under “</w:t>
      </w:r>
      <w:r>
        <w:rPr>
          <w:rFonts w:ascii="Arial" w:cs="Arial" w:eastAsia="Arial" w:hAnsi="Arial"/>
          <w:sz w:val="16"/>
          <w:szCs w:val="16"/>
          <w:i w:val="1"/>
          <w:iCs w:val="1"/>
          <w:color w:val="auto"/>
        </w:rPr>
        <w:t>Commercialization of our core systems and solutions may be delayed beyond our current expectations and therefore initial delivery to customers and</w:t>
      </w:r>
      <w:r>
        <w:rPr>
          <w:rFonts w:ascii="Arial" w:cs="Arial" w:eastAsia="Arial" w:hAnsi="Arial"/>
          <w:sz w:val="16"/>
          <w:szCs w:val="16"/>
          <w:color w:val="auto"/>
        </w:rPr>
        <w:t xml:space="preserve"> </w:t>
      </w:r>
      <w:r>
        <w:rPr>
          <w:rFonts w:ascii="Arial" w:cs="Arial" w:eastAsia="Arial" w:hAnsi="Arial"/>
          <w:sz w:val="16"/>
          <w:szCs w:val="16"/>
          <w:i w:val="1"/>
          <w:iCs w:val="1"/>
          <w:color w:val="auto"/>
        </w:rPr>
        <w:t>receipt of anticipated revenue could be delayed.</w:t>
      </w:r>
      <w:r>
        <w:rPr>
          <w:rFonts w:ascii="Arial" w:cs="Arial" w:eastAsia="Arial" w:hAnsi="Arial"/>
          <w:sz w:val="16"/>
          <w:szCs w:val="16"/>
          <w:color w:val="auto"/>
        </w:rPr>
        <w:t>” A key element of our long-term business strategy is the continued growth in sales, marketing, training,</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or subscriptions and the penetration and adoption of our products into new markets. In addition, certain decisions we make regarding staffing in these areas in our efforts to maintain an adequate spending level while responsibly managing our financial resources could have unintended negative effects on our revenue, such as by weakening the sales, marketing and maintenance and servicing infrastructures or lowering the quality of customer service.</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plans require a significant amount of capital. Our future capital needs may require us to sell additional equity or debt securities that may dilute our stockholders or introduce covenants that may restrict our operations or our ability to pay dividends.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believe we have sufficient capital to fund our business for at least the next 12 months, we may seek additional financing during that time to bolster our cash reserves and ensure our ability to continue to pursue our business objectives. Our current business plans will require us to secure additional financing prior to achieving positive operating cash flows, and we do not anticipate achieving positive operating cash flows until 2025 at the earliest. Even after achieving positive operating cash flows, we may need to raise significant amounts of additional capital to fund our business thereafter, including to finance ongoing research and development costs, manufacturing, any significant unplanned or accelerated expenses and new strategic alliances or acquisitions. The fact that we have limited experience commercializing our robotic systems and solutions on a large scale, coupled with the fact that our products represent a new product category in the commercial and industrial robotics market, means we have limited to no historical data on the demand for our robotic systems and solutions. In addition, we expect our capital expenditures to continue to be significant in the foreseeable future as we complete the design, testing and launch of commercial products, and that our level of capital expenditures will be significantly affected by customer demand for our robotic systems and solutions. As a result, our future capital requirements are uncertain and actual capital requirements may be different from those we currently anticipate. We may need to seek equity or debt financing to finance a portion of our capital expenditures, and such financing might not be available to us in a timely manner or on terms that are acceptable, or at all.</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might not have sufficient resources to conduct our business as projected, both of which could mean that we would be forced to curtail or discontinue our operations.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our future capital needs and other business reasons could require us to sell additional equity or debt securities or obtain a credit facility. The sale of additional equity or equity-linked securities could dilute our stockholders. The incurrence of indebtedness would result in debt service obligations and could result in operating and financing covenants that would restrict our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cannot raise additional funds when we need or want them, our operations, prospects and financial condition could be materially and adversely affected.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core products represent a new product category, and important assumptions about market demand, pricing, adoption rates and sales cycles for our current and future products may be inaccurate.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industrial highly-dexterous mobile robotic systems and solutions, including our core products the Guardian XM, Guardian XT, Guardian Sea Class and Guardian XO, are a new product category in markets that are currently dominated by conventional manual systems and automation. The market demand for and adoption of our products is unproven, and important assumptions about the characteristics of targeted markets (including our estimates of our total addressable market, serviceable addressable market and serviceable obtainable market), pricing (including our analysis of potential customers’ willingness to pay), manufacturing capacity and capabilities and sales cycles (including the timing of achieving commercial sales volumes and associated manufacturing cost synergies) may be inaccurate. Although we have engaged in ongoing dialogue with potential customers, we have no outstanding binding commitments with customers to purchase commercial versions of our core systems or solutions. Existing or new regulatory or safety standards, or resistance by customer employees and labor unions, all of which are outside of our control, could cause delays or otherwise impair adoption of our products, which could materially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jc w:val="both"/>
        <w:spacing w:after="0" w:line="255" w:lineRule="auto"/>
        <w:rPr>
          <w:sz w:val="20"/>
          <w:szCs w:val="20"/>
          <w:color w:val="auto"/>
        </w:rPr>
      </w:pPr>
      <w:r>
        <w:rPr>
          <w:rFonts w:ascii="Arial" w:cs="Arial" w:eastAsia="Arial" w:hAnsi="Arial"/>
          <w:sz w:val="18"/>
          <w:szCs w:val="18"/>
          <w:color w:val="auto"/>
        </w:rPr>
        <w:t>adversely affect our growth, operating results, financial condition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demand, whether due to new solutions that better address customer needs or otherwise, our products may not compete as effectively, if at all, and they may not be fully developed into commercial products. If demand does not develop as estimated or if we cannot accurately forecast pricing, adoption rates and sales cycle for our products, our business, results of operations and financial condition will be adversely affected, perhaps materially.</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With many of our products still under development, we have limited current customers and no binding orders for the commercial versions of our core systems and solutions, and expected customer trials and discussions with respect to those products may not result in binding orders.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Although we have begun production of the initial commercial versions of the Guardian XM and Guardian XT systems, the initial commercial versions of the Guardian Sea Class and Guardian XO, as well as our initial solution products, are still under development. With the initial commercial versions of core products having recently begun production or still under development, we have limited current development customers and no binding customer commitments for the commercial version of these products. At present, we have contracts for delivery of pre-commercial systems with U.S. government customers and we also have had and currently have revenue generating contracts with both commercial and U.S. government customers for the development and testing of certain of our systems and solutions. Although we have engaged in dialogue with potential customers about their interest in these core products, expected customer trials and discussions may not result in binding purchase orders. We have limited knowledge of the customer testing that will be required in order for customers to adopt our robotic systems. As such, customer testing may take longer than anticipated by us, and we may not be able to provide such testing to the satisfaction of prospective customers, which could result in longer sales cycles and fewer orders than anticipated. In addition, in order to build and maintain our business, we must maintain confidence among customers, suppliers, analysts, ratings agencies and other parties in our robotic systems and solutions, long-term financial viability and business prospects. Maintaining such confidence may be particularly complicated by certain factors including those that are largely outside of our control, such as our limited commercial experience, customer unfamiliarity with our products, any delays in scaling production, ability of manufacturing and service operations to meet demand, competition and uncertainty regarding the future of robotics. If we do not receive a sufficient number of binding purchase orders for our core products, our business, prospects, financial condition and operating results would be materially and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benefits of our products to customers and projected return on investment have not been substantiated through long-term trials or use.</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benefits to customers and projected return on investment of our products have not been substantiated through long-term trials or use. We currently have a limited frame of reference by which to evaluate the performance of our robotic systems and solutions upon which our business prospects depend, and our products may not provide the expected benefits to customers. Our robotic systems and solutions may not perform consistent with customers’ expectations or consistent with other robotics products which may become available. Any failure of our robotic systems and solutions and software to perform as expected could harm our reputation and result in adverse publicity, lost revenue, order cancellation, harm to our brand, delivery delays, product recalls, product liability claims and significant warranty and other expenses and could have a material adverse impact on our business, prospects, financial condition and operating results. Additionally, problems and defects experienced by competitors or others in the robotics market could, by association, have a negative impact on perception and customer demand for our robotic systems and solutions.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attract or retain customers at sufficient rates or at all.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very limited experience commercializing our products and may not be able to do so efficiently or effectively. Although we have engaged in ongoing dialogue with potential future customers, there are currently no binding commitments with customers to purchase commercial versions of our products. To grow our customer base, we must achieve binding commitments from expected customers and add new customers, which we may not be able to do in sufficient numbers or at all. Even if we are able to attract customers, these customers may not maintain a high level of commitment to our products or purchase our products in large volumes. In addition, we will incur marketing, sales or other expenses, including referral fees, to attract new customers, which will offset revenue from such customers. For these and other reasons, we could fail to achieve revenue growth, which would adversely affect our results of operations, prospects and financial condition.</w:t>
      </w:r>
    </w:p>
    <w:p>
      <w:pPr>
        <w:spacing w:after="0" w:line="19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customers or their employees do not perceive our product offerings to be of value or to be easy and comfortable to use, we may not be able to attract and retain customers and customers may fail to purchase additional systems and solutions. If our efforts to satisfy and retain our existing customers are not successful, we may not be able to attract new customers, and as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jc w:val="both"/>
        <w:spacing w:after="0" w:line="254" w:lineRule="auto"/>
        <w:rPr>
          <w:sz w:val="20"/>
          <w:szCs w:val="20"/>
          <w:color w:val="auto"/>
        </w:rPr>
      </w:pPr>
      <w:r>
        <w:rPr>
          <w:rFonts w:ascii="Arial" w:cs="Arial" w:eastAsia="Arial" w:hAnsi="Arial"/>
          <w:sz w:val="18"/>
          <w:szCs w:val="18"/>
          <w:color w:val="auto"/>
        </w:rPr>
        <w:t>result, our ability to maintain and/or grow our business will be adversely affected. Customers may fail to purchase additional systems for many reasons, including difficulties by employees in using the products, insufficient use by customers of robotic systems and solutions, negative reception by employees or labor unions and customer service or maintenance and servicing issues that are not satisfactorily resolved. Customer retention will also be largely dependent on the quality and effectiveness of our customer service and maintenance and servicing operations, which may be handled internally by our personnel and also by third-party service providers. Outsourcing of certain customer service and claims administration or maintenance and servicing functions may reduce our ability to ensure consistency in our overall customer service processes. If we are unable to successfully retain existing customers and attract new customers and achieve volume sales of our products, our business, prospects, financial condition and operating results will be materially and adversely affected.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successfully market our products, the purchase, adoption and use of the products may be materially and negatively impacted if the employees of our customers resist the use and adoption of the products.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designing our robotic systems and solutions with the goal of augmenting the workforce to increase productivity and reduce workplace injuries. Even if we successfully market our products to customers, the purchase, adoption and use of the products may be materially and negatively impacted if the employees of our customers resist the use and adoption of the products. Customer employees may resist the adoption of our products for several reasons, including lack of instruction on how to safely and effectively use the systems and solutions, a perception that the benefit of the use of the products does not outweigh the perceived difficulties or discomfort associated with use, resistance by labor unions and workplace injuries resulting from use of the products, among others. We spend significant time and resources on pre-commercial systems of our products for customer testing and expect to continue customer testing with our commercial systems and solutions. If the employees of our customers resist adoption of our robotic systems and solutions, our business, prospects, financial condition and operating results will be materially and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decided to focus on a standard product sales model for our robotic systems and solutions.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Based on feedback from development customers and potential commercial customers, we have decided to focus on a standard product sales model for our robotic systems and solutions instead of the RaaS model we previously expected to pursue. The standard sales model has the benefit of reducing our capital requirements since we do not need to wait to recover our production costs over many months or years of RaaS subscription payments. As a result, we expect that our capital requirements will be reduced and that we can manufacture our systems and solutions in a more capital efficient manner. However, we had expected the RaaS model to be attractive to customers due to a variety of factors, such as lower upfront costs to acquire and use our products. If customers ultimately do not favor the standard product sales model, we would have to readjust our business model, which could result in increased capital requirements to support a RaaS or other model, delays in customer purchases of our systems and solutions and other consequences that could have a material adverse effect on our business, reputation,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successful in commercializing our products, our revenue will be concentrated in a limited number of models for the foreseeable future.</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we are successful in commercializing our products, our revenue will be concentrated in a limited number of models for the foreseeable future. Although we expanded our product offering through the acquisition of RE2 and its products, we expect that our revenue will still be concentrated in a relatively limited number of models for the foreseeable future, and we will need to continue to develop our systems and solutions and expand the customer base for these products to diversify our revenue and customers. To the extent our products do not meet customer expectations, or cannot be completed or manufactured on their projected timelines and in line with cost and volume targets, our future sales and operating results may be adversely affected. Given that for the foreseeable future our business will depend on a limited number of models, both before and after we begin commercial sales of our Guardian systems and solutions, to the extent a particular model is not well-received by the market, our sales volumes and revenue would likely be materially and adversely affected, which would have a material adverse effect on our business, prospects, financial condition and operating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complete or enhance our product offerings through our research and development efforts.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commence production of an initial commercial version of one of our systems or solutions, we need to complete our development efforts with respect to such initial commercial product. Even after introduction of a commercial version of a product, we will also likely need to continue to advance and evolve the product in response to the evolving demands of our customers in the various industries we expect to serve. Although we have begun production of the initial commercial versions of our Guardian XM and Guardian XT systems and expect to begin production of the initial commercial version of the Guardian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both"/>
        <w:spacing w:after="0" w:line="263" w:lineRule="auto"/>
        <w:rPr>
          <w:sz w:val="20"/>
          <w:szCs w:val="20"/>
          <w:color w:val="auto"/>
        </w:rPr>
      </w:pPr>
      <w:r>
        <w:rPr>
          <w:rFonts w:ascii="Arial" w:cs="Arial" w:eastAsia="Arial" w:hAnsi="Arial"/>
          <w:sz w:val="18"/>
          <w:szCs w:val="18"/>
          <w:color w:val="auto"/>
        </w:rPr>
        <w:t>Sea Class by the second half of 2023, our other core systems and solutions and various other products are in various stages of development and commercialization. We will incur significant additional product development efforts and expenses, and we may not be successful in commercializing or marketing our core or future products at all or within our currently expected timelines.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notwithstanding our market research efforts, our current and future products may not be accepted by customers or their employees. The success of any proposed product offerings will depend on numerous factors, including our ability to:</w:t>
      </w:r>
    </w:p>
    <w:p>
      <w:pPr>
        <w:spacing w:after="0" w:line="170" w:lineRule="exact"/>
        <w:rPr>
          <w:sz w:val="20"/>
          <w:szCs w:val="20"/>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recruit and retain qualified personnel, including engineers, design and production personnel and service technicians;</w:t>
      </w:r>
    </w:p>
    <w:p>
      <w:pPr>
        <w:spacing w:after="0" w:line="22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 the preferred product features in multiple industries, such as aerospace, automotive, logistics, defense, oil and gas, power and utilities, construction and manufacturing, and successfully incorporate those features into our products;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and introduce proposed products in sufficient quantities and in a timely manner;</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 and</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demonstrate the productivity, efficacy and safety benefits of our products.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managed and expect to continue to manage our product development efforts through the development of pre-commercial systems and solutions, such as alpha and beta systems, for testing and evaluation, though we also make iterative improvements throughout the development process. If we fail to adequately communicate to customers product improvements throughout the development process, or if customer feedback is not adequately reflected in our product improvements, customers may not be persuaded of the value of our products. If we fail to generate demand by developing products that incorporate features desired by customers or their employees, we may fail to generate revenue sufficient to achieve or maintain profitability. We have in the past experienced, are experiencing and may in the future experience, delays in various phases of product development, including during research and development, manufacturing, limited release testing,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our products, or to purchase competitors’ products. Even if we are able to successfully develop our products when anticipated, we may not produce sales in excess of the costs of development, and our products may be quickly rendered obsolete by changing customer preferences or the introduction by competitors of products embodying new technologies or features. If we are unable to successfully manage our product development and communications with customers, customers may choose to not adopt or purchase our products, which would adversely affect our business, prospects, financial condition and operating results.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benefits to customers of our products could be supplanted by other technologies or solutions or competitors' products that utilize similar technology to ours in a more effective way.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benefits to customers of our products could be supplanted by other technologies or solutions (such as industrial automation) or competitors' products that utilize similar technology to ours (such as artificial intelligence) in a more effective way. Although we believe that by seeking to augment, rather than replace, humans for jobs that cannot be or are not practical to be automated, our products will be superior to the artificial intelligence and industrial automation products currently available, we cannot be sure that alternative technologies or improvements to artificial intelligence, industrial automation or other technologies, processes or industries will not match or exceed the benefits of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and solutions, decreased revenue and a loss of market share to competitors. Our research and development efforts may not be sufficient to adapt to new or changing technologies. While we plan to upgrade and adapt our robotic systems and solutions as we or others develop new technology, our robotic systems and solutions may not compete effectively with alternative products if we are not able to source and integrate the latest technology into our systems and solutions.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both"/>
        <w:spacing w:after="0" w:line="311" w:lineRule="auto"/>
        <w:rPr>
          <w:sz w:val="20"/>
          <w:szCs w:val="20"/>
          <w:color w:val="auto"/>
        </w:rPr>
      </w:pPr>
      <w:r>
        <w:rPr>
          <w:rFonts w:ascii="Arial" w:cs="Arial" w:eastAsia="Arial" w:hAnsi="Arial"/>
          <w:sz w:val="16"/>
          <w:szCs w:val="16"/>
          <w:b w:val="1"/>
          <w:bCs w:val="1"/>
          <w:i w:val="1"/>
          <w:iCs w:val="1"/>
          <w:color w:val="auto"/>
        </w:rPr>
        <w:t>Design flaws, defects, glitches or malfunctions in our products or the software that operates them, failure of our products to perform as expected, connectivity issues or user errors can result in product recalls, lower than expected return on investment for customers, harm to users and significant safety concerns, each of which could materially and adversely affect our results of operations, financial condition or reputation.</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design, manufacture and marketing of our products involve certain inherent risks. Manufacturing or design defects, glitches, malfunctions, connectivity issues between the central processing unit and the robotic system or solution, unanticipated use of our robotic system, user errors or inadequate disclosure of risks relating to the use of the robotic systems, among others, can lead to injury, property damage or other adverse events. For example, the absence of redundant sub-systems in the Guardian XO could result in injury to person or property if a sub-system fails while the robot is in use. We conduct extensive testing of our systems and solutions, in some instances in collaboration with our customers, to ensure that any such issues can be identified and addressed in advance of commercial launch of the products. However, we may not be able to identify all such issues or, if identified, efforts to address them may not be effective in all cases, and our product testing may not be adequate. Injuries to users have occurred during the testing of our products. In each case, we conducted investigations to identify the cause or causes of each incident and, when appropriate, implemented changes to testing protocols or to the systems and solutions to prevent such incidents from reoccurring. However, any implemented improvements may not fully prevent similar or other incidents in the future. Operators of the Guardian XO will be wearing the system while it is in use, which could worsen the consequences of an accident. Moreover, because of the size and weight of the systems and solutions, and the nature and variability of the environments in which we expect our products to be used, such as manufacturing and assembly lines, construction, field service and warehouses for the Guardian XO and hazardous environments and at-height for the Guardian XM and Guardian XT, adverse events relating to the use of our products could include significant injuries or even death. To the extent that design defects, glitches, malfunctions or connectivity issues between the central processing unit and the robotic system or solution are discovered during or after the production of pre-commercial and/or commercial systems and solutions, we will experience delays in the initial production and/or continued production of our commercial products while the issues are resolved. If the issues cannot be adequately resolved, production of commercial systems and solutions may not occur and/or resume.</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are designing the Guardian XO to include important safety features and accommodate customer-specialized protective gear and fall-prevention devices, we may not be able to successfully incorporate sufficient redundancy or other safety features to avoid injuries in the commercial version of the product.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may not be aware of manufacturing defects until injury to person or property has occurred. Such adverse events could lead to recalls or safety alerts relating to our products (either voluntary or required by governmental authorities), and could result, in certain cases, in the removal of our products from the market. A recall could result in significant costs. To the extent any manufacturing defect occurs, and such products are manufactured for us by third parties, our agreement with the third-party manufacturer may contain a limitation on the third-party manufacturer’s liability, and therefore we could be required to incur the majority of related costs. Product defects or recalls could also result in negative publicity, damage to our reputation or, in the event of regulatory developments, delays in new product approvals.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products incorporate sophisticated computer software and firmware. Complex software and firmware frequently contain errors, especially when first introduced. Our software and/or firmware may experience errors or performance problems in the future. If any part of our products’ hardware or software were to fail, the operator could experience serious injury or even death. Additionally, users may not use our products in accordance with safety protocols and training, which could amplify the risk of death or injury. Customers and operators also may fail to install updates and fixes to the software for several reasons including poor connectivity, inattention or failure to regularly dock our products. Any such occurrence could cause delay in market acceptance of our products, damage to our reputation, product recalls, increased service and warranty costs, product liability claims and loss of revenue.</w:t>
      </w:r>
    </w:p>
    <w:p>
      <w:pPr>
        <w:spacing w:after="0" w:line="1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anticipate that in the ordinary course of business we may be subject to product liability claims alleging defects in the design or manufacture of our products. A product liability claim, regardless of its merit or eventual outcome, could result in significant legal defense costs and high punitive damage payments, damage to our reputation or require significant costs to redesign or fix our products.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Even if our products perform properly and are used as intended, if users sustain any injuries while operating our products or if users injure others while operating our products, we could be exposed to liability and our results of operations, financial condition and reputation may be adversely affected.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both"/>
        <w:spacing w:after="0" w:line="290" w:lineRule="auto"/>
        <w:rPr>
          <w:sz w:val="20"/>
          <w:szCs w:val="20"/>
          <w:color w:val="auto"/>
        </w:rPr>
      </w:pPr>
      <w:r>
        <w:rPr>
          <w:rFonts w:ascii="Arial" w:cs="Arial" w:eastAsia="Arial" w:hAnsi="Arial"/>
          <w:sz w:val="16"/>
          <w:szCs w:val="16"/>
          <w:color w:val="auto"/>
        </w:rPr>
        <w:t>Our products contain complex technology and must be used as designed and intended in order to operate safely and effectively. For example, we are developing the Guardian XT system as an augmented or mixed reality-enabled highly-dexterous teleoperated robotic system to perform intricate and even dangerous tasks. We expect that users will control the system at a distance by utilizing augmented reality teleoperation. While we expect to develop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users were to sustain injuries or cause damage to property while operating our products, in a manner consistent with our training and instructions or otherwise, we could be exposed to liability and our results of operations, financial condition and our reputation may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experience maintaining or servicing our products at a large scale.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agree to cover maintenance and servicing of the systems and solutions purchased by our customers. However, we have no experience providing maintenance and servicing at a large scale. We may elect to partner with one or more third parties to perform some or all of the servicing and maintenance on our products, but we may not be able to enter into an acceptable arrangement with any such third-party provider. Although such servicing partners may have experience in servicing complex machinery, they will initially have limited experience in servicing our robotic systems and solutions. If we are unable or elect not to enter into a partnership with third parties to perform maintenance and servicing, we may be required to provide such services directly, which could significantly increase our capital expenditures and personnel costs. We would also be required to recruit and train employees to provide these services and we may not be able to attract persons with the necessary knowledge or experience to provide these services. Delays in implementing a maintenance and servicing infrastructure may significantly delay sales of our products if customers are unwilling to purchase products with limited maintenance and servicing capacity.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our service and maintenance arrangements may not adequately address the service and maintenance requirements of our customers to their satisfaction, and we and our servicing partners may not have sufficient resources, experience or inventory to meet these service requirements in a timely manner as the volume of robotic systems and solutions we deliver increases. Even if we and our servicing partners have the resources and experience needed, we and our servicing partners still may not adequately service or maintain the systems and solutions. If we are unable to, directly or through third-party partners, roll out and establish a widespread service network, including on-site services, customer satisfaction could be adversely affected, which in turn could materially and adversely affect our reputation and thus our sales, results of operations and prospects.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customers will also depend on our customer support team to resolve technical and operational issues relating to the integrated software underlying our robotic systems and solutions. Customer behavior and usage may result in higher-than-expected maintenance and repair costs or warranty claims.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we continue to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operating results. If we are unable to successfully address the service requirements of our customers or we establish a market perception that we do not maintain high-quality support, we may be subject to claims from our customers, including loss of revenue or damages, and our business, prospects, financial condition and operating results may be materially and adversely affected.</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develop and manufacture products of sufficient quality on schedule and on a large scale is unproven, and delays in the design, production and launch of our products could harm our business, prospects, financial condition and operating results.</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future business depends in large part on our ability to execute our plans to design, develop, manufacture, market, deploy and service our products. Over time, we intend to largely outsource the manufacturing of our robotic systems and solutions to third-party manufacturing partners, which would reduce our direct control over production and manufacturing. Such diminished control may have an adverse effect on the quality or quantity of our systems and solutions, or our flexibility to respond to changing conditions. In addition, engaging third-party manufacturers involves significant time, ramp-up, testing and coordination before high-volume production capability by the partner is achieved. While we currently do not anticipate high-volume production by a contract manufacturing partner to be in place until at least the end of 2023, we have entered into an agreement and begun initial engagement activities with a contract manufacturing partner.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jc w:val="both"/>
        <w:spacing w:after="0" w:line="286" w:lineRule="auto"/>
        <w:rPr>
          <w:sz w:val="20"/>
          <w:szCs w:val="20"/>
          <w:color w:val="auto"/>
        </w:rPr>
      </w:pPr>
      <w:r>
        <w:rPr>
          <w:rFonts w:ascii="Arial" w:cs="Arial" w:eastAsia="Arial" w:hAnsi="Arial"/>
          <w:sz w:val="17"/>
          <w:szCs w:val="17"/>
          <w:color w:val="auto"/>
        </w:rPr>
        <w:t>We also plan to retain third-party vendors and service providers to engineer, design and test some of the critical systems and components of our systems and solutions. While this allows us to draw from such third parties’ industry knowledge and expertise, such systems and components may not be successfully developed to our specifications or delivered in a timely manner to meet our program timing requirements.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continued development and manufacturing of our products are and will be subject to risks, including with respect to:</w:t>
      </w:r>
    </w:p>
    <w:p>
      <w:pPr>
        <w:spacing w:after="0" w:line="225" w:lineRule="exact"/>
        <w:rPr>
          <w:sz w:val="20"/>
          <w:szCs w:val="20"/>
          <w:color w:val="auto"/>
        </w:rPr>
      </w:pPr>
    </w:p>
    <w:p>
      <w:pPr>
        <w:ind w:left="760" w:hanging="378"/>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or disruptions in our supply chain, or the need to order supplies in excess of demand due to minimum quantity requirements or price thresholds;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costs to be incurred by us and/or any third-party manufacturing partner or partners in meeting our specifications and design tolerances;</w:t>
      </w:r>
    </w:p>
    <w:p>
      <w:pPr>
        <w:spacing w:after="0" w:line="236" w:lineRule="exact"/>
        <w:rPr>
          <w:rFonts w:ascii="Arial" w:cs="Arial" w:eastAsia="Arial" w:hAnsi="Arial"/>
          <w:sz w:val="17"/>
          <w:szCs w:val="17"/>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ongoing effects of the COVID-19 pandemic or other pandemics, epidemics or outbreaks;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hiring and retaining a sufficient number of qualified employees (we have historically been understaffed due to these challenges);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 and short-term durability of our robotic systems and solutions to withstand day-to-day wear and tear;</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delivery of final systems and components by our suppliers;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manufacturing of robotic systems and solutions in excess of demand due to contractual requirements or unexpected changes in demand;</w:t>
      </w:r>
    </w:p>
    <w:p>
      <w:pPr>
        <w:spacing w:after="0" w:line="236" w:lineRule="exact"/>
        <w:rPr>
          <w:rFonts w:ascii="Arial" w:cs="Arial" w:eastAsia="Arial" w:hAnsi="Arial"/>
          <w:sz w:val="17"/>
          <w:szCs w:val="17"/>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shifts in demand for our products or new product feature requirements;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quality controls, particularly as we plan to expand our production capabilities;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national or global economic or political conditions, including war, inflation and interest rates;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work stoppages, labor strikes and other labor disputes affecting us or our suppliers, third-party manufacturers and other partners; and</w:t>
      </w:r>
    </w:p>
    <w:p>
      <w:pPr>
        <w:spacing w:after="0" w:line="236" w:lineRule="exact"/>
        <w:rPr>
          <w:rFonts w:ascii="Arial" w:cs="Arial" w:eastAsia="Arial" w:hAnsi="Arial"/>
          <w:sz w:val="17"/>
          <w:szCs w:val="17"/>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delays and cost overruns.</w:t>
      </w:r>
    </w:p>
    <w:p>
      <w:pPr>
        <w:spacing w:after="0" w:line="333"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are highly dependent on the services of our senior management and other key employees and, if we are unable to attract and retain a sufficient number of qualified employees, our ability to design, manufacture and launch our products, operate our business and compete could be harmed.</w:t>
      </w:r>
    </w:p>
    <w:p>
      <w:pPr>
        <w:spacing w:after="0" w:line="12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success depends, in part, on our ability to retain our key personnel. The unexpected loss of or failure to retain one or more of our senior managers or other key employees could delay product development and require outsourcing to third parties, each of which in turn could adversely affect our business. Our success also depends, in part, on our continuing ability to identify, hire, attract, train and develop other highly qualified personnel. Experienced and highly skilled employees are in high demand and competition for these employees can be intense,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Our headquarters are in Salt Lake City, Utah, which has fewer highly skilled employees in the robotics field than other major metropolitan areas. To attract and retain key personnel, we may need to open offices in other areas of the country, which could increase costs and reduce productivity. As a result of our acquisition of RE2, a significant number of our employees are located in Pittsburgh, Pennsylvania. As an organization, we do not have meaningful experience managing two large facilities and employee bases in different geographies and across different time zones. Any failure by our management team and our employees to perform as expected may have a material adverse effect on our ability to design, manufacture and launch our products or to operate our business and compete, as well as on our business, prospects, financial condition and operating results.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Our management as a group has limited experience in operating a publicly-traded company.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some members of our management have public company experience, our management team may not successfully or effectively manage operating as a public company subject to significant regulatory oversight and reporting obligations under U.S. securities laws. Our executive officers as a group have limited experience in the management of a publicly-traded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Although we have hired personnel experienced in managing and addressing the obligations of a publicly-traded company, we will likely need to continue to recruit and hire additional persons in order to handle the increased demands of running a public company, but our efforts may not be successful. We may not have adequate personnel with the appropriate level of knowledge, experience and training in the accounting policies, practices or internal control over financial reporting required of public companies. Any failure by us to effectively and efficiently meet our obligations as a publicly-traded company could have a material adverse effect on our business, prospects, financial condition and operating results and/or result in legal liability or other negative consequences.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incur significant expenses and administrative burdens as a publicly-traded company, which could have a material adverse effect on our business, prospects, financial condition and operating results.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publicly-traded company, we are incurring legal, accounting and other expenses that we previously did not have, and these expenses may increase even more as we continue to implement and strengthen controls, processes and systems and to hire related personnel and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Nasdaq. Our management and other personnel will be devoting a substantial amount of time to these compliance initiatives. We have expanded our employee base and we will need to hire additional employees to support our operations as a public company, which will increase our operating costs in future periods. Moreover, these rules and regulations have substantially increased our legal and financial compliance costs and make some activities more time-consuming and costly. These increased costs have increased our net loss. For example, it has been more difficult and more expensive for us to obtain director and officer liability insurance and we have incurred substantially higher costs to obtain appropriate coverage than we incurred as a private company. We cannot accurately predict or estimate the amount or timing of all the additional costs we may incur. The impact of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could have a material adverse effect on our business, financial condition and operating results.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Ongoing impacts from COVID-19 or another pandemic, epidemic or outbreak of an infectious disease may materially and adversely impact our business, prospects, financial condition and operating results.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COVID-19 pandemic has adversely impacted our business, and it, as well as other possible health pandemics, epidemics or outbreaks, may materially and adversely impact our business, prospects, financial condition and operating results in the future. Our engineering and product development operations, among others, cannot all be conducted in a remote working structure and often require on-site access to materials and equipment. We have customers with international operations in varying industries. We also depend on suppliers and manufacturers worldwide. We are currently experiencing disruptions and delays in our supply chain, as discussed under “</w:t>
      </w:r>
      <w:r>
        <w:rPr>
          <w:rFonts w:ascii="Arial" w:cs="Arial" w:eastAsia="Arial" w:hAnsi="Arial"/>
          <w:sz w:val="17"/>
          <w:szCs w:val="17"/>
          <w:i w:val="1"/>
          <w:iCs w:val="1"/>
          <w:color w:val="auto"/>
        </w:rPr>
        <w:t>We are dependent on our suppliers, some of which are currently single, sole or limited source suppliers, and</w:t>
      </w:r>
      <w:r>
        <w:rPr>
          <w:rFonts w:ascii="Arial" w:cs="Arial" w:eastAsia="Arial" w:hAnsi="Arial"/>
          <w:sz w:val="17"/>
          <w:szCs w:val="17"/>
          <w:color w:val="auto"/>
        </w:rPr>
        <w:t xml:space="preserve"> </w:t>
      </w:r>
      <w:r>
        <w:rPr>
          <w:rFonts w:ascii="Arial" w:cs="Arial" w:eastAsia="Arial" w:hAnsi="Arial"/>
          <w:sz w:val="17"/>
          <w:szCs w:val="17"/>
          <w:i w:val="1"/>
          <w:iCs w:val="1"/>
          <w:color w:val="auto"/>
        </w:rPr>
        <w:t>the inability of these suppliers to deliver necessary components of our products at the prices and volumes, performance, timing and specifications acceptable to us, could have a material adverse effect on our business, prospects, financial condition and operating results</w:t>
      </w:r>
      <w:r>
        <w:rPr>
          <w:rFonts w:ascii="Arial" w:cs="Arial" w:eastAsia="Arial" w:hAnsi="Arial"/>
          <w:sz w:val="17"/>
          <w:szCs w:val="17"/>
          <w:color w:val="auto"/>
        </w:rPr>
        <w:t>.</w:t>
      </w:r>
      <w:r>
        <w:rPr>
          <w:rFonts w:ascii="Arial" w:cs="Arial" w:eastAsia="Arial" w:hAnsi="Arial"/>
          <w:sz w:val="17"/>
          <w:szCs w:val="17"/>
          <w:i w:val="1"/>
          <w:iCs w:val="1"/>
          <w:color w:val="auto"/>
        </w:rPr>
        <w:t xml:space="preserve"> We have not yet identified all of the suppliers that we are likely to rely on to support future commercialization of our core products.</w:t>
      </w:r>
      <w:r>
        <w:rPr>
          <w:rFonts w:ascii="Arial" w:cs="Arial" w:eastAsia="Arial" w:hAnsi="Arial"/>
          <w:sz w:val="17"/>
          <w:szCs w:val="17"/>
          <w:color w:val="auto"/>
        </w:rPr>
        <w:t>” Depending upon the duration of the ongoing effects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COVID-19 pandemic, which may linger for some time even if significant health risks abate, our customers, suppliers, manufacturers and partners may suspend or delay their engagement with us or take other actions or experience their own negative impacts, any of which could result in a material adverse effect on our financial condition and ability to meet current timelines. The COVID-19 pandemic has adversely affected and may continue to adversely affect our ability to recruit skilled employees to join our team and to meet our product development timelines. Our response to the ongoing COVID-19 pandemic and its ongoing impacts on our supply chain and business activities may prove to be inadequate, and we may be unable to operate in the manner necessary to avoid interruptions, reputational harm and delays in our product development and shipments, any of which could have a material adverse effect on our business, prospects, financial condition and operating results. In addition, pre-COVID-19 supply chain, economic and business conditions may not ever return.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We may become subject to new or changing governmental regulations relating to the design, manufacturing, marketing, distribution, servicing or use of our products, and a failure to comply with such regulations could lead to withdrawal or recall of our products from the market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delay our projected revenue, increase costs or make our business unviable if we are unable to modify our products to comply.</w:t>
      </w:r>
    </w:p>
    <w:p>
      <w:pPr>
        <w:spacing w:after="0" w:line="16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may become subject to new or changing international, national, state and local regulations, including laws relating to the design, manufacturing, marketing, distribution, servicing or use of our products. Such laws and regulations may require us to pause sales and modify our products, which would likely result in a material adverse effect on our revenue and financial condition, especially if implemented on a large scale or in a key market.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expected transition to an outsourced manufacturing business model may not be successful, which could harm our ability to deliver products and recognize revenue.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intend to transition from a manufacturing model in which we primarily manufacture and assemble our products at a smaller scale at our facilities, to one where we rely on one or more third-party manufacturers. We believe the use of third-party manufacturers will have benefits, but in the near term, while we are beginning manufacturing with one or more new partners, we may incur delays, lost revenue and increased costs. Our future third-party manufacturers may not be able to develop efficient, automated, low-cost production capabilities and processes and reliable sources of component supply to enable us to meet the quality, price, engineering, design and production standards, as well as the production volumes, required to successfully mass market our robotic systems and solutions. Even if we and our third-party manufacturers are successful in developing high-volume production capability and processes and reliably sourcing components, we may not be able to avoid significant delays and cost overruns, including as a result of factors beyond our control such as problems with suppliers and vendors or force majeure events, meet our product commercialization schedules or satisfy customer requirements.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recently entered into an agreement with a third-party contract manufacturer and expect to generally outsource manufacturing of our products over time. However, engaging with a manufacturing requires significant time, ramp-up, testing and coordination before high-volume production capability by the partner is achieved. We currently do not anticipate high-volume production by a contract manufacturing partner to be in place until at least the end of 2023. We expect that in 2023 we will have the internal capability to manufacture a total of between 300 – 500 systems, depending on the mix. However, we do not believe that will use all of that capacity in 2023.</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Reliance on third-party manufacturers reduces our control over the manufacturing process, including reduced control over quality, product costs and product supply and timing. We may experience delays in shipments or issues concerning product quality from our third-party manufacturers. If any of our third-party manufacturers experience interruptions, delays or disruptions in supplying our products, including by natural disasters, the global COVID-19 pandemic, other health epidemics and outbreaks, geopolitical events, work stoppages or capacity constraints, our ability to ship products to distributors and customers would be delayed. In addition, unfavorable economic conditions could result in financial distress among third-party manufacturers upon which we rely, thereby increasing the risk of disruption of supplies necessary to fulfill our production requirements and meet customer demands. While we take measures to protect our trade secrets, the use of third-party manufacturers may also risk disclosure of our innovative and proprietary technologies, which could adversely affect our business.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if any of our future third-party manufacturers experience quality control problems in their manufacturing operations and our products do not meet customer requirements, we could be required to recall the systems and solutions or cover the cost of repair or replacement of any defective products. These delays or product quality issues could have an immediate and material adverse effect on our ability to fulfill orders and on our operating results. In addition, such delays or issues with product quality could adversely affect our reputation and our relationship with our customers.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any third-party manufacturers experience financial, operational, manufacturing capacity or other difficulties, or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time-consuming, and could be costly and impracticable, to begin to use new manufacturers and designs, and such changes could cause significant interruptions in supply and could have an adverse effect on our ability to meet our scheduled product deliveries and may subsequently lead to the loss of sales.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jc w:val="both"/>
        <w:spacing w:after="0" w:line="273" w:lineRule="auto"/>
        <w:rPr>
          <w:sz w:val="20"/>
          <w:szCs w:val="20"/>
          <w:color w:val="auto"/>
        </w:rPr>
      </w:pPr>
      <w:r>
        <w:rPr>
          <w:rFonts w:ascii="Arial" w:cs="Arial" w:eastAsia="Arial" w:hAnsi="Arial"/>
          <w:sz w:val="17"/>
          <w:szCs w:val="17"/>
          <w:color w:val="auto"/>
        </w:rPr>
        <w:t>If we are unable to successfully outsource a significant portion of our production to third-party manufacturers on acceptable terms, we will need to rely on our own manufacturing capacity and may need to develop additional manufacturing and production facilities and capabilities, which would significantly increase our capital expenditures, would likely delay production of our robotic systems and solutions. and may not be feasible. If this were to occur, we would need to raise or borrow additional money, which may not be available on terms acceptable to us or at all, and possibly change our product pricing expectations, which could adversely affect our margins and cash flows. We have no experience to date in high volume manufacture of our products, nor do we have the facility, employees or equipment needed to manufacture our products in high volumes.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failure to develop production processes and capabilities within our projected costs and timelines, whether in partnership with a third-party contract manufacturer or internally or a combination of the two, could have a material adverse effect on our business, prospects, financial condition and operating results.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business and prospects depend significantly on our ability to build our brands. We may not succeed in continuing to establish, maintain and strengthen our brands, and our brands and reputation could be harmed by negative publicity regarding us or our products.</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and prospects are heavily dependent on our ability to develop, maintain and strengthen our brands. If we do not continue to establish, maintain and strengthen our brands, we may lose the opportunity to build a critical mass of customers. Promoting and positioning our brands will likely depend significantly on our ability to provide high quality products and engage with our customers as intended. In addition, our ability to develop, maintain and strengthen our brands may depend on the acceptance of our products by employees of our customers. To promote our brands, we may be required to change or expand our customer development and branding practices, which could result in substantially increased expenses. If we do not develop and maintain strong brands, our business, prospects, financial condition and operating results will be materially and adversely impacted.</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if safety incidents occur or are perceived to have occurred, whether or not such incidents are our fault, we could be subject to adverse publicity or resistance by employees of our customers or labor unions. In particular, given the popularity of social media, any negative publicity, whether true or not, could quickly proliferate and harm perceptions and confidence in our brands. Furthermore, there is the risk of potential adverse publicity related to our manufacturing or other partners whether or not such publicity is related to their collaboration with us. Our ability to successfully position our brands could also be adversely affected by perceptions about the quality of our competitors’ products.</w:t>
      </w:r>
    </w:p>
    <w:p>
      <w:pPr>
        <w:spacing w:after="0" w:line="17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The period of time from initial design of our products to obtaining binding purchase commitments from customers is long and we are subject to the risk that customers who initially expressed an interest in our products during the design phase will not enter into binding commitments.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products contain complex technology that requires multiple years of engineering and design. Therefore, the period of time from initial design of our products to obtaining binding purchase commitments from customers is long and we are subject to the risk that customers who initially expressed an interest in our products during the design phase will not enter into binding commitments. The design of our products is significantly influenced by feedback from potential customers and reflects the needs they express. Further, some of our products have been designed to meet the specific use-cases of a particular customer. As a result, adapting our products to other industries or customers may require additional design, development, testing, work and expenses. We may not be able to adapt our products to reflect such feedback successfully or at all. If customers who initially express an interest in our products and influenced their design ultimately do not enter into binding commitments to purchase our products, or if they adopt a competitors’ technology, our business, prospects, financial condition and operating results would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control the costs associated with our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will require significant capital to develop and grow our business, including developing and producing our commercial robotic systems and solutions and other products, establishing or expanding our design, research and development, production, sales and maintenance and service capabilities and building our brands. We have incurred and expect to continue incurring significant expenses which will impact our profitability, including research and development expenses, procurement costs, sales, marketing and distribution expenses as we build our brand and market our robotic systems and solutions and general and administrative expenses as we scale our operations, identify and commit resources to investigate new areas of demand and incur costs as a public company. Some of the factors that may lead to cost increases are outside of our control, such as national or global geopolitical and economic conditions, including inflation or increases in interest rates. In addition, we may incur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jc w:val="both"/>
        <w:spacing w:after="0" w:line="291" w:lineRule="auto"/>
        <w:rPr>
          <w:sz w:val="20"/>
          <w:szCs w:val="20"/>
          <w:color w:val="auto"/>
        </w:rPr>
      </w:pPr>
      <w:r>
        <w:rPr>
          <w:rFonts w:ascii="Arial" w:cs="Arial" w:eastAsia="Arial" w:hAnsi="Arial"/>
          <w:sz w:val="16"/>
          <w:szCs w:val="16"/>
          <w:color w:val="auto"/>
        </w:rPr>
        <w:t>significant costs servicing, maintaining and refurbishing our robotic systems and solutions, and we expect that the cost to repair and service our robotic systems and solutions will increase over time as our robotic systems and solutions age. Our ability to become profitable in the future will not only depend on our ability to complete the design and development of our robotic systems and solutions to meet projected performance metrics and identify and investigate new areas of demand and successfully market our robotic systems and solutions, but also on our ability to sell our robotic systems and solutions at prices needed to achieve sufficient margins and control our costs, including the risks and costs associated with any maintenance and service obligations that we may undertake and warranty obligations. If we are unable to efficiently design, develop, manufacture, market, deploy, distribute and service our robotic systems and solutions in a cost-effective manner, our margins, profitability and prospects would be materially and adversely affected.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suppliers and any manufacturing partners may rely on complex machinery for production, which involves a significant degree of risk and uncertainty in terms of operational performance and costs.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and our suppliers and any manufacturing partners may rely on complex machinery for the production and assembly of our robotic systems and solutions, which will involve a significant degree of uncertainty and risk in terms of operational performance and costs. Our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or machines may significantly affect the intended operational efficiency. Operational performance and costs can be difficult to predict and are often influenced by factors outside of our or any third-party manufacturing partners’ and suppliers’ control, such as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it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of which could have a material adverse effect on our business, prospects, financial condition and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natural disasters, health epidemics and other calamities, which could significantly disrupt our operations.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facilities or operations or those of any third-party manufacturers or suppliers could be adversely affected by events outside of our or their control, such as natural disasters, wars, health epidemics and other calamities and force majeure events. See "</w:t>
      </w:r>
      <w:r>
        <w:rPr>
          <w:rFonts w:ascii="Arial" w:cs="Arial" w:eastAsia="Arial" w:hAnsi="Arial"/>
          <w:sz w:val="17"/>
          <w:szCs w:val="17"/>
          <w:i w:val="1"/>
          <w:iCs w:val="1"/>
          <w:color w:val="auto"/>
        </w:rPr>
        <w:t>Ongoing impacts from COVID-19 or another pandemic,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epidemic or outbreak of an infectious disease may materially and adversely impact our business, prospects, financial condition and operating results." </w:t>
      </w:r>
      <w:r>
        <w:rPr>
          <w:rFonts w:ascii="Arial" w:cs="Arial" w:eastAsia="Arial" w:hAnsi="Arial"/>
          <w:sz w:val="17"/>
          <w:szCs w:val="17"/>
          <w:color w:val="auto"/>
        </w:rPr>
        <w:t>Although we have servers that are hosted both onsite and at an offsite location, our backup system does not capture data on a real-time basis and we may be unable to recover certain data in the event of a server failure. Our backup system may not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the malfunction of software or hardware, as well as adversely affect our ability to provide services.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target many customers that are large businesses with substantial negotiating power, exacting product standards and potentially competitive internal solutions. If we are unable to sell our products to these customers, our prospects and results of operations will be adversely affected.</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that many of our potential customers will be large, multinational businesses with substantial negotiating power relative to us and, in some instances, may have internal solutions that are competitive to our products. These large, multinational businesses also have significant development resources, which may allow them to acquire or develop independently, or in partnership with others, competitive technologies. Meeting the technical requirements and securing binding commitments from any of these businesses will require a substantial investment of our time and resources. We may be unable to secure binding commitments from these or other businesses or we may be unable to generate meaningful revenue from the sales of our products to these key potential customers. If our products are not selected by these large businesses or if these businesses develop or acquire competitive technology, it will have an adverse effect on our business, which could be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competitive industry that is subject to rapid technological change, and we expect competition to increase.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robotics industry is subject to rapid technological change, and we expect competition to increase in the future. Our robotics technology may be unable to keep up with changes in robotics technology or its alternatives and, as a result, our competitiveness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both"/>
        <w:spacing w:after="0" w:line="286" w:lineRule="auto"/>
        <w:rPr>
          <w:sz w:val="20"/>
          <w:szCs w:val="20"/>
          <w:color w:val="auto"/>
        </w:rPr>
      </w:pPr>
      <w:r>
        <w:rPr>
          <w:rFonts w:ascii="Arial" w:cs="Arial" w:eastAsia="Arial" w:hAnsi="Arial"/>
          <w:sz w:val="17"/>
          <w:szCs w:val="17"/>
          <w:color w:val="auto"/>
        </w:rPr>
        <w:t>may suffer. Developments in alternative technologies may materially and adversely affect our competitiveness in ways we do not currently anticipate. Any failure by us to successfully react to changes or advances in existing technologies could materially harm our competitive position and growth prospects, which could have a material adverse effect on our business, prospects, financial condition and operating results.</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We believe we are developing a new category of industrial robotic systems and solutions that augment, rather than replace, humans. In many cases, our primary competition will be traditional modes of human labor, sometimes assisted with material handling products such as overhead cranes, forklifts and pallet jacks. To overcome potential resistance to innovation and the adoption of new products and ways of working, we must demonstrate to customers the value proposition of our products, including increased productivity, reduced costly occupational injuries and broadening the pool of available employees by equalizing workers’ physical capabilities to include older and less physically strong workers.</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Additionally, our product offerings compete in a broad competitive landscape that includes robotics and automation companies that have both directly competing as well as alternative solutions ranging from exoskeletons, collaborative robots, industrial robots, traditional lift-assist equipment and unmanned robotic vehicles. We also view our competitive landscape to include companies who have different but unique product lines in the automation space, such as ABB Robotics, Siasun Robot &amp; Automation, Teradyne and Berkshire Grey. Also included in our broader competitive landscape are robotic solution suppliers, like Rockwell Automation, Honeywell, Keyence Corporation, COGNEX Corporation and Hexagon AB, which may not have a directly competing product today, but which could become competitors through diversification; these companies have existing customer relationships and channels, as well as significant financial and other resources, that could enable them to emerge as formidable competitors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breakdown of the competitive landscape for our core systems and solutions:</w:t>
      </w:r>
    </w:p>
    <w:p>
      <w:pPr>
        <w:spacing w:after="0" w:line="225" w:lineRule="exact"/>
        <w:rPr>
          <w:sz w:val="20"/>
          <w:szCs w:val="20"/>
          <w:color w:val="auto"/>
        </w:rPr>
      </w:pPr>
    </w:p>
    <w:p>
      <w:pPr>
        <w:jc w:val="both"/>
        <w:ind w:left="1020" w:hanging="503"/>
        <w:spacing w:after="0" w:line="263"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Guardian XM and Guardian XT systems face a varied competitive landscape that includes collaborative robotics companies, such as Kuka, Fanuc, Doosan Robotics and Universal Robotics, as well as automation companies like Teradyne, ABB Robotics, Siasun Robot &amp; Automation, Berkshire Grey, Ready Robotics and OMRON.</w:t>
      </w:r>
    </w:p>
    <w:p>
      <w:pPr>
        <w:spacing w:after="0" w:line="183"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Guardian Sea Class competes with robotic arm manipulator companies like Deep Trekker, Nauticus Robotics, Reach Robotics and QYSEA that provide manipulators and grippers for light and working-class ROVs.</w:t>
      </w:r>
    </w:p>
    <w:p>
      <w:pPr>
        <w:spacing w:after="0" w:line="170"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Guardian XO competes with robotics and automation solutions that help workers with heavy materials handling, heavy lift-and-transport-assist and overhead assembly type jobs. Principal competitors include Hyundai and Daewoo, who have previously shown powered exoskeleton prototype units, and companies like Cyberdyne, Samsung, Ekso Bionics, Ottobock, Lockheed Martin, SuitX and Levitate who currently sell powered, partial-body exoskeletons or passively-powered, partial-body variants.</w:t>
      </w:r>
    </w:p>
    <w:p>
      <w:pPr>
        <w:spacing w:after="0" w:line="186"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vegetation management solution competes indirectly with general purpose mechanical brush clearing solutions like the Mini-Jaraff by Jarraff Industries and the Kershaw SkyTrim product by Progress Rail and modified lift trucks, such as the BIK Boom Truck and Sennebogen, that are marketed for vegetation management.</w:t>
      </w:r>
    </w:p>
    <w:p>
      <w:pPr>
        <w:spacing w:after="0" w:line="183"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believe our PV panel installation solution will compete with products under development by AES and Bailey Crane. AES, a large utility company, announced in 2021 it was developing an autonomous solar module installation point-solution. Bailey Crane has announced that it is developing a solar panel installation robot that could compete with our solution.</w:t>
      </w:r>
    </w:p>
    <w:p>
      <w:pPr>
        <w:spacing w:after="0" w:line="183"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baggage-handling solution competes with AMR and automated guided vehicle (AGV) products designed for baggage-handling by companies, such as Vanderlande, Addverb Technologies, Alstef Group, Siemens and Lloyd W. Aubry Company, and baggage-loader/unloader systems, such as those provided by Beumer Group and BBHS.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of our competitors and potential competitors have products that are commercially available and/or in development. We expect some products currently in development to become commercially available in the next few years. In addition, we compete or may compete with companies that develop artificial intelligence and industrial automation solutions, such as those offered by Hyundai-Boston Dynamics, Grey Matter, Canvas Technology, DroneSense, Intuitive, iRobot, Hahn Robotics, Kuka, Fanuc, Neurala, Ready Robotics, Rethink Robotics and Yaskawa.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Our competitor base may change or expand as we continue to develop and commercialize our robotic systems and solutions in the future. These or other competitors may develop new technologies or products that provide superior results to customers or are less expensive than our products. Our technologies and products could be rendered obsolete by such developments.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adversely affected.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because we operate in new and evolving markets, the actions of our competitors could adversely affect our business. Adverse events such as product defects or legal claims with respect to competing or similar products could cause reputational harm to the robotics market as a whole and, accordingly,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vary significantly from period to period due to fluctuations in our operating costs, product demand and other factors.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our period-to-period financial results to vary based on our operating costs and product demand, which we anticipate will fluctuate as the pace at which we continue to design, develop and manufacture robotic systems and solutions, increase production capacity and establish or expand design, research and development, production, sales and service facilities fluctuates. Additionally, our revenue from period to period may fluctuate as we identify and investigate areas of demand, adjust volumes and add new product derivatives based on market demand and margin opportunities, develop and introduce new robotic systems and solutions or introduce existing robotic systems and solutions to new markets for the first time, as product sales mix varies and as our product development contract revenue fluctuates. As a result of these factors, we believe that quarter-to-quarter comparisons of our financial results, especially in the short term, are not necessarily meaningful and that these comparisons cannot be relied upon as indicators of future performance. Moreover, our financial results may not meet expectations of equity research analysts, ratings agencies or investors, who may be focused only on quarterly financial results. If any of this occurs, the trading price of our securities could fall substantially, either suddenly or over time, and/or experience significant volatility.</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as well as result in litigation, regulatory action or other risks.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accounting principles generally accepted in the United States (“GAAP”). Our management is likewise required, on a quarterly basis, to evaluate the effectiveness of our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Old Sarcos identified certain accounting errors related to its financial statements. As a result, Old Sarcos management concluded that a material weakness existed in its internal control over financial reporting related to the identification and review of technical issues associated with certain unique, unusual and nonstandard transactions within Old Sarcos’ equity process. As a result of this material weakness, management concluded that its internal control over financial reporting was not effective as of December 31, 2020 and 2021. Management has implemented new measures designed to remediate the previously identified material weakness and has completed the testing necessary to conclude that the material weakness has been remediated as of June 30, 2022.</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jc w:val="both"/>
        <w:spacing w:after="0" w:line="271"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(the “SEC Statement”). Following the issuance of the SEC Statement, after consultation with its independent registered public accounting firm, Rotor’s management and its audit committee concluded that, in light of the SEC Statement, it was appropriate to restate the previously issued audited balance sheet as of January 20, 2021 (the “Restatement”). As part of such process, Rotor identified a material weakness in its internal control over financial reporting. As of December 31, 2021, management determined that this material weakness was remediated as the previously issued financial statements were restated and management is now accounting for the Private Placement Warrants in accordance with the SEC Statement.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these prior material weaknesses, the Restatement, the change in accounting for the Private Placement Warrants and other matters raised or that may in the future be raised by the SEC, we face the potential for litigation or other disputes, which may include claims invoking U.S. federal and state securities laws, contractual claims or other claims.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mitigate the potential for any future material weaknesses, we continue to devote significant effort and resources to the improvement of our internal control over financial reporting. Any failure to maintain effective internal control over financial reporting could adversely impact our ability to report our financial condition and results of operations on a timely and accurate basis. If our financial statements are not accurate, investors may not have a complete understanding of our operations and could lose confidence in our reported financial information, which could negatively affect the trading price of our common stock. In addition, if our financial statements are not filed on a timely basis, we could be subject to sanctions or investigations by Nasdaq, the SEC or other regulatory authorities or to private litigation. As a result, any failure to maintain effective internal control over financial reporting could result in a material adverse effect on our business and the price of our Common Stock.</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systems of disclosure controls and procedures and internal control over financial reporting, our ability to produce timely and accurate financial statements or comply with applicable regulations could be adversely affected.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that the requirements of the Exchange Act, the Sarbanes-Oxley Act and the rules and regulations of Nasdaq will continue to increase our legal, accounting and financial compliance costs, make some activities more difficult, time-consuming and costly, and place significant strain on personnel, systems and resources.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have been integrating our finance and accounting systems following our acquisition of RE2 to a common enterprise system, and a delay or other issues with the integration could impact our ability or prevent us from timely reporting our operating results, timely filing required reports with the SEC and complying with Section 404 of the Sarbanes-Oxley Act. The development and implementation of the standards and controls necessary for us to achieve the level of accounting standards required of a public company have increased and may continue to increase our legal and compliance costs, and such costs may be greater than expected.</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current controls and any new controls that we develop may be inadequate because of changes in conditions of our business or otherwise.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we file with the SEC under Section 404 of the Sarbanes-Oxley Act. Ineffective disclosure controls and procedures and internal control over financial reporting could also cause investors to lose confidence in our reported financial and other information. See "</w:t>
      </w:r>
      <w:r>
        <w:rPr>
          <w:rFonts w:ascii="Arial" w:cs="Arial" w:eastAsia="Arial" w:hAnsi="Arial"/>
          <w:sz w:val="17"/>
          <w:szCs w:val="17"/>
          <w:i w:val="1"/>
          <w:iCs w:val="1"/>
          <w:color w:val="auto"/>
        </w:rPr>
        <w:t>If we are unable to develop and</w:t>
      </w:r>
      <w:r>
        <w:rPr>
          <w:rFonts w:ascii="Arial" w:cs="Arial" w:eastAsia="Arial" w:hAnsi="Arial"/>
          <w:sz w:val="17"/>
          <w:szCs w:val="17"/>
          <w:color w:val="auto"/>
        </w:rPr>
        <w:t xml:space="preserve"> </w:t>
      </w:r>
      <w:r>
        <w:rPr>
          <w:rFonts w:ascii="Arial" w:cs="Arial" w:eastAsia="Arial" w:hAnsi="Arial"/>
          <w:sz w:val="17"/>
          <w:szCs w:val="17"/>
          <w:i w:val="1"/>
          <w:iCs w:val="1"/>
          <w:color w:val="auto"/>
        </w:rPr>
        <w:t>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as well as result in litigation, regulatory action or other risks</w:t>
      </w:r>
      <w:r>
        <w:rPr>
          <w:rFonts w:ascii="Arial" w:cs="Arial" w:eastAsia="Arial" w:hAnsi="Arial"/>
          <w:sz w:val="17"/>
          <w:szCs w:val="17"/>
          <w:color w:val="auto"/>
        </w:rPr>
        <w:t>."</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jc w:val="both"/>
        <w:spacing w:after="0" w:line="263" w:lineRule="auto"/>
        <w:rPr>
          <w:sz w:val="20"/>
          <w:szCs w:val="20"/>
          <w:color w:val="auto"/>
        </w:rPr>
      </w:pPr>
      <w:r>
        <w:rPr>
          <w:rFonts w:ascii="Arial" w:cs="Arial" w:eastAsia="Arial" w:hAnsi="Arial"/>
          <w:sz w:val="18"/>
          <w:szCs w:val="18"/>
          <w:color w:val="auto"/>
        </w:rPr>
        <w:t>accurate financial statements on a timely basis, could increase operating costs and could materially and adversely affect our ability to operate our business. If our internal controls are perceived as inadequate or if we are perceived to be unable to produce timely or accurate financial statements, investors may lose confidence in our operating results and the trading price of our securities could decline.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or may be subject to risks associated with strategic alliances or acquisitions and may not be able to identify adequate strategic relationship opportunities, or form strategic relationships, in the future.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seek to enter into strategic alliances, joint ventures, minority equity investments, acquisitions, collaborations and in-license arrangements. There is no guarantee that any of these partnerships or acquisitions would lead to any binding agreements or lasting or successful business relationships with third parties or that any of the other anticipated benefits will be achieved. If any of these relationships are established, they may subject us to a number of risks, including risks associated with sharing proprietary information, non-performance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When appropriate opportunities arise, we have in the past, and may in the future acquire additional assets, products, technologies or businesses that are complementary to our existing business. From time to time,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and financial results.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For example, as discussed in this Report, we recently determined that all of our goodwill, which was the result of our acquisition of RE2, was impaired. Moreover, the costs of identifying and consummating acquisitions may be significant.</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 carryforwards and other tax attributes may be limited in connection with the Business Combination or other ownership changes.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incurred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Tax Cuts and Jobs Act of 2017 (the Tax Act), as modified by the Coronavirus Aid, Relief and Economic Security Act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Tax Act or the CARES Act. Suspensions or other restrictions on the use of net operating losses or tax credits,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possibly with retroactive effect, may result in our existing net operating losses or tax credits expiring or otherwise being unavailable to offset future income tax liabilities.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the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 may be limited as a result of ownership changes, including changes from the Business Combination or other transactions. Similar rules may apply under state tax laws. We have not yet determined the amount of the cumulative change in our ownership resulting from the Business Combination or other transactions, or any resulting limitations on our ability to utilize our net operating loss carryforwards and other tax attributes. If we earn taxable income, such limitations could result in increased future income tax liability to us 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expect to incur substantial research and development costs and devote significant resources to identifying and commercializing new products, which could significantly reduce our profitability and may never result in revenue.</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future growth depends on penetrating new markets, adapting existing products to new applications and customer requirements and introducing new products that achieve market acceptance. We plan to incur substantial, and potentially increasing, research and development costs as part of our efforts to design, develop, manufacture and commercialize new products and enhance existing products. Our research and development expenses were $34.1 million and $17.5 million during 2022 and 2021, respectively. We currently expect research and development expenses to decrease slightly during 2023 as we continue to develop and refine our existing products and develop new products and software, though these expenses may increase in the long term. Our research and development program may not produce successful results, and our new products may not achieve market acceptance, create additional revenue or become profitable.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subject to evolving laws, regulations, standards, policies and contractual obligations related to data privacy and security, and our actual or perceived failure to comply with such obligations could harm our reputation, subject us to significant fines and liability or otherwise adversely affect our business, prospects, financial condition and operating results.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new ways to opt-out of certain disclosures of personal information, and allow for a new cause of action for data breaches. Additionally, a new privacy law, the California Privacy Rights Act (“CPRA”), was approved by California voters in the November 3, 2020 election. The CPRA created obligations relating to consumer data beginning on January 1, 2022, with enforcement anticipated to commence on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went into effect January 1, 2023, Colorado has enacted the Colorado Privacy Act, which takes effect on July 1, 2023, Utah has enacted the Utah Consumer Privacy Act, which will go into effect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jc w:val="both"/>
        <w:spacing w:after="0" w:line="255" w:lineRule="auto"/>
        <w:rPr>
          <w:sz w:val="20"/>
          <w:szCs w:val="20"/>
          <w:color w:val="auto"/>
        </w:rPr>
      </w:pPr>
      <w:r>
        <w:rPr>
          <w:rFonts w:ascii="Arial" w:cs="Arial" w:eastAsia="Arial" w:hAnsi="Arial"/>
          <w:sz w:val="18"/>
          <w:szCs w:val="18"/>
          <w:color w:val="auto"/>
        </w:rPr>
        <w:t>on December 31, 2023, and Connecticut has enacted An Act Concerning Personal Data Privacy and Online Monitoring, which will go into effect on July 1, 2023. The U.S. federal government also is contemplating federal privacy legislation. These laws in Virginia, Colorado, Utah, and Connecticut share similarities with the CCPA, CPRA, and legislation proposed in other states.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which it maintains along with its Data Protection Act,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cybersecurity risks to our operational systems, security systems, infrastructure, integrated software in our products and data processed by us or third-party vendors.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Many of our employees work remotely which has increased security risks. In addition, the risk of state-supported and geopolitical-related cybersecurity attacks is believed to be heightened in connection with the war in Ukraine and any related political or economic responses and counter-responses.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systems; and (e) customer data that we process or our third-party vendors or suppliers process on our behalf. Because techniques used to obtain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jc w:val="both"/>
        <w:spacing w:after="0" w:line="272" w:lineRule="auto"/>
        <w:rPr>
          <w:sz w:val="20"/>
          <w:szCs w:val="20"/>
          <w:color w:val="auto"/>
        </w:rPr>
      </w:pPr>
      <w:r>
        <w:rPr>
          <w:rFonts w:ascii="Arial" w:cs="Arial" w:eastAsia="Arial" w:hAnsi="Arial"/>
          <w:sz w:val="17"/>
          <w:szCs w:val="17"/>
          <w:color w:val="auto"/>
        </w:rPr>
        <w:t>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systems. Certain efforts may be state-sponsored or supported by significant financial and technological resources, making them even more difficult to detect, remediate and otherwise respond to.</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intend to use our product services and functionality to log information about each system’s use in order to aid us in diagnostics and servicing. Our customers may object to the use of this data, which may require us to implement new or modified data handling policies and mechanisms, increase our system maintenance costs and costs associated with data processing and handling, and harm our business prospects.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or incidents, and third parties may be able to access data, including personal data and other sensitive and proprietary data of us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systems and solutions,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Any actual or perceived security breach or security incident, or any systems outages or other disruption to systems used in our business, could interrupt our operations, result in loss or improper access to, or acquisition, unavailability, modification, disclosure or other processing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b w:val="1"/>
          <w:bCs w:val="1"/>
          <w:i w:val="1"/>
          <w:iCs w:val="1"/>
          <w:color w:val="auto"/>
        </w:rPr>
        <w:t>A substantial portion of our current revenue is generated by sales to government entities, which are subject to a number of uncertainties, challenges and risks.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Sales to government entities are subject to a number of risks. Selling to government entities can be highly competitive, expensive and time-consuming, often requiring significant upfront time and expense without any assurance that these efforts will generate a sale. In the event that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Government entities may have statutory, contractual or other legal rights to terminate our contracts for convenience or default. For purchases by the U.S. federal government, the government may require certain products to be manufactured in the United States and other high cost manufacturing locations, and we or any third-party manufacturers may not manufacture all products in locations that meet government requirements, and as a result, our business and results of operations may suffer.</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U.S. governmental agencies, such as the Defense Contract Audit Agency and the Defense Contract Management Agency, routinely audit and investigate government contractors. In addition,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products to our government customers. These laws and regulations may impose other added costs on our 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subject to U.S. and foreign anti-corruption and anti-money laundering laws and regulations. We can face criminal liability and other serious consequences for violations of these laws, which can harm our business, prospects, financial condition and operating results.</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direct and indirect interactions with foreign officials, including in furtherance of sales to governmental entities in non-U.S. countries. We sometimes leverage third parties to conduct our business abroad, and our third-party business partners, intermediaries,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ultimately held responsible. Our exposure for violating these laws increases as our international presence expands and as we increase sales and operations in foreign jurisdictions.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allegations or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and laws that could subject us to liability if we are not in compliance with such laws.</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products and technology are subject to compliance with any applicable export control, import and economic sanctions laws and regulations, including the U.S. Export Administration Regulations, U.S. International Traffic in Arms Regulations, U.S. Customs regulations and various economic and trade sanctions regulations administered by the U.S. Treasury Department’s Office of Foreign Assets Control. Exports of our robotic systems and solutions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debarment from U.S. government contracting; fines, which may be imposed on us and responsible employees or managers; and, in extreme cases, the incarceration of responsible employees or managers.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international sales of certain of our products may be subject to first obtaining licenses, clearances or authorizations from various regulatory entities. If we are not allowed to export our products or the clearance process is burdensome and costly, our ability to generate revenue would be adversely affected.</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changes to our robotic systems and solutions, or changes in applicable export control, import or economic sanctions laws and regulations may create delays in the introduction and sale of our robotic systems and solutions, constrain collaboration with suppliers or other business partners or, in some cases, prevent the export or import of our robotic systems and solutions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robotic systems and solutions, as well as our decreased ability to export or market our robotic systems and solutions to potential customers. Any decreased use of our robotic systems and solutions or limitation on our ability to export or market our robotic systems and solutions would likely adversely affect our business, prospects, financial condition and operating results.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management team has broad discretion in making strategic decisions to execute our growth plans, and our management’s decisions may not be successful in achieving our business objectives or may have unintended consequences that negatively impact our growth prospects.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has broad discretion in making strategic decisions to execute our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our Common Stock to decline.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be subject to claims, lawsuits, arbitration proceedings, government investigations and other legal, regulatory and administrative proceedings. In addition, we may be subject to the heightened scrutiny that is sometimes directed toward companies taken public via a business combination with a special purpose acquisition company. The outcome of any such claims, investigations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 under certain circumstances we may have contractual or other legal obligations to indemnify and to incur legal expenses on behalf of investors, directors, officers employees, customers, vendors or other third-parties. For example, our Amended and Restated Bylaws (the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do to their service in those capacities. These indemnification agreements also require us to advance expenses reasonably and actually incurred by them in investigating or defending any such claims, and it may be difficult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18"/>
          <w:szCs w:val="18"/>
          <w:color w:val="auto"/>
        </w:rPr>
        <w:t>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could have a material adverse effect on our business, cash flows, results of operations or financial condition.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costs and regulation, including in relation to climate change, could adversely affect our future earnings as well as the affordability of our products and services.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federal, state, local and foreign requirements for the protection of the environment, including those for discharge of hazardous materials and remediation of contaminated sites. We may become subject to various lawsuits, proceedings and remediation obligations. These types of matters could result in fines, penalties, cost reimbursements or contributions, compensatory or treble damages or non-monetary sanctions or relief. These costs may increase significantly because of future acquisitions, the regulation of new substances, stricter remediation standards for existing regulated substances, changes in the interpretation or enforcement of existing laws and regulations or the discovery of previously unknown or more extensive contamination or new contaminants, which could adversely affect our business, results of operations or financial results.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future regulations in response to global climate change may affect us, our suppliers, and our customers. Such regulations could cause us to incur additional direct costs for compliance, as well as increased indirect costs resulting from our customers, suppliers or both incurring additional compliance costs that are passed on to us. Future climate change regulations could result in decreased demand for our products. If we fail to comply with present and future regulations, or are required to perform site remediation, we could be subject to future liabilities or cost, including penalties or the suspension of production. Present and future regulations may also:</w:t>
      </w:r>
    </w:p>
    <w:p>
      <w:pPr>
        <w:spacing w:after="0" w:line="80"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 our ability to expand facilities;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 our ability to ship certain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us to modify our operations logistics;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us to acquire costly equipment;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us to incur other significant costs and expenses.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incurring direct costs to implement any climate-change related laws, regulations or policies, we may see indirect costs rise, such as increased energy or material costs, as a result of policies affecting other sectors of the economy. Although most of these increased costs likely would be recoverable through pricing, to the extent that the increase in our costs as a result of these policies are greater than our competitors we may be less competitive on future bids or the total increased cost in our products and services could result in lower demand from our customers. We cannot accurately predict the materiality of any potential costs associated with such developments. In addition, climate change-related litigation and investigations have increased in recent years and any claims or investigations against us could be costly to defend and our business could be adversely affected by the outcome.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Adverse events or perceptions affecting the financial services industry could adversely affect our operating results, financial condition and prospects.</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on March 10, 2023, Silicon Valley Bank, or SVB was closed and placed in receivership. Subsequently, additional financial institutions have been placed into receivership. We did not hold cash deposits or other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jc w:val="both"/>
        <w:spacing w:after="0" w:line="286" w:lineRule="auto"/>
        <w:rPr>
          <w:sz w:val="20"/>
          <w:szCs w:val="20"/>
          <w:color w:val="auto"/>
        </w:rPr>
      </w:pPr>
      <w:r>
        <w:rPr>
          <w:rFonts w:ascii="Arial" w:cs="Arial" w:eastAsia="Arial" w:hAnsi="Arial"/>
          <w:sz w:val="17"/>
          <w:szCs w:val="17"/>
          <w:color w:val="auto"/>
        </w:rPr>
        <w:t>accounts with SVB and did not, and as of the date of this Report do not, otherwise have a direct business relationship with SVB or similarly situation financial institutions. The bulk of our financial assets, including our cash and investments in U.S. government securities, are held and managed within Bank of America and its affiliates (including Merrill Lynch). However, companies that did have a business relationship with SVB faced:</w:t>
      </w:r>
    </w:p>
    <w:p>
      <w:pPr>
        <w:spacing w:after="0" w:line="57"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access to existing revolving credit facilities or other working capital sources or the inability to refund, roll over or extend the maturity of, or enter into new credit facilities or other working capital resources;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or actual breach of obligations, including U.S. federal and state wage laws and contracts that required them to maintain letters of credit or other credit support arrangements;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termination of cash management arrangements or delays in accessing or actual loss of funds subject to cash management arrangements.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may be unable to access such sources of liquidity. There is no guarantee that the U.S. government will intervene to provide access to uninsured funds in the future in the event of failure of other financial institutions, or that they would do so in a timely fashion. In such an event, parties with which we have commercial agreements, including customers and suppliers, may be unable to satisfy their obligations to us or enter into new commercial arrangements with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could materially impact our operating results, liquidity, financial condition and prospects.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 and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success depends in part on our ability to obtain and maintain protection for the intellectual property relating to or incorporated into our products.</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depends in part on our ability to obtain and maintain protection for the intellectual property relating to or incorporated into our products.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trade secret law to protect our proprietary software and product candidates/products in development. For more information, see "</w:t>
      </w:r>
      <w:r>
        <w:rPr>
          <w:rFonts w:ascii="Arial" w:cs="Arial" w:eastAsia="Arial" w:hAnsi="Arial"/>
          <w:sz w:val="18"/>
          <w:szCs w:val="18"/>
          <w:i w:val="1"/>
          <w:iCs w:val="1"/>
          <w:color w:val="auto"/>
        </w:rPr>
        <w:t>Business - Intellectual Property</w:t>
      </w:r>
      <w:r>
        <w:rPr>
          <w:rFonts w:ascii="Arial" w:cs="Arial" w:eastAsia="Arial" w:hAnsi="Arial"/>
          <w:sz w:val="18"/>
          <w:szCs w:val="18"/>
          <w:color w:val="auto"/>
        </w:rPr>
        <w:t>" in this Report.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Patent positions covering robotic systems and solutions and human-augmented robotic systems and solutions (e.g., wearable humanoid or exoskeleton robotic systems) inventions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technology or products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pending patent applications or that any patents that are granted will be adequate to exclude others for any significant period of time or at all. Given the foregoing, and in order to continue reducing operational expenses in the future, we may invest fewer resources in filing and prosecuting new patents and on maintaining and enforcing various patents, especially in regions where we currently do not focus our market growth strategy.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both"/>
        <w:spacing w:after="0" w:line="269" w:lineRule="auto"/>
        <w:rPr>
          <w:sz w:val="20"/>
          <w:szCs w:val="20"/>
          <w:color w:val="auto"/>
        </w:rPr>
      </w:pPr>
      <w:r>
        <w:rPr>
          <w:rFonts w:ascii="Arial" w:cs="Arial" w:eastAsia="Arial" w:hAnsi="Arial"/>
          <w:sz w:val="17"/>
          <w:szCs w:val="17"/>
          <w:color w:val="auto"/>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we seek to protect our trade secrets, know-how, and confidential information that is not patentable or for which we decide not to seek a patent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 technology which they license to us for a set term. If these technologies are material to our business after the term of the license, our inability to use them could adversely affect our business and profitability.</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also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products that we consider proprietary or our proprietary information may otherwise become known or may be independently developed by our competitors or other third parties. If other parties are able to use our proprietary technology or information, our ability to compete in the market could be harmed. Further, unauthorized use of our intellectual property may have occurred, or may occur in the future, without our knowledge.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made efforts to register and enforce our trademark 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unable to obtain or maintain adequate protection for our intellectual property, or if any protection is reduced or eliminated, competitors may be able to use our technologies, resulting in harm to our competitive position and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in all countries.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Filing, prosecuting, maintaining and defending patents and trademarks on each of our products and intellectual property in all countries throughout the world would be prohibitively expensive and time consuming, and thus our intellectual property rights outside the United States are limited. In addition, the laws of some foreign countries,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countries, or from selling or importing products made using our inventions in the jurisdictions in which we do not have (or are unable to effectively enforce) patent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jc w:val="both"/>
        <w:spacing w:after="0" w:line="25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intellectual property infringement claims or misappropriation claims, which may be time consuming and expensive and, if adversely determined, could limit our ability to commercialize our products.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Companies operating in the robotics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Determining whether a product infringes a patent involves complex legal and factual issues and the outcome of patent litigation is often uncertain. No assurance can be given that patents containing claims covering our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products, technology or methods. Moreover, there may be pending, published or allowed applications that may disclose, but not claim, subject matter covering our products, technology or methods, where such pending or published applications may be amended, or one or more continuation or divisional applications may be filed, in an attempt to capture, to the extent possible, such products, technology or methods that are in the public domain, and which may result in issued patents that our current or future products infringe.</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products, unless we can obtain a license to use the technology covered by such patents or can redesign our products so that they do not infringe. A license may not be available on commercially reasonable terms or at all, and we may not be able to redesign our products to avoid infringement. In these circumstances, we may not be able to sell our products at competitive prices or at all, and our business, prospects, financial condition and operating results could be harmed.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jc w:val="both"/>
        <w:spacing w:after="0" w:line="263"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 of such rights. The U.S. government may also have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be subject to claims that we or our employees have inadvertently or otherwise used or disclosed trade secrets or other proprietary information of an employee’s former employers. Litigation may be necessary to defend against these claims. If we fail in defending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products, which could severely harm our business. Even if we are successful in defending against these claims, litigation could result in substantial costs and demand on management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 and 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Resales of the shares of Common Stock issued in connection with the Business Combination and our acquisition of RE2 could depress the market price of our Common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of a substantial number of shares of our Common Stock or Warrants could occur at any time. These sales, or the perception in the market that the holders of a large number of shares intend to sell shares, could reduce the market price of our Common Stock or Warrants.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Common Stock issued to the former securityholders of Old Sarcos (“Old Sarcos Security Holders”) represented approximately 71.4% of our Common Stock outstanding as of December 31, 2022, a portion of which remains subject to lock-up obligations under our Bylaws and under lock-up agreements entered into with us (the “Old Sarcos Lock-up Agreements”).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entry by us into the RE2 Lock-up Agreements (as described below), a special committee of our board of directors, consisting solely of independent directors who did not hold, and whose affiliates did not hold, shares of capital stock of Sarcos subject to the applicable terms of the Old Sarcos Lock-up Agreements, recommended to the board of directors that the release provisions in the Old Sarcos Lock-up Agreements be reconciled to the release provisions in the RE2 Lock-up Agreements. On April 25, 2022, the board of directors approved an amendment to the Bylaws and to the Old Sarcos Lock-up Agreements to conform the release provisions to the RE2 Lock-up Agreements.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line="277" w:lineRule="auto"/>
        <w:rPr>
          <w:sz w:val="20"/>
          <w:szCs w:val="20"/>
          <w:color w:val="auto"/>
        </w:rPr>
      </w:pPr>
      <w:r>
        <w:rPr>
          <w:rFonts w:ascii="Arial" w:cs="Arial" w:eastAsia="Arial" w:hAnsi="Arial"/>
          <w:sz w:val="18"/>
          <w:szCs w:val="18"/>
          <w:color w:val="auto"/>
        </w:rPr>
        <w:t>Following the amendment described above, Common Stock issued from the exchange or conversion of Old Sarcos common stock, options, RSAs or RSUs is currently subject to the following remaining lock-up periods under the Bylaws and the Old Sarcos Lock-up Agreements:</w:t>
      </w:r>
    </w:p>
    <w:p>
      <w:pPr>
        <w:spacing w:after="0" w:line="278"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twenty percent (20%) of the Common Stock became transferable at the close of business on March 23, 2022; and</w:t>
      </w:r>
    </w:p>
    <w:p>
      <w:pPr>
        <w:spacing w:after="0" w:line="117" w:lineRule="exact"/>
        <w:rPr>
          <w:rFonts w:ascii="Arial" w:cs="Arial" w:eastAsia="Arial" w:hAnsi="Arial"/>
          <w:sz w:val="18"/>
          <w:szCs w:val="18"/>
          <w:color w:val="auto"/>
        </w:rPr>
      </w:pPr>
    </w:p>
    <w:p>
      <w:pPr>
        <w:jc w:val="both"/>
        <w:ind w:left="1020" w:hanging="503"/>
        <w:spacing w:after="0" w:line="279"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remaining eighty percent (80%) of the Common Stock may only be transferred beginning upon the earlier to occur of (a) such time as we or any of our subsidiaries have delivered to one or more customers at least 20 Guardian XO and/or Guardian XT and/or Sapien (Sapien products were acquired in the RE2 acquisition and have generally been rebranded as Guardian products) commercial systems, but in no event prior to the close of business on September 24, 2022 and (b) the close of business on September 24, 2023.</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24, 2022, the lock-up periods under the Old Sarcos Lock-up Agreements and the Bylaws applicable to Common Stock issued from the exchange or conversion of shares of Old Sarcos preferred stock or warrants have fully expired.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Common Stock issued upon conversion of the shares of Rotor Class B Common Stock held by certain stockholders, including the Sponsor (the “Founder Shares”), represented approximately 4.2% of our Common Stock outstanding as of December 31, 2022. The applicable lock-up periods for the Common Stock held by the Rotor Restricted Stockholders have expired and such Common Stock is freely tradable.</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25, 2022, we issued 10.8 million shares of our Common Stock (the “Consideration Shares”), which represented approximately 7.0% of our Common Stock outstanding as of December 31, 2022, /and assumed certain outstanding options to acquire RE2 common stock which, following such assumption, represent rights to acquire 3.9 million shares of our Common Stock (the “Assumed Options” and together with the Consideration Shares, the “RE2 Lock-up Shares”) in connection with our acquisition of RE2. RE2 securityholders who were RE2 employees and became our employees on such date received in the aggregate 7.0 million Consideration Shares, in addition to the Assumed Options, and entered into lock-up agreements (the “RE2 Lock-up Agreements”), pursuant to which, among other things, they agreed to the following transfer restrictions:</w:t>
      </w:r>
    </w:p>
    <w:p>
      <w:pPr>
        <w:spacing w:after="0" w:line="286" w:lineRule="exact"/>
        <w:rPr>
          <w:sz w:val="20"/>
          <w:szCs w:val="20"/>
          <w:color w:val="auto"/>
        </w:rPr>
      </w:pPr>
    </w:p>
    <w:p>
      <w:pPr>
        <w:jc w:val="both"/>
        <w:ind w:left="1020" w:hanging="503"/>
        <w:spacing w:after="0" w:line="263"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respect to twenty percent (20%) of such holder’s RE2 Lock-up Shares, such shares became transferable on the trading day following May 23, 2022, the date on which the registration statement on Form S-1 for the resale of Consideration Shares was declared effective by the Securities and Exchange Commission; and</w:t>
      </w:r>
    </w:p>
    <w:p>
      <w:pPr>
        <w:spacing w:after="0" w:line="75"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respect to the remaining eighty percent (80%) of such holder’s RE2 Lock-up Shares, such shares may be transferred beginning upon the earlier to occur of (a) such time as we or any of our subsidiaries have delivered to one or more customers at least twenty (20) Guardian XO and/or Guardian XT and/or Sapien commercial units (but in no event prior to the close of business on September 24, 2022) and (b) the close of business on September 24, 2023.</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Shares originally issued to PIPE Investors (as defined in Note 1 to our condensed consolidated financial statements included in this Report) represented approximately 14.3% of our Common Stock outstanding as of December 31, 2022. These shares are not subject to any lock-up or transfer restrictions.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could decline due to the large number of shares of our Common Stock subject to employee equity awards.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granted and expect to continue to grant equity awards to our directors and employees as additional compensation in an effort to align their interests with those of our stockholders. Because awards granted to certain executive officers and directors may be scheduled to vest during specified points in time, such as expected open trading windows under our insider trading policy, there is a potential that sales of large amounts of our Common Stock may take place during concentrated periods, leading to a decline in the price of our Common Stock.</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“Sell-to-cover” transactions are often utilized in connection with the vesting and settlement of equity awards that are granted to our employees so that shares of our Common Stock are sold on behalf of our employees in an amount sufficient to cover the tax withholding obligations associated with these awards. As a result of these transactions, a significant number of shares of our Common Stock may be sold over a limited time period in connection with significant vesting events. We may also settle tax withholding obligations in connection with vesting of awards through “net settlement,” in which we remit cash to satisfy the tax withholding obligation and withhold a number of the vested shares on each vesting date. Depending on the fair value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8"/>
          <w:szCs w:val="18"/>
          <w:color w:val="auto"/>
        </w:rPr>
        <w:t>of our Common Stock and the number of awards vesting on any applicable vesting date, such net settlement could require us to expend substantial funds to satisfy tax withholding.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for our Common Stock and Warrants have been volatile and may not continue at all.</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Since the Business Combination and the commencement of the trading of our Common Stock and Warrants on the Nasdaq Global Market, the prices of our Common Stock and Warrants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25" w:lineRule="exact"/>
        <w:rPr>
          <w:sz w:val="20"/>
          <w:szCs w:val="20"/>
          <w:color w:val="auto"/>
        </w:rPr>
      </w:pPr>
    </w:p>
    <w:p>
      <w:pPr>
        <w:ind w:left="760" w:hanging="378"/>
        <w:spacing w:after="0"/>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financial results or the quarterly financial results of companies perceived to be similar to us;</w:t>
      </w:r>
    </w:p>
    <w:p>
      <w:pPr>
        <w:spacing w:after="0" w:line="248" w:lineRule="exact"/>
        <w:rPr>
          <w:rFonts w:ascii="Arial" w:cs="Arial" w:eastAsia="Arial" w:hAnsi="Arial"/>
          <w:sz w:val="16"/>
          <w:szCs w:val="16"/>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operating results failing to meet the expectation of securities analysts or investors in a particular period;</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our company or the market in general;</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market, sell, manufacture and deliver our products on a timely basis;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commencement of, or involvement in, litigation;</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jc w:val="both"/>
        <w:ind w:left="760" w:hanging="378"/>
        <w:spacing w:after="0" w:line="259"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volume of shares of the Common Stock and Public Warrants available for public sale, including as a result of the release of shares of our Common Stock from lock-up provisions (see "</w:t>
      </w:r>
      <w:r>
        <w:rPr>
          <w:rFonts w:ascii="Arial" w:cs="Arial" w:eastAsia="Arial" w:hAnsi="Arial"/>
          <w:sz w:val="18"/>
          <w:szCs w:val="18"/>
          <w:i w:val="1"/>
          <w:iCs w:val="1"/>
          <w:color w:val="auto"/>
        </w:rPr>
        <w:t>Resales of the shares of Common Stock issued in connection with the Business Combination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our acquisition of RE2 could depress the market price of our Common Stock.</w:t>
      </w:r>
      <w:r>
        <w:rPr>
          <w:rFonts w:ascii="Arial" w:cs="Arial" w:eastAsia="Arial" w:hAnsi="Arial"/>
          <w:sz w:val="18"/>
          <w:szCs w:val="18"/>
          <w:color w:val="auto"/>
        </w:rPr>
        <w:t>") or after exercise of any of our Warrants or the exercise or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of employee equity awards;</w:t>
      </w:r>
    </w:p>
    <w:p>
      <w:pPr>
        <w:spacing w:after="0" w:line="186"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sales of substantial amounts of Common Stock by our directors, officers or significant stockholders or the perception that such sales could occur;</w:t>
      </w:r>
    </w:p>
    <w:p>
      <w:pPr>
        <w:spacing w:after="0" w:line="248" w:lineRule="exact"/>
        <w:rPr>
          <w:rFonts w:ascii="Arial" w:cs="Arial" w:eastAsia="Arial" w:hAnsi="Arial"/>
          <w:sz w:val="16"/>
          <w:szCs w:val="16"/>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realization of any of the risk factors discussed herein;</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failure to comply with Nasdaq listing requirements (see </w:t>
      </w:r>
      <w:r>
        <w:rPr>
          <w:rFonts w:ascii="Arial" w:cs="Arial" w:eastAsia="Arial" w:hAnsi="Arial"/>
          <w:sz w:val="18"/>
          <w:szCs w:val="18"/>
          <w:i w:val="1"/>
          <w:iCs w:val="1"/>
          <w:color w:val="auto"/>
        </w:rPr>
        <w:t>“Our Common Stock may be delisted from The Nasdaq Global Market if we cannot</w:t>
      </w:r>
      <w:r>
        <w:rPr>
          <w:rFonts w:ascii="Arial" w:cs="Arial" w:eastAsia="Arial" w:hAnsi="Arial"/>
          <w:sz w:val="18"/>
          <w:szCs w:val="18"/>
          <w:color w:val="auto"/>
        </w:rPr>
        <w:t xml:space="preserve"> </w:t>
      </w:r>
      <w:r>
        <w:rPr>
          <w:rFonts w:ascii="Arial" w:cs="Arial" w:eastAsia="Arial" w:hAnsi="Arial"/>
          <w:sz w:val="18"/>
          <w:szCs w:val="18"/>
          <w:i w:val="1"/>
          <w:iCs w:val="1"/>
          <w:color w:val="auto"/>
        </w:rPr>
        <w:t>satisfy Nasdaq’s continued listing requirements.”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comply with the Sarbanes-Oxley Act of 2002 or other laws or regulations;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22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or any of the factors listed above. The securities markets in general have experienced price and volume fluctuations that have often been unrelated or disproportionate to the operating performance of the particular companies affected. The trading prices and valuations of these securities, including our securities, are not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an active trading market for our securities may not be sustained. If our Common Stock or Warrants become delisted from Nasdaq for any reason and are quoted on the OTC Bulletin Board or OTC Pink, an inter-dealer automated quotation system for equity securities that is not a national securities exchange, the liquidity of our Common Stock or Warrants may be more limited and the price of the securities may be lower than if we were quoted or listed on Nasdaq or another national securities exchange. If an active trading market for our securities is not sustained with sufficient trading volume, you may have limited or no ability to sell your securities.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may be delisted from The Nasdaq Global Market if we cannot satisfy Nasdaq’s continued listing requirements.</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listing on the Nasdaq Global Market is contingent upon meeting all the continued listing requirements of the Nasdaq Global Market. Nasdaq Listing Rule 5450(a)(1) requires listed securities to maintain a minimum bid price of $1.00 per share (the “Minimum Bid Price Requirement”), and Nasdaq Listing Rule 5810(c)(3)(A) provides that a failure to meet the Minimum Bid Price Requirement exists if the deficiency continues for a period of 30 consecutive business days. On January 23, 2023, we received written notice from the Listing Qualifications Department of Nasdaq notifying us that, based on the closing bid price of our Common Stock for the previous 30 consecutive business days, we no longer comply with the minimum bid price requirement for continued listing on The Nasdaq Global Market.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deficiency notice has no immediate effect on the listing of our Common Stock on The Nasdaq Global Market. Pursuant to Nasdaq Listing Rule 5810(c) (3)(A), we have been provided an initial compliance period of 180 calendar days to regain compliance with the Minimum Bid Price Requirement. To regain compliance, the closing bid price of our Common Stock must be at least $1.00 per share for a minimum of 10 consecutive business days by July 22, 2023, and we must otherwise satisfy The Nasdaq Global Market’s requirements for listing. If we do not regain compliance by July 22, 2023, we may be eligible for an additional 180 calendar day compliance period if we elect (and meet the listing standards) to transfer to The Nasdaq Capital Market to take advantage of the additional compliance period offered on that market, unless it does not appear to Nasdaq that it is possible for us to cure the deficiency. To qualify, we would be required, among other things, to meet the continued listing requirement for market value of publicly held shares as well as all other standards for initial listing on The Nasdaq Capital Market, with the exception of the Minimum Bid Price Requirement, and would need to provide written notice to Nasdaq of our intention to cure the bid price deficiency during the second compliance period. If it does not appear to Nasdaq that it is possible for us to cure the deficiency, or if we do not regain compliance within the allotted compliance period(s), including any extensions that may be granted by Nasdaq, Nasdaq will provide notice that our Common Stock will be subject to delisting. We would then be entitled to appeal Nasdaq’s determination, but there can be no assurance that such appeal would be successful.</w:t>
      </w:r>
    </w:p>
    <w:p>
      <w:pPr>
        <w:spacing w:after="0" w:line="3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intend to monitor the closing bid price of our Common Stock and consider available options to resolve the noncompliance with the Minimum Bid Price Requirement, which could include seeking to effect a reverse stock split. While we plan to review all available options, we may not be able to regain compliance with the Minimum Bid Price Requirement or otherwise be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jc w:val="both"/>
        <w:spacing w:after="0" w:line="254" w:lineRule="auto"/>
        <w:rPr>
          <w:sz w:val="20"/>
          <w:szCs w:val="20"/>
          <w:color w:val="auto"/>
        </w:rPr>
      </w:pPr>
      <w:r>
        <w:rPr>
          <w:rFonts w:ascii="Arial" w:cs="Arial" w:eastAsia="Arial" w:hAnsi="Arial"/>
          <w:sz w:val="18"/>
          <w:szCs w:val="18"/>
          <w:color w:val="auto"/>
        </w:rPr>
        <w:t>compliance with other Nasdaq listing criteria. A delisting of our Common Stock from Nasdaq could materially reduce the liquidity of our Common Stock, impairing your ability to sell or purchase shares of our Common Stock when you wish to do so, and could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and employees. In the event of a delisting, any action taken by us to restore compliance with listing requirements may not be sufficient to allow the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reports about us, our business or our market, or if they change their recommendations regarding our Common Stock, then the price and trading volume of our Common Stock could decline</w:t>
      </w:r>
      <w:r>
        <w:rPr>
          <w:rFonts w:ascii="Arial" w:cs="Arial" w:eastAsia="Arial" w:hAnsi="Arial"/>
          <w:sz w:val="18"/>
          <w:szCs w:val="18"/>
          <w:i w:val="1"/>
          <w:iCs w:val="1"/>
          <w:color w:val="auto"/>
        </w:rPr>
        <w:t>.</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trading markets for our Common Stock and Warrants will be influenced by the research and reports that industry or securities analysts may publish about us, our business, our market or our competitors. If any of the analysts who cover us now or in the future change their recommendation regarding our stock adversely, or provide more favorable relative recommendations about our competitors, the price of our Common Stock and Public Warrants would likely decline. If any analyst covering our company now or in the future were to cease coverage of us or fail to regularly publish reports on us, we could lose visibility in the financial markets, which could cause the prices and trading volumes of the Common Stock and Public Warrants to decline.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no guarantee that the Public Warrants or Private Placement Warrants will ever be in the money, and they may expire worthless.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exercise price of our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Warrants is $11.50 per share of Common Stock. There is no guarantee that the Warrants will ever be in the money prior to their expiration, and as such, the Warrants may expire worthless.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redeem unexpired Warrants prior to their exercise at a time that is disadvantageous to Warrant holders, thereby making their Warrants worthless</w:t>
      </w:r>
      <w:r>
        <w:rPr>
          <w:rFonts w:ascii="Arial" w:cs="Arial" w:eastAsia="Arial" w:hAnsi="Arial"/>
          <w:sz w:val="18"/>
          <w:szCs w:val="18"/>
          <w:i w:val="1"/>
          <w:iCs w:val="1"/>
          <w:color w:val="auto"/>
        </w:rPr>
        <w: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subject to certain exceptions, provided that the last reported sales price of our Common Stock equals or exceeds $10.00 per share (as adjusted for stock splits, stock dividends, reorganizations, recapitalization and the like) for any 20 trading days within a 30 trading-day period ending on the third trading day prior to the date on which we give proper notice of such redemption to the Warrant holders and provided certain other conditions are met. For additional information on the circumstances in which the Public Warrants may be redeemed, see "</w:t>
      </w:r>
      <w:r>
        <w:rPr>
          <w:rFonts w:ascii="Arial" w:cs="Arial" w:eastAsia="Arial" w:hAnsi="Arial"/>
          <w:sz w:val="16"/>
          <w:szCs w:val="16"/>
          <w:i w:val="1"/>
          <w:iCs w:val="1"/>
          <w:color w:val="auto"/>
        </w:rPr>
        <w:t>Description of Securities—Warrants—Public Stockholders’ Warrants</w:t>
      </w:r>
      <w:r>
        <w:rPr>
          <w:rFonts w:ascii="Arial" w:cs="Arial" w:eastAsia="Arial" w:hAnsi="Arial"/>
          <w:sz w:val="16"/>
          <w:szCs w:val="16"/>
          <w:color w:val="auto"/>
        </w:rPr>
        <w:t>" in our prospectus filed with the SEC on April 6, 2022. If and when the Warrants become redeemable by us, we may exercise our redemption right even if we are unable to register or qualify the underlying securities for sale under all applicable state securities laws. Redemption of the outstanding Warrants could force the Warrant holders (i) to exercise their Warrants and pay the exercise price therefor at a time when it may be disadvantageous for them to do so, (ii)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their Warrants. None of the Private Placement Warrants will be redeemable by us so long as they are held by the initial purchasers or their permitted transferees, subject to certain exceptions.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Warrants are exercisable for Common Stock, and their exercise would increase the number of shares eligible for future resale in the public market and result in dilution to our stockholders</w:t>
      </w:r>
      <w:r>
        <w:rPr>
          <w:rFonts w:ascii="Arial" w:cs="Arial" w:eastAsia="Arial" w:hAnsi="Arial"/>
          <w:sz w:val="18"/>
          <w:szCs w:val="18"/>
          <w:i w:val="1"/>
          <w:iCs w:val="1"/>
          <w:color w:val="auto"/>
        </w:rPr>
        <w:t>.</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2022, we had outstanding Public Warrants to purchase approximately 13,831,262 shares of Common Stock at $11.50 per share and Private Placement Warrants to purchase 6,718,191 shares at $11.50 per share. The shares of Common Stock issued upon exercise of our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Public Warrants.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jc w:val="both"/>
        <w:spacing w:after="0" w:line="263" w:lineRule="auto"/>
        <w:rPr>
          <w:sz w:val="20"/>
          <w:szCs w:val="20"/>
          <w:color w:val="auto"/>
        </w:rPr>
      </w:pPr>
      <w:r>
        <w:rPr>
          <w:rFonts w:ascii="Arial" w:cs="Arial" w:eastAsia="Arial" w:hAnsi="Arial"/>
          <w:sz w:val="18"/>
          <w:szCs w:val="18"/>
          <w:color w:val="auto"/>
        </w:rPr>
        <w:t>The Private Placement Warrants are identical to the Public Warrants except that, so long as they are held by the initial purchasers or their permitted transferees, (i) they will not be redeemable by us subject to certain exceptions, (ii) they may be exercised by the holders on a cashless basis and (iii) they are subject to registration rights.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Charter and Bylaws, as well as provisions of Delaware law, could impair a takeover attempt, which could limit the price investors might be willing to pay in the future for our Common Stock</w:t>
      </w:r>
      <w:r>
        <w:rPr>
          <w:rFonts w:ascii="Arial" w:cs="Arial" w:eastAsia="Arial" w:hAnsi="Arial"/>
          <w:sz w:val="18"/>
          <w:szCs w:val="18"/>
          <w:i w:val="1"/>
          <w:iCs w:val="1"/>
          <w:color w:val="auto"/>
        </w:rPr>
        <w: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Second Amended and Restated Certificate of Incorporation (the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171" w:lineRule="exact"/>
        <w:rPr>
          <w:sz w:val="20"/>
          <w:szCs w:val="20"/>
          <w:color w:val="auto"/>
        </w:rPr>
      </w:pPr>
    </w:p>
    <w:p>
      <w:pPr>
        <w:ind w:left="760" w:hanging="378"/>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0"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only the board of directors (pursuant to a majority vote of the whole board), the chairperson of the board of directors, or the Chief Executive Officer may call a special meeting;</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stockholder vote of at least 66-2/3% required to remove a director for “cause”;</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stockholder vote of at least 66-2/3% required to approve certain amendments to the Charter and Bylaws; and</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designation of Delaware and federal courts as the exclusive forums for certain disputes.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r>
        <w:rPr>
          <w:rFonts w:ascii="Arial" w:cs="Arial" w:eastAsia="Arial" w:hAnsi="Arial"/>
          <w:sz w:val="18"/>
          <w:szCs w:val="18"/>
          <w:i w:val="1"/>
          <w:iCs w:val="1"/>
          <w:color w:val="auto"/>
        </w:rPr>
        <w:t>.</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January 20, 2026, the fifth anniversary of Rotor’s initial public offering, (b) in which we have total annual gross revenue of at least $1.235 billion or (c) in which we are deemed to be a large accelerated filer, which means the market value of our Common Stock and Public Warrants that is held by non-affiliates exceeds $700 million as of the last business day of our prior second fiscal quarter, and (ii) the date on which we have issued more than $1.0 billion in non-convertible debt during the prior three-year period.</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Investors may find our Common Stock or Public Warrants less attractive because we rely on these exemptions and may continue to rely on them to the extent they remain available to us. If some investors find our Common Stock or Public Warrants less attractive as a result of these exemptions and reduced disclosure as an emerging growth company, there may be a less active trading market for and/or more price volatility with respect to our Common Stock or Public Warrants.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corporate and manufacturing facility is located in Salt Lake City, Utah consisting of approximately 61,000 square feet of leased space. The lease expires in May 2033 and has two options to extend the lease for three-year periods. In addition to our location in Salt Lake City, Utah, we have facilities in Pittsburgh, Pennsylvania consisting of approximately 52,000 square feet of leased space. Should we need additional space, we believe we will be able to obtain additional space on commercially reasonable terms.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and Warrants are traded on The Nasdaq Stock Market under the symbols “STRC” and “STRCW,”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1, 2023, there were 275 stockholders of record of our Common Stock and 31 holders of record of our warrants.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related notes thereto included elsewhere in this Annual Report.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 Item 1A Risk Factors and elsewhere in this Annual Report. See also Part I Special Note Regarding Forward-Looking Statements in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technology leader in the design, development and manufacture of advanced robotic systems and solutions that redefine human possibilities. Our mission is to increase worker productivity and longevity and prevent injuries through robotics. Our robotic systems are designed to augment and increase human productivity, rather than replace humans, by combining human intelligence, instinct and judgment with the strength, endurance and precision of machines.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core systems consist of the Guardian XM, Guardian XT and Guardian Sea Class teleoperated/semi-autonomous systems and the Guardian XO exoskeleton. We adapt these core systems for specific use-cases based on the capabilities and characteristics of each system to create solutions. We may also combine aspects of multiple systems or create a specific system for a particular solution.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feedback from our development customers and potential commercial customers, we have decided to offer our systems and solutions primarily through a sales business model where the customer purchases a system or solution for a one-time, upfront amount. We also plan to offer software upgrades and additional capabilities and to offer for sale add-on hardware components (such as additional interchangeable end-effectors).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24, 2021 (the “Closing Date”), we consummated a business combination (the “Business Combination”) pursuant to the terms of the Agreement and Plan of Merger, dated as of April 5, 2021, by and among Rotor Acquisition Corp.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the Company. On the Closing Date, Rotor changed its name to Sarcos Technology and Robotics Corporation.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Business Combination was accounted for as a reverse capitalization, with no goodwill or other intangible assets recorded, in accordance with U.S. GAAP. Under this method of accounting, Rotor is treated as the “acquired” company for financial reporting purposes. Accordingly, for accounting purposes, the financial statements of the combined entity represent a continuation of the financial statements of Old Sarcos with the Business Combination being treated as the equivalent of Old Sarcos issuing stock for the net assets of Rotor, accompanied by a recapitalization. The net assets of Old Sarcos and Rotor are stated at historical cost, with no goodwill or other intangible assets recorded. Financial statement information, including results of operations prior to the Business Combination are those of Old Sarcos.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COVID-19</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30, 2020, the World Health Organization declared the COVID-19 outbreak a “Public Health Emergency of International Concern” and on March 11, 2020, declared it to be a pandemic. Actions taken around the world to help mitigate the spread of COVID-19 include restrictions on travel, quarantines in certain areas and forced closures for certain types of public places and businesses. COVID-19 and actions taken to mitigate its spread have had and may continue to have an adverse impact on the economies and financial markets of many countries, including the geographies in which Sarcos operates.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took several actions in response to the COVID-19 pandemic that resulted in significant disruptions to how we operate our business. Our customers and partners adopted similar policies. These actions and policies of ours and our customers and partners are evolving as laws, regulations and recommendations evolve. Although many of these measures are no longer in effect, we have experienced, and may continue to experience, an adverse impact on certain parts of our business as a result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measures to mitigate the COVID-19 pandemic and their resulting economic effects. Further, discontinued measures could be reinstituted, for example as a result of government requirements or in response to new variants of COVID-19.</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experienced and may continue to experience disruptions in our supply chain, due in part to the global impact of the COVID-19 pandemic. Depending upon the duration of the ongoing COVID-19 pandemic and the associated business interruptions, our customers, suppliers, manufacturers and partners may suspend or delay their engagements with us, which could result in a material adverse effect on our financial condition and ability to meet current timelines. In an effort to manage potential supply chain risks, in particular increasing and unpredictable lead-times, we have accelerated and expect to continue to accelerate purchases of various materials, parts and components for the foreseeable future to support product development and current and future production of our commercial units, which has and will likely continue to increase our use of cash. In addition, the COVID-19 pandemic has affected and may continue to affect our ability to recruit skilled employees to join our team. The conditions caused by the pandemic have adversely affected and may continue to adversely affect, among other things, demand for our products and the ability to test and assess our robotic systems with potential customers any of which adversely affects our business, results of operations and financial condition. The duration and extent of the COVID-19 pandemic and its impacts cannot be accurately predicted at this time, and the ultimate direct and indirect impacts on our business, results of operations and financial condition will depend on future developments that are highly uncertain.</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global impact of COVID-19 continues to rapidly evolve, and we will continue to monitor the situation and the effects on our business and operations closely. We do not yet know the full extent of potential impacts on our business or operations. In particular, the effect of the COVID-19 pandemic may not be fully reflected in our operating results until future periods. Given this uncertainty, we cannot reasonably estimate the impact of the COVID-19 pandemic on our future results of operations, cash flows,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performance and future success depend on several factors that present significant opportunities for us but also pose risks and challenges, including those discussed below and in Part I Item 1A Risk Factors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Testing and Commercial Launch of our Core Products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expect that revenue from the commercial launch of three of our core products, the Guardian XT, Guardian XM and Guardian Sea Class, will determine our near-term financial success. We began initial production of commercial units of the Guardian XM during September 2022 and initial production of commercial units of the Guardian XT during December 2022. We expect that we will have units of both of these systems available for delivery to customers in the first half of 2023. In large part due to significant supply chain disruptions that have limited our supply of parts common to both the Guardian XO and Guardian XT and certain parts pertaining to the Guardian XO, we have prioritized the commercialization of the Guardian XT and Guardian XM and delayed the commercial launch of the Guardian XO. We chose to prioritize the Guardian XT and Guardian XM as we were closer to completing development of commercial units for those products and initial demand for those products appears strong, and our ongoing re-design of the Guardian XO in order to decrease its weight and integrate customer feedback will require additional time to complete. Timelines may be delayed, including due to challenges in recruiting skilled employees, difficulties in securing components and materials, development delays, difficulties relating to manufacturing of the units and other factors discussed under Part I Item 1A Risk Factors “</w:t>
      </w:r>
      <w:r>
        <w:rPr>
          <w:rFonts w:ascii="Arial" w:cs="Arial" w:eastAsia="Arial" w:hAnsi="Arial"/>
          <w:sz w:val="18"/>
          <w:szCs w:val="18"/>
          <w:i w:val="1"/>
          <w:iCs w:val="1"/>
          <w:color w:val="auto"/>
        </w:rPr>
        <w:t>Risks Related to Our Business and Industry.</w:t>
      </w:r>
      <w:r>
        <w:rPr>
          <w:rFonts w:ascii="Arial" w:cs="Arial" w:eastAsia="Arial" w:hAnsi="Arial"/>
          <w:sz w:val="18"/>
          <w:szCs w:val="18"/>
          <w:color w:val="auto"/>
        </w:rPr>
        <w:t>” Such challenges may result in further delay of the anticipated commercial launch of one or more of our products, which would adversely affect our financial condition and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of Operations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 to commercialization, we must complete the development, testing and manufacturing requirements of our products. As a result, we will spend a material portion of our cash on hand to develop our products and fund operations for the foreseeable future. The amount and timing of our future funding requirements will depend on many factors, including the pace and results of our product development efforts, our ability to manufacture, sell and deliver commercial products and thereby recognize associated revenue, capital requirements to build commercial products prior to receiving payments sufficient to cover our costs and our ability to lower product costs as volumes increase. We currently expect to obtain outside financing to help cover production costs for product orders. In addition, although we believe we have sufficient capital to fund our business for at least the next 12 months, we expect to seek additional financing during that time to bolster our cash reserves and ensure our ability to continue to pursue our business objectives. Any delays in the successful completion of the commercialization of our Guardian XT, Guardian XM, Guardian Sea Class and Guardian XO products will negatively impact our ability to generate revenue, our profitability and our overall operating performance.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Acquisition and Integration of RE2</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25, 2022, we acquired RE2, Inc., a Pittsburgh, PA based developer of manipulator arms with human-like performance, intuitive robot interfaces and advanced autonomy capabilities for use in any environment. At closing, we paid approximately $30 million in cash, net of cash acquired, issued approximately 10.8 million shares of Common Stock and assumed certain outstanding options to acquire RE2 common stock which, following such assumption, represent rights to acquire 3.9 million shares of Common Stock. The results presented and discussed below include the activity for RE2 from the acquisition date through December 31, 2022. Our results do not include RE2’s financial information prior to the acquisition.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Demand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our Guardian XT and Guardian XM units are not yet commercially available and we have only recently begun production of commercial units in limited quantities, we have received interest from potential customers that have tested or witnessed demonstrations of our pre-commercial units. However, because our robotic systems represent a new product category in markets that currently rely generally on conventional, manual systems, the market demand for our products is unproven, and important assumptions about the characteristics of targeted markets, pricing and sales cycles may be inaccurate. If customer demand does not develop as expected or we do not accurately forecast pricing, adoption rates and sales cycles for our products, our business, results of operations and financial condition will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of Our Products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the extent we obtain commercial orders for our products, we will need to manufacture and deliver them to our customers. We have recently entered into an agreement with a third-party contract manufacturer and expect to generally outsource manufacturing of our products over time. However, engaging with a manufacturing partner will likely require significant time, ramp-up, testing and coordination before high-volume production capability by the partner is achieved. We currently do not anticipate high-volume production by a contract manufacturing partner to be in place until at least the end of 2023. We expect that this contract manufacturing partner will initially focus on helping us produce sub-systems for the Guardian XT. We expect that in 2023 we will have the internal capability to manufacture a total of between 300 – 500 systems, depending on the mix. However, we do not believe that we will use all of that capacity in 2023. For additional information around the risks associated with contract manufacturing see Part I Item 1A Risk Factors “</w:t>
      </w:r>
      <w:r>
        <w:rPr>
          <w:rFonts w:ascii="Arial" w:cs="Arial" w:eastAsia="Arial" w:hAnsi="Arial"/>
          <w:sz w:val="16"/>
          <w:szCs w:val="16"/>
          <w:i w:val="1"/>
          <w:iCs w:val="1"/>
          <w:color w:val="auto"/>
        </w:rPr>
        <w:t>Our expected</w:t>
      </w:r>
      <w:r>
        <w:rPr>
          <w:rFonts w:ascii="Arial" w:cs="Arial" w:eastAsia="Arial" w:hAnsi="Arial"/>
          <w:sz w:val="16"/>
          <w:szCs w:val="16"/>
          <w:color w:val="auto"/>
        </w:rPr>
        <w:t xml:space="preserve"> </w:t>
      </w:r>
      <w:r>
        <w:rPr>
          <w:rFonts w:ascii="Arial" w:cs="Arial" w:eastAsia="Arial" w:hAnsi="Arial"/>
          <w:sz w:val="16"/>
          <w:szCs w:val="16"/>
          <w:i w:val="1"/>
          <w:iCs w:val="1"/>
          <w:color w:val="auto"/>
        </w:rPr>
        <w:t>transition to an outsourced manufacturing business model may not be successful, which could harm our ability to deliver products and recognize revenue.</w:t>
      </w:r>
      <w:r>
        <w:rPr>
          <w:rFonts w:ascii="Arial" w:cs="Arial" w:eastAsia="Arial" w:hAnsi="Arial"/>
          <w:sz w:val="16"/>
          <w:szCs w:val="16"/>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Investment and Innovation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pioneer in the robotic systems industry and benefit from lessons learned over 30 years and significant investment in research and development in our proprietary technologies and our extensive patent portfolio. However, our financial performance is significantly dependent on our ability to maintain this leading position and further dependent on the investments we make in research and development. It is important that we continually identify and respond to rapidly evolving customer requirements, develop and introduce innovative new products, enhance and service existing products and generate active market demand for our robotic systems. If we fail to do this, our market position and revenue may be adversely affected, and our investments into these technologies will not be recovered.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Geopolitical and Macro-economic Environment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Geopolitical and macro-economic factors, such as inflation, rising interest rates, oil prices, unemployment rates, the war in Ukraine, volatility in the stock market and political or social unrest, can have significant impacts on economic activity, which in turn could affect demand for our products or our ability to cost-effectively develop, sell and manufacture our products. Among other things, these and similar factors can affect our supply chain, our ability to hire qualified personnel, our labor and materials costs, the prices we charge for our products and the budgets of our customers and their expected return-on-investment from the purchase of or subscription for our products. Many of these factors are outside of our control but can have a significant impact on our business success and operating results. If we are unable to manage our business successfully in response to any such factors, our business and results of operations would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Currently, we conduct business through one operating segment. All long-lived assets are maintained in, and all losses are attributable to, the United States of America. See </w:t>
      </w:r>
      <w:r>
        <w:rPr>
          <w:rFonts w:ascii="Arial" w:cs="Arial" w:eastAsia="Arial" w:hAnsi="Arial"/>
          <w:sz w:val="16"/>
          <w:szCs w:val="16"/>
          <w:i w:val="1"/>
          <w:iCs w:val="1"/>
          <w:color w:val="auto"/>
        </w:rPr>
        <w:t>Note 14, Segment Information,</w:t>
      </w:r>
      <w:r>
        <w:rPr>
          <w:rFonts w:ascii="Arial" w:cs="Arial" w:eastAsia="Arial" w:hAnsi="Arial"/>
          <w:sz w:val="16"/>
          <w:szCs w:val="16"/>
          <w:color w:val="auto"/>
        </w:rPr>
        <w:t xml:space="preserve"> in the accompanying consolidated financial statements for more information about our operating segment.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net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our revenue from two sources. First, we enter into research and development agreements primarily relating to the commercialization of our products. Second, we sell our products and related parts and repair services. Product development contract revenue consists of revenue arising from different types of contractual arrangements, including cost-type contracts and fixed-price contracts. Product revenue primarily consists of sales of the Company’s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Contract Revenue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Cost-type contracts </w:t>
      </w:r>
      <w:r>
        <w:rPr>
          <w:rFonts w:ascii="Arial" w:cs="Arial" w:eastAsia="Arial" w:hAnsi="Arial"/>
          <w:sz w:val="17"/>
          <w:szCs w:val="17"/>
          <w:color w:val="auto"/>
        </w:rPr>
        <w:t>– Research, development and/or testing service contracts, including cost-plus-fixed-fee and time and material contracts, relate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to the development of our robotics systems and related technology. Cost-type contracts are generally entered into with the U.S. government. These contracts are billed at cost plus a margin as defined by the contract and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 Fixed-price development contracts relate primarily to the development of technology in the area of robotic systems. Fixed-price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contracts generally require a significant service of integrating a complex set of tasks and components into a single deliverable. Revenue on fixed-price contracts is generally recognized over time as goods and services are provided. To the extent our actual costs vary from the fixed fee, we will generate more or less profit or could incur a loss. In accordance with Accounting Standards Codification 606, for fixed price contracts, we will recognize losses at the contract level in earnings in the period in which they are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Product revenue relates to sales of our products, and certain miscellaneous parts, accessories and repair services. We provide a limited one-year warranty on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cost of revenue consists of direct and overhead expenses related to either the sale of our products or our product development contract revenue. Direct expenses include direct labor used in the production of a product or in our product development contracts, benefits expense associated with direct labor and materials directly tied to our product sale or product development contracts. Overhead expenses include allocable supervisory labor, benefits expense associated with supervisory labor, allocation of facilities expense including rent and utilities and allocation of IT labor support and equipment. Overhead expenses not allocated to cost of revenue are expensed across research and development, general and administrative and sales and marketing expenses, as applicable.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are mainly comprised of costs from the continuing development and refinement of our existing robotic systems and the continuing research and development costs associated with our future products. These expenses include labor and related benefit expenses, materials and supplies used in our laboratories, patent expenses and related overhead expenses. Our research and development expenses may fluctuate as a percentage of our revenue from period to period due to the timing and extent of these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general and administrative expenses consist primarily of employee-related costs for our finance, legal, people success and other administrative teams, as well as certain executives. In addition, general and administrative expenses include insurance,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7" w:name="page68"/>
    <w:bookmarkEnd w:id="67"/>
    <w:p>
      <w:pPr>
        <w:jc w:val="both"/>
        <w:ind w:right="20"/>
        <w:spacing w:after="0" w:line="277" w:lineRule="auto"/>
        <w:rPr>
          <w:sz w:val="20"/>
          <w:szCs w:val="20"/>
          <w:color w:val="auto"/>
        </w:rPr>
      </w:pPr>
      <w:r>
        <w:rPr>
          <w:rFonts w:ascii="Arial" w:cs="Arial" w:eastAsia="Arial" w:hAnsi="Arial"/>
          <w:sz w:val="18"/>
          <w:szCs w:val="18"/>
          <w:color w:val="auto"/>
        </w:rPr>
        <w:t>public company compliance related costs, including outside legal and accounting expenses, other professional fees, facilities and IT expense not allocated to other operating expense categories, and related overhead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sales and marketing expenses arise from our activities relating to our efforts to market and sell our products and services. The expenses consist primarily of labor, benefits and employee-related costs, marketing programs and events, customer service, lead generation fees, product marketing expense, public relations fees and travel associated with sales generation and marketing support and related overhead expense.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plan to continue to invest in sales and marketing to grow our customer base and increase our brand awareness. The trend and timing of sales and marketing expenses will depend in part on the timing of the commercial launch of our products and their reception by the market. As our product sales grow, we expect that sales and marketing expenses will increase in absolute dollars in future periods; however, we expect our sales and marketing expenses to decrease as a percentage of our revenue over the long term, although our sales and marketing expenses may fluctuate as a percentage of our revenue from period to period due to the timing and extent of these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Amortization Expense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of intangible assets primarily consists of amortization of identified finite-lived trade name and trademarks, developed technology, and customer relationship assets that were allocated a portion of the purchase price from the acquisition of RE2. These costs are amortized on a straight-line basis over 5 to 9 year useful lives and, as a result, amortization expense on these assets is expected to increase slightly next year and then remain stable over the coming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consideration transferred over the fair value of tangible and identifiable intangible net assets acquired and the liabilities assumed in a business combination. All of our goodwill was recognized from the acquisition of RE2. Goodwill is tested for impairment at the reporting unit level annually or more frequently if events or changes in circumstances indicate that it is more likely than not that the fair value of the reporting unit is less than its carrying amount.</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currently operate as a single reporting unit. When testing goodwill for impairment, we have the option of first performing a qualitative assessment to determine whether it is more likely than not that the fair value of the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During the fourth quarter of 2022, due to the sustained decreases in our publicly quoted share price and market capitalization, we performed a quantitative goodwill impairment test. Based on the results of the quantitative goodwill impairment assessment we concluded that the carrying value of the single reporting unit exceeded its fair value and that our goodwill was fully impaired as of December 31, 2022. We recorded a $70.2 million non-cash goodwill impairment charge during the twelve months ended December 31,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consists primarily of interest received or earned on our cash and marketable securities balances. Portions of our cash resided in money market investments and in U.S. Treasury securities at various points during the year. Interest expense is primarily due to interest paid on leased equipment used for our software platforms.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Warrant Liability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Gain (loss) on warrant liability consists of the change in fair value of the private placement warrants we assumed as part of the Business Combination.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Forgiveness of Notes Payable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jc w:val="both"/>
        <w:ind w:right="100"/>
        <w:spacing w:after="0" w:line="277" w:lineRule="auto"/>
        <w:rPr>
          <w:sz w:val="20"/>
          <w:szCs w:val="20"/>
          <w:color w:val="auto"/>
        </w:rPr>
      </w:pPr>
      <w:r>
        <w:rPr>
          <w:rFonts w:ascii="Arial" w:cs="Arial" w:eastAsia="Arial" w:hAnsi="Arial"/>
          <w:sz w:val="18"/>
          <w:szCs w:val="18"/>
          <w:color w:val="auto"/>
        </w:rPr>
        <w:t>Gain on forgiveness of notes payable consists of gains recognized as a result of the forgiveness of our loans received under the Paycheck Protection Program (“PPP”).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Other income, net consists primarily of other miscellaneous non-operating items such as proceeds from the CARES Act employee retention credit.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r>
        <w:rPr>
          <w:rFonts w:ascii="Arial" w:cs="Arial" w:eastAsia="Arial" w:hAnsi="Arial"/>
          <w:sz w:val="16"/>
          <w:szCs w:val="16"/>
          <w:color w:val="auto"/>
        </w:rPr>
        <w:t>)</w:t>
      </w:r>
    </w:p>
    <w:p>
      <w:pPr>
        <w:spacing w:after="0" w:line="2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Income taxes consist of taxes currently due plus deferred income taxes related primarily to differences between the tax bases and financial reporting bases of assets and liabilities. The deferred income taxes represent the future tax return consequences of those differences, which will either be taxable or deductible when the assets and liabilities are recovered or settled.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discussion below regarding our results of operations for the twelve months ended December 31, 2022, includes the financial results of RE2 beginning on the acquisition date of April 25, 2022 through December 31, 2022. Our results do not include RE2’s financial information prior to the acquisition.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for the twelve months ended December 31, 2022 and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Year Ended December 31,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2022 vs. 2021 Change</w:t>
            </w:r>
          </w:p>
        </w:tc>
      </w:tr>
      <w:tr>
        <w:trPr>
          <w:trHeight w:val="224"/>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9"/>
                <w:szCs w:val="19"/>
                <w:color w:val="auto"/>
              </w:rPr>
            </w:pPr>
          </w:p>
        </w:tc>
      </w:tr>
      <w:tr>
        <w:trPr>
          <w:trHeight w:val="209"/>
        </w:trPr>
        <w:tc>
          <w:tcPr>
            <w:tcW w:w="5780" w:type="dxa"/>
            <w:vAlign w:val="bottom"/>
          </w:tcPr>
          <w:p>
            <w:pPr>
              <w:ind w:left="20"/>
              <w:spacing w:after="0"/>
              <w:rPr>
                <w:sz w:val="20"/>
                <w:szCs w:val="20"/>
                <w:color w:val="auto"/>
              </w:rPr>
            </w:pPr>
            <w:r>
              <w:rPr>
                <w:rFonts w:ascii="Arial" w:cs="Arial" w:eastAsia="Arial" w:hAnsi="Arial"/>
                <w:sz w:val="16"/>
                <w:szCs w:val="16"/>
                <w:color w:val="auto"/>
              </w:rPr>
              <w:t>Product Development Contract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14,239</w:t>
            </w:r>
          </w:p>
        </w:tc>
        <w:tc>
          <w:tcPr>
            <w:tcW w:w="1060" w:type="dxa"/>
            <w:vAlign w:val="bottom"/>
            <w:gridSpan w:val="2"/>
          </w:tcPr>
          <w:p>
            <w:pPr>
              <w:jc w:val="right"/>
              <w:ind w:right="63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4"/>
              </w:rPr>
              <w:t>3,584</w:t>
            </w:r>
          </w:p>
        </w:tc>
        <w:tc>
          <w:tcPr>
            <w:tcW w:w="42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10,655</w:t>
            </w: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297 %</w:t>
            </w:r>
          </w:p>
        </w:tc>
      </w:tr>
      <w:tr>
        <w:trPr>
          <w:trHeight w:val="246"/>
        </w:trPr>
        <w:tc>
          <w:tcPr>
            <w:tcW w:w="5780" w:type="dxa"/>
            <w:vAlign w:val="bottom"/>
          </w:tcPr>
          <w:p>
            <w:pPr>
              <w:ind w:left="20"/>
              <w:spacing w:after="0"/>
              <w:rPr>
                <w:sz w:val="20"/>
                <w:szCs w:val="20"/>
                <w:color w:val="auto"/>
              </w:rPr>
            </w:pPr>
            <w:r>
              <w:rPr>
                <w:rFonts w:ascii="Arial" w:cs="Arial" w:eastAsia="Arial" w:hAnsi="Arial"/>
                <w:sz w:val="16"/>
                <w:szCs w:val="16"/>
                <w:color w:val="auto"/>
              </w:rPr>
              <w:t>Product Revenue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330</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4"/>
              </w:rPr>
              <w:t>1,491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(1,161 )</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(78 )%</w:t>
            </w:r>
          </w:p>
        </w:tc>
      </w:tr>
      <w:tr>
        <w:trPr>
          <w:trHeight w:val="226"/>
        </w:trPr>
        <w:tc>
          <w:tcPr>
            <w:tcW w:w="5780" w:type="dxa"/>
            <w:vAlign w:val="bottom"/>
          </w:tcPr>
          <w:p>
            <w:pPr>
              <w:ind w:left="20"/>
              <w:spacing w:after="0"/>
              <w:rPr>
                <w:sz w:val="20"/>
                <w:szCs w:val="20"/>
                <w:color w:val="auto"/>
              </w:rPr>
            </w:pPr>
            <w:r>
              <w:rPr>
                <w:rFonts w:ascii="Arial" w:cs="Arial" w:eastAsia="Arial" w:hAnsi="Arial"/>
                <w:sz w:val="16"/>
                <w:szCs w:val="16"/>
                <w:color w:val="auto"/>
              </w:rPr>
              <w:t>Revenue, net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14,569</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5,075</w:t>
            </w:r>
          </w:p>
        </w:tc>
        <w:tc>
          <w:tcPr>
            <w:tcW w:w="22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9,494</w:t>
            </w:r>
          </w:p>
        </w:tc>
        <w:tc>
          <w:tcPr>
            <w:tcW w:w="2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187 %</w:t>
            </w: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9"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Revenue increased by $9.5 million, or 187%, from $5.1 million in the twelve months ended December 31, 2021, to $14.6 million in the twelve months ended December 31, 2022, as explained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Contract Revenue</w:t>
      </w:r>
    </w:p>
    <w:p>
      <w:pPr>
        <w:spacing w:after="0" w:line="252"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Revenue derived from product development contracts increased by $10.7 million, or 297%, from $3.6 million for the twelve months ended December 31, 2021 to $14.2 million for the twelve months ended December 31, 2022. The increase was primarily due to revenue recognized by RE2 from the acquisition date through December 31, 2022 pertaining to ongoing product development contracts. We expect future revenue from product development contracts to increase on a year over year basis due to the inclusion of RE2 product development contract revenue for the full year and as we bring on additional development contracts that support our commercialization efforts. As we focus on initial commercial product sales of our core product portfolio, our product development contract revenue will decrease as a percentage of total revenue.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5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Revenue derived from product sales decreased by $1.2 million, or 78%, from $1.5 million for the twelve months ended December 31, 2021 to $0.3 million for the twelve months ended December 31, 2022. The decrease was a result of reduced sales of our legacy products to focus on the commercialization of our core product portfolio.</w:t>
      </w: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4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expenses for the twelve months ended December 31, 2022 and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w w:val="97"/>
              </w:rPr>
              <w:t>Year Ended December 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2022 vs. 2021 Change</w:t>
            </w:r>
          </w:p>
        </w:tc>
      </w:tr>
      <w:tr>
        <w:trPr>
          <w:trHeight w:val="227"/>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5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5940" w:type="dxa"/>
            <w:vAlign w:val="bottom"/>
          </w:tcPr>
          <w:p>
            <w:pPr>
              <w:ind w:left="200"/>
              <w:spacing w:after="0"/>
              <w:rPr>
                <w:sz w:val="20"/>
                <w:szCs w:val="20"/>
                <w:color w:val="auto"/>
              </w:rPr>
            </w:pPr>
            <w:r>
              <w:rPr>
                <w:rFonts w:ascii="Arial" w:cs="Arial" w:eastAsia="Arial" w:hAnsi="Arial"/>
                <w:sz w:val="16"/>
                <w:szCs w:val="16"/>
                <w:color w:val="auto"/>
              </w:rPr>
              <w:t>Cost of 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11,614</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3,867</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7,747</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200 %</w:t>
            </w:r>
          </w:p>
        </w:tc>
      </w:tr>
      <w:tr>
        <w:trPr>
          <w:trHeight w:val="229"/>
        </w:trPr>
        <w:tc>
          <w:tcPr>
            <w:tcW w:w="594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34,144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16,628</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95 %</w:t>
            </w:r>
          </w:p>
        </w:tc>
      </w:tr>
      <w:tr>
        <w:trPr>
          <w:trHeight w:val="230"/>
        </w:trPr>
        <w:tc>
          <w:tcPr>
            <w:tcW w:w="594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63,480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58,059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5,421</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9 %</w:t>
            </w:r>
          </w:p>
        </w:tc>
      </w:tr>
      <w:tr>
        <w:trPr>
          <w:trHeight w:val="229"/>
        </w:trPr>
        <w:tc>
          <w:tcPr>
            <w:tcW w:w="5940" w:type="dxa"/>
            <w:vAlign w:val="bottom"/>
          </w:tcPr>
          <w:p>
            <w:pPr>
              <w:ind w:left="20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9,949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3,325</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50 %</w:t>
            </w:r>
          </w:p>
        </w:tc>
      </w:tr>
      <w:tr>
        <w:trPr>
          <w:trHeight w:val="239"/>
        </w:trPr>
        <w:tc>
          <w:tcPr>
            <w:tcW w:w="5940" w:type="dxa"/>
            <w:vAlign w:val="bottom"/>
          </w:tcPr>
          <w:p>
            <w:pPr>
              <w:ind w:left="200"/>
              <w:spacing w:after="0"/>
              <w:rPr>
                <w:sz w:val="20"/>
                <w:szCs w:val="20"/>
                <w:color w:val="auto"/>
              </w:rPr>
            </w:pPr>
            <w:r>
              <w:rPr>
                <w:rFonts w:ascii="Arial" w:cs="Arial" w:eastAsia="Arial" w:hAnsi="Arial"/>
                <w:sz w:val="16"/>
                <w:szCs w:val="16"/>
                <w:color w:val="auto"/>
              </w:rPr>
              <w:t>Intangible amortization expense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2,184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2,184</w:t>
            </w:r>
          </w:p>
        </w:tc>
        <w:tc>
          <w:tcPr>
            <w:tcW w:w="200" w:type="dxa"/>
            <w:vAlign w:val="bottom"/>
          </w:tcPr>
          <w:p>
            <w:pPr>
              <w:spacing w:after="0"/>
              <w:rPr>
                <w:sz w:val="20"/>
                <w:szCs w:val="20"/>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6"/>
                <w:szCs w:val="16"/>
                <w:color w:val="auto"/>
              </w:rPr>
              <w:t>*NM</w:t>
            </w:r>
          </w:p>
        </w:tc>
      </w:tr>
      <w:tr>
        <w:trPr>
          <w:trHeight w:val="236"/>
        </w:trPr>
        <w:tc>
          <w:tcPr>
            <w:tcW w:w="5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Goodwill impairment</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70,236</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70,236</w:t>
            </w: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*NM</w:t>
            </w:r>
          </w:p>
        </w:tc>
        <w:tc>
          <w:tcPr>
            <w:tcW w:w="40" w:type="dxa"/>
            <w:vAlign w:val="bottom"/>
          </w:tcPr>
          <w:p>
            <w:pPr>
              <w:spacing w:after="0"/>
              <w:rPr>
                <w:sz w:val="20"/>
                <w:szCs w:val="20"/>
                <w:color w:val="auto"/>
              </w:rPr>
            </w:pPr>
          </w:p>
        </w:tc>
      </w:tr>
      <w:tr>
        <w:trPr>
          <w:trHeight w:val="226"/>
        </w:trPr>
        <w:tc>
          <w:tcPr>
            <w:tcW w:w="594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191,607</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86,066</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105,541</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123 %</w:t>
            </w: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-179070</wp:posOffset>
            </wp:positionV>
            <wp:extent cx="76835"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-179070</wp:posOffset>
            </wp:positionV>
            <wp:extent cx="6858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-179070</wp:posOffset>
            </wp:positionV>
            <wp:extent cx="68580"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Cost of revenue increased by $7.7 million, or 200%, from $3.9 million for the twelve months ended December 31, 2021, to $11.6 million for the twelve months ended December 31, 2022. Cost of revenue increased significantly mainly due to the increase in revenue from the inclusion of RE2's product development contract revenue and the costs associated with that revenue beginning April 25,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Research and development expenses increased by $16.6 million, or 95%, from $17.5 million for the twelve months ended December 31, 2021, to $34.1 million for the twelve months ended December 31, 2022. The increase was driven primarily by an increase in labor and overhead expense as a result of increased headcount (due in part to the RE2 acquisition) and third-party service provider costs as we focused on the development and commercialization of our Guardian XT, Guardian XM, Guardian Sea Class and Guardian XO products. We expect research and development expenses to decrease slightly during 2023 on a year-over-year basis as we continue to develop and refine our existing products and further enhance our efforts on our future products and software.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52"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General and administrative expenses increased by $5.4 million, or 9%, from $58.1 million for the twelve months ended December 31, 2021, to $63.5 million for the twelve months ended December 31, 2022. General and administrative expenses increased due to increased legal expenses, business insurance expenses, increased headcount (due in part to the acquisition of RE2) and related expenses. With the exception of stock-based compensation expense, we expect our general and administrative expenses to increase slightly during 2023 on a year-over-year basis as we work on our commercialization pathway and maintain public-company compliance requirements, but to decrease as a percentage of revenue.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52"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Sales and marketing expenses increased by $3.3 million, or 50%, from $6.6 million for the twelve months ended December 31, 2021, to $9.9 million for the twelve months ended December 31, 2022. This increase was driven by an increase in professional service fees due to the engagement of a third-party vendor utilized in data management of our products and services, and increased headcount expenses, including increased stock-based compensation expense and increased expenses related to additional headcount due in part to our RE2 acquisition. We expect our sales and marketing expenses to increase during 2023 on a year-over-year basis as our revenue increases.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Intangible Amortization Expense</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Intangible amortization expenses increased by $2.2 million, from $0.0 million for the twelve months ended December 31, 2021, to $2.2 million for the twelve months ended December 31, 2022. The increase in intangible amortization expense is due to the recognition of amortization expenses for the identified intangible assets recorded as part of the RE2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fully impaired our goodwill and recorded a non-cash goodwill impairment of $70.2 million for the twelve months ended December 31, 2022 compared to no impairment for the twelve months ended December 31, 2021. The non-cash goodwill impairment was primarily driven by the sustained decrease in the Company’s publicly quoted share price and market capitalization.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other income (loss) for the twelve months ended December 31, 2022 and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7"/>
              </w:rPr>
              <w:t>Year Ended December 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2022 vs. 2021 Change</w:t>
            </w:r>
          </w:p>
        </w:tc>
      </w:tr>
      <w:tr>
        <w:trPr>
          <w:trHeight w:val="226"/>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(loss)</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780" w:type="dxa"/>
            <w:vAlign w:val="bottom"/>
          </w:tcPr>
          <w:p>
            <w:pPr>
              <w:ind w:left="200"/>
              <w:spacing w:after="0"/>
              <w:rPr>
                <w:sz w:val="20"/>
                <w:szCs w:val="20"/>
                <w:color w:val="auto"/>
              </w:rPr>
            </w:pPr>
            <w:r>
              <w:rPr>
                <w:rFonts w:ascii="Arial" w:cs="Arial" w:eastAsia="Arial" w:hAnsi="Arial"/>
                <w:sz w:val="16"/>
                <w:szCs w:val="16"/>
                <w:color w:val="auto"/>
              </w:rPr>
              <w:t>Interest income (expense),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1,831</w:t>
            </w: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(34 )</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1,865</w:t>
            </w:r>
          </w:p>
        </w:tc>
        <w:tc>
          <w:tcPr>
            <w:tcW w:w="2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(5,485 )%</w:t>
            </w:r>
          </w:p>
        </w:tc>
      </w:tr>
      <w:tr>
        <w:trPr>
          <w:trHeight w:val="229"/>
        </w:trPr>
        <w:tc>
          <w:tcPr>
            <w:tcW w:w="5780" w:type="dxa"/>
            <w:vAlign w:val="bottom"/>
          </w:tcPr>
          <w:p>
            <w:pPr>
              <w:ind w:left="200"/>
              <w:spacing w:after="0"/>
              <w:rPr>
                <w:sz w:val="20"/>
                <w:szCs w:val="20"/>
                <w:color w:val="auto"/>
              </w:rPr>
            </w:pPr>
            <w:r>
              <w:rPr>
                <w:rFonts w:ascii="Arial" w:cs="Arial" w:eastAsia="Arial" w:hAnsi="Arial"/>
                <w:sz w:val="16"/>
                <w:szCs w:val="16"/>
                <w:color w:val="auto"/>
              </w:rPr>
              <w:t>Gain (loss) on warrant liability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13,442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(4,927 )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18,369</w:t>
            </w:r>
          </w:p>
        </w:tc>
        <w:tc>
          <w:tcPr>
            <w:tcW w:w="2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(373 )%</w:t>
            </w:r>
          </w:p>
        </w:tc>
      </w:tr>
      <w:tr>
        <w:trPr>
          <w:trHeight w:val="230"/>
        </w:trPr>
        <w:tc>
          <w:tcPr>
            <w:tcW w:w="5780" w:type="dxa"/>
            <w:vAlign w:val="bottom"/>
          </w:tcPr>
          <w:p>
            <w:pPr>
              <w:ind w:left="200"/>
              <w:spacing w:after="0"/>
              <w:rPr>
                <w:sz w:val="20"/>
                <w:szCs w:val="20"/>
                <w:color w:val="auto"/>
              </w:rPr>
            </w:pPr>
            <w:r>
              <w:rPr>
                <w:rFonts w:ascii="Arial" w:cs="Arial" w:eastAsia="Arial" w:hAnsi="Arial"/>
                <w:sz w:val="16"/>
                <w:szCs w:val="16"/>
                <w:color w:val="auto"/>
              </w:rPr>
              <w:t>Gain on forgiveness of notes payable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(4,394 )</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(100 )%</w:t>
            </w:r>
          </w:p>
        </w:tc>
      </w:tr>
      <w:tr>
        <w:trPr>
          <w:trHeight w:val="246"/>
        </w:trPr>
        <w:tc>
          <w:tcPr>
            <w:tcW w:w="5780" w:type="dxa"/>
            <w:vAlign w:val="bottom"/>
          </w:tcPr>
          <w:p>
            <w:pPr>
              <w:ind w:left="20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c>
          <w:tcPr>
            <w:tcW w:w="220" w:type="dxa"/>
            <w:vAlign w:val="bottom"/>
          </w:tcPr>
          <w:p>
            <w:pPr>
              <w:spacing w:after="0"/>
              <w:rPr>
                <w:sz w:val="21"/>
                <w:szCs w:val="21"/>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6"/>
                <w:szCs w:val="16"/>
                <w:color w:val="auto"/>
              </w:rPr>
              <w:t>1,357 %</w:t>
            </w:r>
          </w:p>
        </w:tc>
      </w:tr>
      <w:tr>
        <w:trPr>
          <w:trHeight w:val="226"/>
        </w:trPr>
        <w:tc>
          <w:tcPr>
            <w:tcW w:w="5780" w:type="dxa"/>
            <w:vAlign w:val="bottom"/>
          </w:tcPr>
          <w:p>
            <w:pPr>
              <w:ind w:left="20"/>
              <w:spacing w:after="0"/>
              <w:rPr>
                <w:sz w:val="20"/>
                <w:szCs w:val="20"/>
                <w:color w:val="auto"/>
              </w:rPr>
            </w:pPr>
            <w:r>
              <w:rPr>
                <w:rFonts w:ascii="Arial" w:cs="Arial" w:eastAsia="Arial" w:hAnsi="Arial"/>
                <w:sz w:val="16"/>
                <w:szCs w:val="16"/>
                <w:color w:val="auto"/>
              </w:rPr>
              <w:t>Total other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16,016</w:t>
            </w: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(516 )</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16,532</w:t>
            </w:r>
          </w:p>
        </w:tc>
        <w:tc>
          <w:tcPr>
            <w:tcW w:w="2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(3,204 )%</w:t>
            </w: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3257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Other income was $16.0 million for the twelve months ended December 31, 2022, as compared to other loss of $0.5 million for the twelve months ended December 31, 2021, as a result of the increase in unrealized mark-to-market gain on our outstanding private placement warrants and increased interest income, partially offset by the gain on forgiveness of notes payable recorded in the prior year period in connection with the forgiveness of our PPP loans.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Income tax benefit increased to $3.9 million for the twelve months ended December 31, 2022, compared to $0.0 million in income tax expense for the twelve months ended December 31, 2021. The income tax benefit recorded during the twelve months ended December 31, 2022 is due to the removal of a portion of our previously recorded valuation allowance on our net deferred tax assets associated with net deferred tax liabilities recorded as part of the acquisition of RE2, resulting in an income tax benefit recognized during the period. The future reversal of the net deferred tax liabilities is a source of taxable income to be considered by us when determining whether a valuation allowance is needed for our existing net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Prior to the closing of the Business Combination, Old Sarcos financed its operations through private placements of redeemable convertible preferred stock, from the limited sale of Guardian S units and other commercially available products and by providing product development contract services and as a subcontractor for prime contractors working with the U.S. Department of Defense.</w:t>
      </w:r>
    </w:p>
    <w:p>
      <w:pPr>
        <w:spacing w:after="0" w:line="18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Upon the closing of the Business Combination, we retained approximately $228.8 million in cash proceeds, net of fees and expenses related to the Business Combination, including $220 million from the PIPE Financing.</w:t>
      </w:r>
    </w:p>
    <w:p>
      <w:pPr>
        <w:spacing w:after="0" w:line="197"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We currently use cash to fund operations and capital expenditures and meet working capital requirements. As of December 31, 2022, we had $114.5 million in cash, cash equivalents and marketable securities. We believe that our cash, cash equivalents and marketable securities on hand will be sufficient to support operations, working capital and capital expenditure requirements for at least the next 12 months from the date of this report; however, we may need to secure additional financing prior to achieving positive operating cash flows, which we do not expect to occur until 2025 at the earliest.</w:t>
      </w:r>
    </w:p>
    <w:p>
      <w:pPr>
        <w:spacing w:after="0" w:line="37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41" w:right="239" w:bottom="1440" w:gutter="0" w:footer="0" w:header="0"/>
        </w:sectPr>
      </w:pPr>
    </w:p>
    <w:bookmarkStart w:id="71" w:name="page72"/>
    <w:bookmarkEnd w:id="71"/>
    <w:p>
      <w:pPr>
        <w:jc w:val="both"/>
        <w:ind w:right="100"/>
        <w:spacing w:after="0" w:line="257" w:lineRule="auto"/>
        <w:rPr>
          <w:sz w:val="20"/>
          <w:szCs w:val="20"/>
          <w:color w:val="auto"/>
        </w:rPr>
      </w:pPr>
      <w:r>
        <w:rPr>
          <w:rFonts w:ascii="Arial" w:cs="Arial" w:eastAsia="Arial" w:hAnsi="Arial"/>
          <w:sz w:val="18"/>
          <w:szCs w:val="18"/>
          <w:color w:val="auto"/>
        </w:rPr>
        <w:t>The amount and timing of our future funding requirements will depend on many factors, including the pace and results of our product development efforts, our ability to manufacture and deliver commercial products and thereby recognize associated revenue, capital requirements to build commercial products prior to receiving payments sufficient to cover our costs and our ability to lower product costs as volumes increase. Any delays in the successful completion of the commercialization of our products will negatively impact our ability to generate revenue, our profitability and our overall operating performance.</w:t>
      </w:r>
    </w:p>
    <w:p>
      <w:pPr>
        <w:spacing w:after="0" w:line="188"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In addition, we may enter into arrangements to acquire or invest in complementary businesses, services and technologies, which may require acquisition capital as well as operational capital for these acquisitions or arrangements. We may be required to seek additional equity or debt financing to facilitate these arrangements.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88"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We expect our operating and capital expenditures to increase as we increase headcount, expand our operations and grow our customer base. If additional funds are required to support our working capital requirements, for acquisitions or for other purposes, we may seek to raise funds through additional debt or equity financings or from other sources. We currently expect to obtain outside financing to help cover production costs for product orders. In addition, although we believe we have sufficient capital to fund our business for at least the next 12 months, we may seek additional financing during that time to bolster our cash reserves and ensure our ability to continue to pursue our business objectives. We are satisfied with our liquidity and currently have no plans to do an equity financing in 2023. We will continue monitoring our liquidity, financial and business results and outlook and market conditions, and could change our plans if we determine it to be necessary or advisable.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w:t>
      </w:r>
    </w:p>
    <w:p>
      <w:pPr>
        <w:spacing w:after="0" w:line="17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As of December 31, 2022, our total minimum lease payments are $17.2 million, of which $1.5 million are due in the next 12 months. Additionally, as of December 31, 2022, we had unconditional purchase commitments of $36.0 million, of which $8.0 million is due in the next twelve months. For detail regarding our lease obligations and unconditional purchase commitments refer to </w:t>
      </w:r>
      <w:r>
        <w:rPr>
          <w:rFonts w:ascii="Arial" w:cs="Arial" w:eastAsia="Arial" w:hAnsi="Arial"/>
          <w:sz w:val="18"/>
          <w:szCs w:val="18"/>
          <w:i w:val="1"/>
          <w:iCs w:val="1"/>
          <w:color w:val="auto"/>
        </w:rPr>
        <w:t>Note 4 Leases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13, Commitments and Contingencies,</w:t>
      </w:r>
      <w:r>
        <w:rPr>
          <w:rFonts w:ascii="Arial" w:cs="Arial" w:eastAsia="Arial" w:hAnsi="Arial"/>
          <w:sz w:val="18"/>
          <w:szCs w:val="18"/>
          <w:color w:val="auto"/>
        </w:rPr>
        <w:t xml:space="preserve"> to the consolidated financial statements included elsewhere in this Annual Report on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periods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7"/>
              </w:rPr>
              <w:t>Year Ended December 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2022 vs. 2021 Change</w:t>
            </w:r>
          </w:p>
        </w:tc>
      </w:tr>
      <w:tr>
        <w:trPr>
          <w:trHeight w:val="227"/>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(used in):</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780" w:type="dxa"/>
            <w:vAlign w:val="bottom"/>
          </w:tcPr>
          <w:p>
            <w:pPr>
              <w:ind w:left="200"/>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(65,391 )</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(42,103 )</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(23,288 )</w:t>
            </w:r>
          </w:p>
        </w:tc>
        <w:tc>
          <w:tcPr>
            <w:tcW w:w="1400" w:type="dxa"/>
            <w:vAlign w:val="bottom"/>
            <w:gridSpan w:val="3"/>
          </w:tcPr>
          <w:p>
            <w:pPr>
              <w:jc w:val="right"/>
              <w:ind w:right="60"/>
              <w:spacing w:after="0"/>
              <w:rPr>
                <w:sz w:val="20"/>
                <w:szCs w:val="20"/>
                <w:color w:val="auto"/>
              </w:rPr>
            </w:pPr>
            <w:r>
              <w:rPr>
                <w:rFonts w:ascii="Arial" w:cs="Arial" w:eastAsia="Arial" w:hAnsi="Arial"/>
                <w:sz w:val="16"/>
                <w:szCs w:val="16"/>
                <w:color w:val="auto"/>
              </w:rPr>
              <w:t>55 %</w:t>
            </w:r>
          </w:p>
        </w:tc>
      </w:tr>
      <w:tr>
        <w:trPr>
          <w:trHeight w:val="230"/>
        </w:trPr>
        <w:tc>
          <w:tcPr>
            <w:tcW w:w="5780" w:type="dxa"/>
            <w:vAlign w:val="bottom"/>
          </w:tcPr>
          <w:p>
            <w:pPr>
              <w:ind w:left="2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(109,045 )</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(4,688 )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(104,357 )</w:t>
            </w:r>
          </w:p>
        </w:tc>
        <w:tc>
          <w:tcPr>
            <w:tcW w:w="1400" w:type="dxa"/>
            <w:vAlign w:val="bottom"/>
            <w:gridSpan w:val="3"/>
          </w:tcPr>
          <w:p>
            <w:pPr>
              <w:jc w:val="right"/>
              <w:ind w:right="60"/>
              <w:spacing w:after="0"/>
              <w:rPr>
                <w:sz w:val="20"/>
                <w:szCs w:val="20"/>
                <w:color w:val="auto"/>
              </w:rPr>
            </w:pPr>
            <w:r>
              <w:rPr>
                <w:rFonts w:ascii="Arial" w:cs="Arial" w:eastAsia="Arial" w:hAnsi="Arial"/>
                <w:sz w:val="16"/>
                <w:szCs w:val="16"/>
                <w:color w:val="auto"/>
              </w:rPr>
              <w:t>2,226 %</w:t>
            </w:r>
          </w:p>
        </w:tc>
      </w:tr>
      <w:tr>
        <w:trPr>
          <w:trHeight w:val="246"/>
        </w:trPr>
        <w:tc>
          <w:tcPr>
            <w:tcW w:w="5780" w:type="dxa"/>
            <w:vAlign w:val="bottom"/>
          </w:tcPr>
          <w:p>
            <w:pPr>
              <w:ind w:left="20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(7,519 )</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230,241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(237,760 )</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(103 )%</w:t>
            </w:r>
          </w:p>
        </w:tc>
      </w:tr>
      <w:tr>
        <w:trPr>
          <w:trHeight w:val="20"/>
        </w:trPr>
        <w:tc>
          <w:tcPr>
            <w:tcW w:w="5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226"/>
        </w:trPr>
        <w:tc>
          <w:tcPr>
            <w:tcW w:w="578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(181,955 )</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183,450</w:t>
            </w:r>
          </w:p>
        </w:tc>
        <w:tc>
          <w:tcPr>
            <w:tcW w:w="10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(365,405 )</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(199 )%</w:t>
            </w: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52"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Cash flows used in operating activities during the twelve months ended December 31, 2022, increased by $23.3 million to $65.4 million from $42.1 million during the same period in 2021. The increase to net cash used in operating activities was primarily attributable to a $75.6 million increase to net loss, an $18.4 million increase to gains on warrant liability revaluation and a $7.5 million decrease in stock-based compensation, partially offset by goodwill impairment of $70.2 million and $6.0 million of other non-cash expenses. Additionally, net cash used in operating activities related to changes in operating assets and liabilities decreased by $2.0 million, driven mainly by decreases prepaid expenses, partially offset by decreases in accrued liabilities and other non-current liabilities and increases in inventory and billed and unbilled receivables.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41" w:right="239" w:bottom="1440" w:gutter="0" w:footer="0" w:header="0"/>
        </w:sectPr>
      </w:pPr>
    </w:p>
    <w:bookmarkStart w:id="72" w:name="page73"/>
    <w:bookmarkEnd w:id="72"/>
    <w:p>
      <w:pPr>
        <w:jc w:val="both"/>
        <w:spacing w:after="0" w:line="263" w:lineRule="auto"/>
        <w:rPr>
          <w:sz w:val="20"/>
          <w:szCs w:val="20"/>
          <w:color w:val="auto"/>
        </w:rPr>
      </w:pPr>
      <w:r>
        <w:rPr>
          <w:rFonts w:ascii="Arial" w:cs="Arial" w:eastAsia="Arial" w:hAnsi="Arial"/>
          <w:sz w:val="18"/>
          <w:szCs w:val="18"/>
          <w:color w:val="auto"/>
        </w:rPr>
        <w:t>Our net cash used in investing activities increased by $104.4 million. The increase in cash used in investing activities is due to the purchase of marketable securities during the twelve months ended December 31, 2022 of $77.9 million, net of maturities, and $29.7 million of net cash used as part of the purchase consideration for the RE2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overall cash provided by financing activities decreased by $237.8 million. The decrease was due mainly to the cash proceeds from the Business Combination and PIPE Financing of approximately $228.8 million, net of expenses and fees, which was completed during the third quarter of 2021 and $2.0 million of proceeds from loans received under the PPP for the twelve months ended December 31, 2021. During the twelve months ended December 31, 2022, $8.1 million was used to repurchase shares of common stock that were withheld for payment of tax withholding obligations upon the vesting of equity awards, partially offset by proceeds from the exercise of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w:t>
      </w:r>
    </w:p>
    <w:p>
      <w:pPr>
        <w:spacing w:after="0" w:line="2"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last day of the fiscal year in which we have total annual gross revenue of $1.235 billion or more during such fiscal year (as indexed for inflation),</w:t>
      </w:r>
    </w:p>
    <w:p>
      <w:pPr>
        <w:spacing w:after="0" w:line="32" w:lineRule="exact"/>
        <w:rPr>
          <w:rFonts w:ascii="Arial" w:cs="Arial" w:eastAsia="Arial" w:hAnsi="Arial"/>
          <w:sz w:val="16"/>
          <w:szCs w:val="16"/>
          <w:color w:val="auto"/>
        </w:rPr>
      </w:pPr>
    </w:p>
    <w:p>
      <w:pPr>
        <w:jc w:val="both"/>
        <w:ind w:firstLine="8"/>
        <w:spacing w:after="0" w:line="271" w:lineRule="auto"/>
        <w:tabs>
          <w:tab w:leader="none" w:pos="317"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date on which we have issued more than $1 billion in non-convertible debt in the prior three-year period or (iv) December 31, 2025,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spacing w:after="0" w:line="18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Our critical accounting policies and estimates include those related to: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 revenue from the sale of our robotic systems and from contractual arrangements to perform product development contract services that are fully funded by our customers. We recognize revenue when promised goods or services are transferred to customers in an amount that reflects the consideration to which we expect to be entitled in exchange for those goods or services. Revenue from product development contracts is recognized over time as products and services are provided. For fixed priced contracts we measure progress toward satisfaction of performance obligations using costs incurred to date relative to total estimated costs (“cost-to-cost”). Research and development contracts may last multiple years and estimation of the total transaction price and expected cost requires management’s judgment. Based on the nature of the Company’s research and development contracts, the work to be performed is often complex and may involve new processes, procedures, and tasks which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jc w:val="both"/>
        <w:spacing w:after="0" w:line="277" w:lineRule="auto"/>
        <w:rPr>
          <w:sz w:val="20"/>
          <w:szCs w:val="20"/>
          <w:color w:val="auto"/>
        </w:rPr>
      </w:pPr>
      <w:r>
        <w:rPr>
          <w:rFonts w:ascii="Arial" w:cs="Arial" w:eastAsia="Arial" w:hAnsi="Arial"/>
          <w:sz w:val="18"/>
          <w:szCs w:val="18"/>
          <w:color w:val="auto"/>
        </w:rPr>
        <w:t>creates uncertainty in estimating contract costs. All estimates impacting revenue recognition, including estimates of total expected costs, or Estimates at Completion, are reviewed on a periodic basis, at least quarterly.</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those performance obligations for which revenue is recognized using a cost-to-cost input method, changes in total estimated costs, and related progress towards complete satisfaction of the performance obligation, are recognized on a cumulative catch-up basis in the period in which the revisions to the estimates are made. Changes in judgments with respect to these assumptions and estimates could impact the timing or amount of revenue recognition.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use the fair value approach to account for stock-based compensation in accordance with current accounting guidance and recognize stock-based compensation expenses over the period the recipient is required to provide service in exchange for the award. The Black-Scholes option pricing model is used to estimate the fair value of stock options, which requires the use of a number of assumptions, including expected volatility, expected life, risk-free interest rate and expected dividends. The fair value of restricted stock grants is based on the closing market price of our stock on the date of grant less the expected dividend yield. For awards with market based vesting conditions, we estimate the grant date fair value using a Monte-Carlo simulation model or other similar valuation model. These models require the use of assumptions such as the risk-free rate, expected volatility, expected dividends and the correlation coefficient. As we accumulate additional employee stock-based awards data over time and as we incorporate market data related to our common stock, we may calculate significantly different volatilities and expected lives, which could materially impact the valuation of our stock-based awards and the stock-based compensation expense that we will recognize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and Acquired Intangible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initially recorded when the purchase price paid for a business acquisition exceeds the estimated fair value of the net identified tangible and intangible assets acquired. The allocation of the purchase price of the acquired businesses to goodwill and intangible assets requires us to make significant estimates and assumptions, including estimates of future cash flows expected to be generated by the acquired assets and the appropriate discount rate for those cash flows. Should conditions differ from management’s estimates at the time of the acquisition, material write-downs of goodwill and/or intangible assets may be required.</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evaluate goodwill for impairment at least annually or whenever an event occurs or circumstances change that would more likely than not reduce the fair value of a reporting unit below its carrying amount. The evaluation includes consideration of qualitative factors including industry and market considerations, overall financial performance, and other relevant events and factors affecting the reporting unit. If we determine that a quantitative analysis is necessary, we perform a quantitative analysis which consists of a comparison of the fair value of a reporting unit against its carrying amount, including the goodwill allocated to each reporting unit. We determine the fair value of our reporting unit based on an income approach. The income approach is based on the present value of estimated future cash flows of the reporting units. If the carrying amount of the reporting unit is in excess of its fair value, the difference between the fair value and carrying amount is recorded as an impairment loss.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 impairment loss on intangible assets with definite useful lives exists when the estimated undiscounted cash flows expected to result from the use of the asset and its eventual disposition are less than its carrying amount. If the carrying amount exceeds the sum of the undiscounted cash flows, an impairment charge is recognized based on the amount by which the carrying amount of the assets exceeds the estimated fair value of the assets.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2022, due to the sustained decrease in our publicly quoted share price and market capitalization, we performed a quantitative goodwill impairment test. Based on the results of the quantitative goodwill impairment assessment we concluded that the carrying value of the single reporting unit exceeded its fair value and that our goodwill was fully impaired as of December 31, 2022. We recorded a $70.2 million non-cash goodwill impairment charge for the twelve months ended December 31, 2022. During the fourth quarter of 2022 we also tested our intangible assets with definite lives for impairment and found no impairment.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Basis of Presentation and Summary of Significant Accounting Policies,</w:t>
      </w:r>
      <w:r>
        <w:rPr>
          <w:rFonts w:ascii="Arial" w:cs="Arial" w:eastAsia="Arial" w:hAnsi="Arial"/>
          <w:sz w:val="18"/>
          <w:szCs w:val="18"/>
          <w:color w:val="auto"/>
        </w:rPr>
        <w:t xml:space="preserve"> to consolidated financial statements included elsewhere in this Annual Report on Form 10-K for recently adopted accounting pronouncements and recently issued accounting pronouncements not yet adopted as of the date of this Annual Report on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tbl>
      <w:tblPr>
        <w:tblLayout w:type="fixed"/>
        <w:tblInd w:w="10" w:type="dxa"/>
        <w:tblCellMar>
          <w:top w:w="0" w:type="dxa"/>
          <w:left w:w="0" w:type="dxa"/>
          <w:bottom w:w="0" w:type="dxa"/>
          <w:right w:w="0" w:type="dxa"/>
        </w:tblCellMar>
      </w:tblPr>
      <w:tr>
        <w:trPr>
          <w:trHeight w:val="216"/>
        </w:trPr>
        <w:tc>
          <w:tcPr>
            <w:tcW w:w="918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0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2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2060" w:type="dxa"/>
            <w:vAlign w:val="bottom"/>
          </w:tcPr>
          <w:p>
            <w:pPr>
              <w:spacing w:after="0"/>
              <w:rPr>
                <w:sz w:val="19"/>
                <w:szCs w:val="19"/>
                <w:color w:val="auto"/>
              </w:rPr>
            </w:pPr>
          </w:p>
        </w:tc>
      </w:tr>
      <w:tr>
        <w:trPr>
          <w:trHeight w:val="190"/>
        </w:trPr>
        <w:tc>
          <w:tcPr>
            <w:tcW w:w="5280" w:type="dxa"/>
            <w:vAlign w:val="bottom"/>
            <w:tcBorders>
              <w:bottom w:val="single" w:sz="8" w:color="0000FF"/>
            </w:tcBorders>
            <w:gridSpan w:val="7"/>
          </w:tcPr>
          <w:p>
            <w:pPr>
              <w:ind w:left="20"/>
              <w:spacing w:after="0" w:line="190" w:lineRule="exact"/>
              <w:rPr>
                <w:sz w:val="20"/>
                <w:szCs w:val="20"/>
                <w:color w:val="auto"/>
              </w:rPr>
            </w:pPr>
            <w:r>
              <w:rPr>
                <w:rFonts w:ascii="Arial" w:cs="Arial" w:eastAsia="Arial" w:hAnsi="Arial"/>
                <w:sz w:val="18"/>
                <w:szCs w:val="18"/>
                <w:color w:val="0000FF"/>
                <w:w w:val="91"/>
              </w:rPr>
              <w:t>Report of Independent Registered Public Accounting Firm (PCAOB: 42)</w:t>
            </w:r>
          </w:p>
        </w:tc>
        <w:tc>
          <w:tcPr>
            <w:tcW w:w="3900" w:type="dxa"/>
            <w:vAlign w:val="bottom"/>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Arial" w:cs="Arial" w:eastAsia="Arial" w:hAnsi="Arial"/>
                <w:sz w:val="18"/>
                <w:szCs w:val="18"/>
                <w:color w:val="auto"/>
              </w:rPr>
              <w:t>75</w:t>
            </w:r>
          </w:p>
        </w:tc>
      </w:tr>
      <w:tr>
        <w:trPr>
          <w:trHeight w:val="210"/>
        </w:trPr>
        <w:tc>
          <w:tcPr>
            <w:tcW w:w="9180" w:type="dxa"/>
            <w:vAlign w:val="bottom"/>
            <w:gridSpan w:val="8"/>
          </w:tcPr>
          <w:p>
            <w:pPr>
              <w:ind w:left="20"/>
              <w:spacing w:after="0"/>
              <w:rPr>
                <w:sz w:val="20"/>
                <w:szCs w:val="20"/>
                <w:color w:val="auto"/>
              </w:rPr>
            </w:pPr>
            <w:r>
              <w:rPr>
                <w:rFonts w:ascii="Arial" w:cs="Arial" w:eastAsia="Arial" w:hAnsi="Arial"/>
                <w:sz w:val="18"/>
                <w:szCs w:val="18"/>
                <w:color w:val="0000FF"/>
              </w:rPr>
              <w:t>Consolidated Balance Sheets</w:t>
            </w:r>
          </w:p>
        </w:tc>
        <w:tc>
          <w:tcPr>
            <w:tcW w:w="20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9"/>
        </w:trPr>
        <w:tc>
          <w:tcPr>
            <w:tcW w:w="284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89"/>
              </w:rPr>
              <w:t>Consolidated Statements of Operations</w:t>
            </w:r>
          </w:p>
        </w:tc>
        <w:tc>
          <w:tcPr>
            <w:tcW w:w="20" w:type="dxa"/>
            <w:vAlign w:val="bottom"/>
            <w:tcBorders>
              <w:bottom w:val="single" w:sz="8" w:color="0000EE"/>
            </w:tcBorders>
          </w:tcPr>
          <w:p>
            <w:pPr>
              <w:spacing w:after="0"/>
              <w:rPr>
                <w:sz w:val="18"/>
                <w:szCs w:val="18"/>
                <w:color w:val="auto"/>
              </w:rPr>
            </w:pPr>
          </w:p>
        </w:tc>
        <w:tc>
          <w:tcPr>
            <w:tcW w:w="6320" w:type="dxa"/>
            <w:vAlign w:val="bottom"/>
            <w:gridSpan w:val="5"/>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0"/>
        </w:trPr>
        <w:tc>
          <w:tcPr>
            <w:tcW w:w="356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89"/>
              </w:rPr>
              <w:t>Consolidated Statements of Comprehensive Loss</w:t>
            </w:r>
          </w:p>
        </w:tc>
        <w:tc>
          <w:tcPr>
            <w:tcW w:w="5620" w:type="dxa"/>
            <w:vAlign w:val="bottom"/>
            <w:gridSpan w:val="2"/>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9"/>
        </w:trPr>
        <w:tc>
          <w:tcPr>
            <w:tcW w:w="290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89"/>
              </w:rPr>
              <w:t>Consolidated Statements of Cash Flows</w:t>
            </w:r>
          </w:p>
        </w:tc>
        <w:tc>
          <w:tcPr>
            <w:tcW w:w="6280" w:type="dxa"/>
            <w:vAlign w:val="bottom"/>
            <w:gridSpan w:val="4"/>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9"/>
        </w:trPr>
        <w:tc>
          <w:tcPr>
            <w:tcW w:w="9180" w:type="dxa"/>
            <w:vAlign w:val="bottom"/>
            <w:gridSpan w:val="8"/>
          </w:tcPr>
          <w:p>
            <w:pPr>
              <w:ind w:left="20"/>
              <w:spacing w:after="0"/>
              <w:rPr>
                <w:sz w:val="20"/>
                <w:szCs w:val="20"/>
                <w:color w:val="auto"/>
              </w:rPr>
            </w:pPr>
            <w:r>
              <w:rPr>
                <w:rFonts w:ascii="Arial" w:cs="Arial" w:eastAsia="Arial" w:hAnsi="Arial"/>
                <w:sz w:val="18"/>
                <w:szCs w:val="18"/>
                <w:color w:val="0000FF"/>
              </w:rPr>
              <w:t>Consolidated Statements of Stockholders’ Equity</w:t>
            </w:r>
          </w:p>
        </w:tc>
        <w:tc>
          <w:tcPr>
            <w:tcW w:w="20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0"/>
        </w:trPr>
        <w:tc>
          <w:tcPr>
            <w:tcW w:w="3560" w:type="dxa"/>
            <w:vAlign w:val="bottom"/>
            <w:tcBorders>
              <w:top w:val="single" w:sz="8" w:color="0000FF"/>
            </w:tcBorders>
            <w:gridSpan w:val="6"/>
          </w:tcPr>
          <w:p>
            <w:pPr>
              <w:ind w:left="20"/>
              <w:spacing w:after="0"/>
              <w:rPr>
                <w:sz w:val="20"/>
                <w:szCs w:val="20"/>
                <w:color w:val="auto"/>
              </w:rPr>
            </w:pPr>
            <w:r>
              <w:rPr>
                <w:rFonts w:ascii="Arial" w:cs="Arial" w:eastAsia="Arial" w:hAnsi="Arial"/>
                <w:sz w:val="18"/>
                <w:szCs w:val="18"/>
                <w:color w:val="0000FF"/>
              </w:rPr>
              <w:t>Notes to Consolidated Financial Statements</w:t>
            </w:r>
          </w:p>
        </w:tc>
        <w:tc>
          <w:tcPr>
            <w:tcW w:w="5620" w:type="dxa"/>
            <w:vAlign w:val="bottom"/>
            <w:gridSpan w:val="2"/>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898"/>
        </w:trPr>
        <w:tc>
          <w:tcPr>
            <w:tcW w:w="3160" w:type="dxa"/>
            <w:vAlign w:val="bottom"/>
            <w:tcBorders>
              <w:top w:val="single" w:sz="8" w:color="0000FF"/>
            </w:tcBorders>
            <w:gridSpan w:val="5"/>
          </w:tcPr>
          <w:p>
            <w:pPr>
              <w:spacing w:after="0"/>
              <w:rPr>
                <w:sz w:val="24"/>
                <w:szCs w:val="24"/>
                <w:color w:val="auto"/>
              </w:rPr>
            </w:pPr>
          </w:p>
        </w:tc>
        <w:tc>
          <w:tcPr>
            <w:tcW w:w="6020" w:type="dxa"/>
            <w:vAlign w:val="bottom"/>
            <w:gridSpan w:val="3"/>
          </w:tcPr>
          <w:p>
            <w:pPr>
              <w:jc w:val="right"/>
              <w:ind w:right="3460"/>
              <w:spacing w:after="0"/>
              <w:rPr>
                <w:sz w:val="20"/>
                <w:szCs w:val="20"/>
                <w:color w:val="auto"/>
              </w:rPr>
            </w:pPr>
            <w:r>
              <w:rPr>
                <w:rFonts w:ascii="Arial" w:cs="Arial" w:eastAsia="Arial" w:hAnsi="Arial"/>
                <w:sz w:val="18"/>
                <w:szCs w:val="18"/>
                <w:color w:val="auto"/>
              </w:rPr>
              <w:t>74</w:t>
            </w:r>
          </w:p>
        </w:tc>
        <w:tc>
          <w:tcPr>
            <w:tcW w:w="2060" w:type="dxa"/>
            <w:vAlign w:val="bottom"/>
          </w:tcPr>
          <w:p>
            <w:pPr>
              <w:spacing w:after="0"/>
              <w:rPr>
                <w:sz w:val="24"/>
                <w:szCs w:val="24"/>
                <w:color w:val="auto"/>
              </w:rPr>
            </w:pPr>
          </w:p>
        </w:tc>
      </w:tr>
      <w:tr>
        <w:trPr>
          <w:trHeight w:val="115"/>
        </w:trPr>
        <w:tc>
          <w:tcPr>
            <w:tcW w:w="2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ind w:left="33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Stockholders and the Board of Directors of Sarcos Technology and Robotics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Sarcos Technology and Robotics Corporation (the Company) as of December 31, 2022 and 2021, the related consolidated statements of operations, comprehensive loss,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4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discussed in Note 1 to the consolidated financial statements, the Company changed its method of accounting for leases as a result of the adoption of Accounting Standards Update (ASU) No. 2016-02, Leases (Topic 842), using the modified retrospective transition method effective January 1, 2022.</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SARCOS TECHNOLOGY AND ROBOTICS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data</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As of</w:t>
            </w:r>
          </w:p>
        </w:tc>
        <w:tc>
          <w:tcPr>
            <w:tcW w:w="1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0"/>
              </w:rPr>
              <w:t>December 31, 2022</w:t>
            </w:r>
          </w:p>
        </w:tc>
        <w:tc>
          <w:tcPr>
            <w:tcW w:w="10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December 31, 2021</w:t>
            </w:r>
          </w:p>
        </w:tc>
        <w:tc>
          <w:tcPr>
            <w:tcW w:w="100" w:type="dxa"/>
            <w:vAlign w:val="bottom"/>
          </w:tcPr>
          <w:p>
            <w:pPr>
              <w:spacing w:after="0"/>
              <w:rPr>
                <w:sz w:val="19"/>
                <w:szCs w:val="19"/>
                <w:color w:val="auto"/>
              </w:rPr>
            </w:pPr>
          </w:p>
        </w:tc>
      </w:tr>
      <w:tr>
        <w:trPr>
          <w:trHeight w:val="229"/>
        </w:trPr>
        <w:tc>
          <w:tcPr>
            <w:tcW w:w="7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35,159</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217,114</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Marketable securities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79,337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Unbilled receivables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4,160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Inventories, net</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3,562</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9,202</w:t>
            </w:r>
          </w:p>
        </w:tc>
        <w:tc>
          <w:tcPr>
            <w:tcW w:w="100" w:type="dxa"/>
            <w:vAlign w:val="bottom"/>
          </w:tcPr>
          <w:p>
            <w:pPr>
              <w:spacing w:after="0"/>
              <w:rPr>
                <w:sz w:val="19"/>
                <w:szCs w:val="19"/>
                <w:color w:val="auto"/>
              </w:rPr>
            </w:pPr>
          </w:p>
        </w:tc>
      </w:tr>
      <w:tr>
        <w:trPr>
          <w:trHeight w:val="23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129,099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228,331</w:t>
            </w: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7,640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7,051</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 assets, net</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19,116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11,283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non-current assets</w:t>
            </w:r>
          </w:p>
        </w:tc>
        <w:tc>
          <w:tcPr>
            <w:tcW w:w="1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487</w:t>
            </w: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167,625</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235,823</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1,681</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Accrued liabilities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6,025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4,480</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operating lease liabilities</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10,532</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6,161</w:t>
            </w:r>
          </w:p>
        </w:tc>
        <w:tc>
          <w:tcPr>
            <w:tcW w:w="100" w:type="dxa"/>
            <w:vAlign w:val="bottom"/>
          </w:tcPr>
          <w:p>
            <w:pPr>
              <w:spacing w:after="0"/>
              <w:rPr>
                <w:sz w:val="18"/>
                <w:szCs w:val="18"/>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liabilities</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12,387</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3"/>
        </w:trPr>
        <w:tc>
          <w:tcPr>
            <w:tcW w:w="768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15,700</w:t>
            </w:r>
          </w:p>
        </w:tc>
        <w:tc>
          <w:tcPr>
            <w:tcW w:w="100" w:type="dxa"/>
            <w:vAlign w:val="bottom"/>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23,175</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21,861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6"/>
        </w:trPr>
        <w:tc>
          <w:tcPr>
            <w:tcW w:w="7680" w:type="dxa"/>
            <w:vAlign w:val="bottom"/>
          </w:tcPr>
          <w:p>
            <w:pPr>
              <w:ind w:left="20"/>
              <w:spacing w:after="0"/>
              <w:rPr>
                <w:sz w:val="20"/>
                <w:szCs w:val="20"/>
                <w:color w:val="auto"/>
              </w:rPr>
            </w:pPr>
            <w:r>
              <w:rPr>
                <w:rFonts w:ascii="Arial" w:cs="Arial" w:eastAsia="Arial" w:hAnsi="Arial"/>
                <w:sz w:val="16"/>
                <w:szCs w:val="16"/>
                <w:color w:val="auto"/>
                <w:w w:val="95"/>
              </w:rPr>
              <w:t>Common stock, $0.0001 par value, 990,000,000 shares authorized as of December 31, 2022, and December 31,</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6"/>
                <w:szCs w:val="16"/>
                <w:color w:val="auto"/>
                <w:w w:val="95"/>
              </w:rPr>
              <w:t>2021; 154,252,704 and 137,722,658 shares issued and outstanding as of December 31, 2022, and December 31,</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2021, respectively</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447,073</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359,439</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3"/>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deficit</w:t>
            </w:r>
          </w:p>
        </w:tc>
        <w:tc>
          <w:tcPr>
            <w:tcW w:w="12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(302,621 )</w:t>
            </w:r>
          </w:p>
        </w:tc>
        <w:tc>
          <w:tcPr>
            <w:tcW w:w="1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(145,491 )</w:t>
            </w:r>
          </w:p>
        </w:tc>
      </w:tr>
      <w:tr>
        <w:trPr>
          <w:trHeight w:val="223"/>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144,450</w:t>
            </w:r>
          </w:p>
        </w:tc>
        <w:tc>
          <w:tcPr>
            <w:tcW w:w="30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213,962</w:t>
            </w:r>
          </w:p>
        </w:tc>
        <w:tc>
          <w:tcPr>
            <w:tcW w:w="100" w:type="dxa"/>
            <w:vAlign w:val="bottom"/>
            <w:tcBorders>
              <w:top w:val="single" w:sz="8" w:color="CFF0FC"/>
            </w:tcBorders>
          </w:tcPr>
          <w:p>
            <w:pPr>
              <w:spacing w:after="0"/>
              <w:rPr>
                <w:sz w:val="19"/>
                <w:szCs w:val="19"/>
                <w:color w:val="auto"/>
              </w:rPr>
            </w:pPr>
          </w:p>
        </w:tc>
      </w:tr>
      <w:tr>
        <w:trPr>
          <w:trHeight w:val="26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167,625</w:t>
            </w:r>
          </w:p>
        </w:tc>
        <w:tc>
          <w:tcPr>
            <w:tcW w:w="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235,823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-2982595</wp:posOffset>
            </wp:positionV>
            <wp:extent cx="6858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-1473835</wp:posOffset>
            </wp:positionV>
            <wp:extent cx="6858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-333375</wp:posOffset>
            </wp:positionV>
            <wp:extent cx="6858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SARCOS TECHNOLOGY AND ROBOTICS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and per share data</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rPr>
              <w:t>Year Ended December 31,</w:t>
            </w:r>
          </w:p>
        </w:tc>
      </w:tr>
      <w:tr>
        <w:trPr>
          <w:trHeight w:val="223"/>
        </w:trPr>
        <w:tc>
          <w:tcPr>
            <w:tcW w:w="7720" w:type="dxa"/>
            <w:vAlign w:val="bottom"/>
          </w:tcPr>
          <w:p>
            <w:pPr>
              <w:ind w:left="37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 net</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14,569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5,075</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revenue (exclusive of items shown separately below)</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11,614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3,867</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34,144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17,516</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63,480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58,059</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Sales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9,949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6,624</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Intangible amortization expense</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3"/>
        </w:trPr>
        <w:tc>
          <w:tcPr>
            <w:tcW w:w="7720" w:type="dxa"/>
            <w:vAlign w:val="bottom"/>
          </w:tcPr>
          <w:p>
            <w:pPr>
              <w:ind w:left="200"/>
              <w:spacing w:after="0"/>
              <w:rPr>
                <w:sz w:val="20"/>
                <w:szCs w:val="20"/>
                <w:color w:val="auto"/>
              </w:rPr>
            </w:pPr>
            <w:r>
              <w:rPr>
                <w:rFonts w:ascii="Arial" w:cs="Arial" w:eastAsia="Arial" w:hAnsi="Arial"/>
                <w:sz w:val="16"/>
                <w:szCs w:val="16"/>
                <w:color w:val="auto"/>
              </w:rPr>
              <w:t>Goodwill impairment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70,236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3"/>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191,607</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86,066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(177,038 )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(80,991 )</w:t>
            </w: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 (expense), net</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(34 )</w:t>
            </w: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Gain (loss) on warrant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13,442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(4,927 )</w:t>
            </w: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forgiveness of notes payable</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4,394</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r>
      <w:tr>
        <w:trPr>
          <w:trHeight w:val="22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income tax benefit (expense)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(161,022 )</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(81,507 )</w:t>
            </w:r>
          </w:p>
        </w:tc>
      </w:tr>
      <w:tr>
        <w:trPr>
          <w:trHeight w:val="23"/>
        </w:trPr>
        <w:tc>
          <w:tcPr>
            <w:tcW w:w="772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3,892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r>
      <w:tr>
        <w:trPr>
          <w:trHeight w:val="23"/>
        </w:trPr>
        <w:tc>
          <w:tcPr>
            <w:tcW w:w="7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(157,130 )</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(81,508 )</w:t>
            </w:r>
          </w:p>
        </w:tc>
      </w:tr>
      <w:tr>
        <w:trPr>
          <w:trHeight w:val="210"/>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loss per share</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63"/>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Basic and diluted</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(1.07 )</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(0.72 )</w:t>
            </w:r>
          </w:p>
        </w:tc>
      </w:tr>
      <w:tr>
        <w:trPr>
          <w:trHeight w:val="210"/>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Weighted-average shares used in computing net loss per share</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6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Basic and diluted</w:t>
            </w: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146,839,273</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113,184,357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-1876425</wp:posOffset>
            </wp:positionV>
            <wp:extent cx="6858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-985520</wp:posOffset>
            </wp:positionV>
            <wp:extent cx="6858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-676910</wp:posOffset>
            </wp:positionV>
            <wp:extent cx="1243330"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43330" cy="18034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wp:posOffset>
            </wp:positionV>
            <wp:extent cx="1243330"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4333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w:t>
      </w:r>
      <w:r>
        <w:rPr>
          <w:rFonts w:ascii="Arial" w:cs="Arial" w:eastAsia="Arial" w:hAnsi="Arial"/>
          <w:sz w:val="18"/>
          <w:szCs w:val="18"/>
          <w:color w:val="auto"/>
        </w:rPr>
        <w:t>​</w:t>
      </w:r>
      <w:r>
        <w:rPr>
          <w:rFonts w:ascii="Arial" w:cs="Arial" w:eastAsia="Arial" w:hAnsi="Arial"/>
          <w:sz w:val="18"/>
          <w:szCs w:val="18"/>
          <w:i w:val="1"/>
          <w:iCs w:val="1"/>
          <w:color w:val="auto"/>
        </w:rPr>
        <w:t xml:space="preserv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SARCOS TECHNOLOGY AND ROBOTICS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23"/>
        </w:trPr>
        <w:tc>
          <w:tcPr>
            <w:tcW w:w="7720" w:type="dxa"/>
            <w:vAlign w:val="bottom"/>
          </w:tcPr>
          <w:p>
            <w:pPr>
              <w:ind w:left="37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(157,130 )</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(81,508 )</w:t>
            </w:r>
          </w:p>
        </w:tc>
        <w:tc>
          <w:tcPr>
            <w:tcW w:w="0" w:type="dxa"/>
            <w:vAlign w:val="bottom"/>
          </w:tcPr>
          <w:p>
            <w:pPr>
              <w:spacing w:after="0"/>
              <w:rPr>
                <w:sz w:val="1"/>
                <w:szCs w:val="1"/>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Change in unrealized loss on available-for-sale investments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380"/>
              <w:spacing w:after="0"/>
              <w:rPr>
                <w:sz w:val="20"/>
                <w:szCs w:val="20"/>
                <w:color w:val="auto"/>
              </w:rPr>
            </w:pPr>
            <w:r>
              <w:rPr>
                <w:rFonts w:ascii="Arial" w:cs="Arial" w:eastAsia="Arial" w:hAnsi="Arial"/>
                <w:sz w:val="16"/>
                <w:szCs w:val="16"/>
                <w:color w:val="auto"/>
              </w:rPr>
              <w:t>Total other comprehensive loss</w:t>
            </w: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(17 )</w:t>
            </w: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Comprehensive loss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(157,147 )</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(81,508 )</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5881370</wp:posOffset>
            </wp:positionH>
            <wp:positionV relativeFrom="paragraph">
              <wp:posOffset>-346710</wp:posOffset>
            </wp:positionV>
            <wp:extent cx="126873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6873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w:t>
      </w:r>
      <w:r>
        <w:rPr>
          <w:rFonts w:ascii="Arial" w:cs="Arial" w:eastAsia="Arial" w:hAnsi="Arial"/>
          <w:sz w:val="18"/>
          <w:szCs w:val="18"/>
          <w:color w:val="auto"/>
        </w:rPr>
        <w:t>​</w:t>
      </w:r>
      <w:r>
        <w:rPr>
          <w:rFonts w:ascii="Arial" w:cs="Arial" w:eastAsia="Arial" w:hAnsi="Arial"/>
          <w:sz w:val="18"/>
          <w:szCs w:val="18"/>
          <w:i w:val="1"/>
          <w:iCs w:val="1"/>
          <w:color w:val="auto"/>
        </w:rPr>
        <w:t xml:space="preserv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SARCOS TECHNOLOGY AND ROBOTICS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Pr>
          <w:p>
            <w:pPr>
              <w:spacing w:after="0"/>
              <w:rPr>
                <w:sz w:val="19"/>
                <w:szCs w:val="19"/>
                <w:color w:val="auto"/>
              </w:rPr>
            </w:pPr>
          </w:p>
        </w:tc>
        <w:tc>
          <w:tcPr>
            <w:tcW w:w="28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(157,130 )</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(81,508 )</w:t>
            </w: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35,645</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of property and equipment</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1,409</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2,184</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fair value of warrant liability</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(13,442 )</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Gain on forgiveness of notes payable</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(4,394 )</w:t>
            </w: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investment discount</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(1,494 )</w:t>
            </w: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Goodwill impairment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70,236</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(257 )</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Unbilled receivable</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(1,972 )</w:t>
            </w: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(2,090 )</w:t>
            </w: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(299 )</w:t>
            </w: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4,440</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(8,082 )</w:t>
            </w: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Other non-current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960</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(148 )</w:t>
            </w: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1,539</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Accrued liabilities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(798 )</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non-current liabilities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(4,621 )</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0"/>
              <w:spacing w:after="0"/>
              <w:rPr>
                <w:sz w:val="20"/>
                <w:szCs w:val="20"/>
                <w:color w:val="auto"/>
              </w:rPr>
            </w:pPr>
            <w:r>
              <w:rPr>
                <w:rFonts w:ascii="Arial" w:cs="Arial" w:eastAsia="Arial" w:hAnsi="Arial"/>
                <w:sz w:val="16"/>
                <w:szCs w:val="16"/>
                <w:color w:val="auto"/>
              </w:rPr>
              <w:t>Net cash used in operating activities</w:t>
            </w: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(65,391 )</w:t>
            </w:r>
          </w:p>
        </w:tc>
        <w:tc>
          <w:tcPr>
            <w:tcW w:w="10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(42,103 )</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(1,498 )</w:t>
            </w: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(4,688 )</w:t>
            </w: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 of a business, net of cash acquired</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(29,687 )</w:t>
            </w: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Purchases of marketable securities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(177,860 )</w:t>
            </w:r>
          </w:p>
        </w:tc>
        <w:tc>
          <w:tcPr>
            <w:tcW w:w="10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Maturities of marketable securities</w:t>
            </w: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100,000</w:t>
            </w: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(109,045 )</w:t>
            </w: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(4,688 )</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Proceeds from notes payable</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Shares repurchased for payment of tax withholdings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(8,107 )</w:t>
            </w: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(284 )</w:t>
            </w: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 of non-controlling interest</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Payment of obligations under capital leases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(95 )</w:t>
            </w: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PIPE</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220,000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Proceeds from Merger</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for transaction costs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6"/>
              </w:rPr>
              <w:t>(16,571 )</w:t>
            </w:r>
          </w:p>
        </w:tc>
        <w:tc>
          <w:tcPr>
            <w:tcW w:w="0" w:type="dxa"/>
            <w:vAlign w:val="bottom"/>
          </w:tcPr>
          <w:p>
            <w:pPr>
              <w:spacing w:after="0"/>
              <w:rPr>
                <w:sz w:val="1"/>
                <w:szCs w:val="1"/>
                <w:color w:val="auto"/>
              </w:rPr>
            </w:pPr>
          </w:p>
        </w:tc>
      </w:tr>
      <w:tr>
        <w:trPr>
          <w:trHeight w:val="23"/>
        </w:trPr>
        <w:tc>
          <w:tcPr>
            <w:tcW w:w="772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(7,519 )</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230,241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(decrease) increase in cash, cash equivalents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0"/>
              </w:rPr>
              <w:t>(181,955 )</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183,450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Cash, cash equivalents at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217,114</w:t>
            </w:r>
          </w:p>
        </w:tc>
        <w:tc>
          <w:tcPr>
            <w:tcW w:w="2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at end of period</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35,159</w:t>
            </w:r>
          </w:p>
        </w:tc>
        <w:tc>
          <w:tcPr>
            <w:tcW w:w="2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217,114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interest</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non-cash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Common stock and assumed equity awards in connection with a business acquisition</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59,410</w:t>
            </w:r>
          </w:p>
        </w:tc>
        <w:tc>
          <w:tcPr>
            <w:tcW w:w="28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 included in accounts payable at period-end</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Leasehold improvements paid by lessor</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Unpaid transaction costs</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6"/>
                <w:szCs w:val="16"/>
                <w:color w:val="auto"/>
              </w:rPr>
              <w:t>Assumption of warrant liabilities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5881370</wp:posOffset>
            </wp:positionH>
            <wp:positionV relativeFrom="paragraph">
              <wp:posOffset>-4311650</wp:posOffset>
            </wp:positionV>
            <wp:extent cx="126873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6873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-3407410</wp:posOffset>
            </wp:positionV>
            <wp:extent cx="68580" cy="162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-3407410</wp:posOffset>
            </wp:positionV>
            <wp:extent cx="68580"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-1932940</wp:posOffset>
            </wp:positionV>
            <wp:extent cx="6858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-1932940</wp:posOffset>
            </wp:positionV>
            <wp:extent cx="6858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-1323975</wp:posOffset>
            </wp:positionV>
            <wp:extent cx="124333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43330" cy="17145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SARCOS TECHNOLOGY AND ROBOTICS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9"/>
            <w:vMerge w:val="restart"/>
          </w:tcPr>
          <w:p>
            <w:pPr>
              <w:jc w:val="center"/>
              <w:ind w:left="26"/>
              <w:spacing w:after="0"/>
              <w:rPr>
                <w:sz w:val="20"/>
                <w:szCs w:val="20"/>
                <w:color w:val="auto"/>
              </w:rPr>
            </w:pPr>
            <w:r>
              <w:rPr>
                <w:rFonts w:ascii="Arial" w:cs="Arial" w:eastAsia="Arial" w:hAnsi="Arial"/>
                <w:sz w:val="11"/>
                <w:szCs w:val="11"/>
                <w:b w:val="1"/>
                <w:bCs w:val="1"/>
                <w:color w:val="auto"/>
                <w:w w:val="89"/>
              </w:rPr>
              <w:t>Convertible Preferred Stock</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7"/>
            <w:vMerge w:val="restart"/>
          </w:tcPr>
          <w:p>
            <w:pPr>
              <w:jc w:val="right"/>
              <w:ind w:right="36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Addition</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9"/>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bottom w:val="single" w:sz="8" w:color="auto"/>
            </w:tcBorders>
            <w:gridSpan w:val="7"/>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al</w:t>
            </w:r>
          </w:p>
        </w:tc>
        <w:tc>
          <w:tcPr>
            <w:tcW w:w="100" w:type="dxa"/>
            <w:vAlign w:val="bottom"/>
          </w:tcPr>
          <w:p>
            <w:pPr>
              <w:spacing w:after="0"/>
              <w:rPr>
                <w:sz w:val="11"/>
                <w:szCs w:val="11"/>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15"/>
        </w:trPr>
        <w:tc>
          <w:tcPr>
            <w:tcW w:w="2740" w:type="dxa"/>
            <w:vAlign w:val="bottom"/>
          </w:tcPr>
          <w:p>
            <w:pPr>
              <w:spacing w:after="0"/>
              <w:rPr>
                <w:sz w:val="9"/>
                <w:szCs w:val="9"/>
                <w:color w:val="auto"/>
              </w:rPr>
            </w:pPr>
          </w:p>
        </w:tc>
        <w:tc>
          <w:tcPr>
            <w:tcW w:w="640" w:type="dxa"/>
            <w:vAlign w:val="bottom"/>
            <w:gridSpan w:val="3"/>
            <w:vMerge w:val="restart"/>
          </w:tcPr>
          <w:p>
            <w:pPr>
              <w:ind w:left="260"/>
              <w:spacing w:after="0"/>
              <w:rPr>
                <w:sz w:val="20"/>
                <w:szCs w:val="20"/>
                <w:color w:val="auto"/>
              </w:rPr>
            </w:pPr>
            <w:r>
              <w:rPr>
                <w:rFonts w:ascii="Arial" w:cs="Arial" w:eastAsia="Arial" w:hAnsi="Arial"/>
                <w:sz w:val="11"/>
                <w:szCs w:val="11"/>
                <w:b w:val="1"/>
                <w:bCs w:val="1"/>
                <w:color w:val="auto"/>
                <w:w w:val="81"/>
              </w:rPr>
              <w:t>Series A</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3"/>
            <w:vMerge w:val="restart"/>
          </w:tcPr>
          <w:p>
            <w:pPr>
              <w:jc w:val="center"/>
              <w:ind w:left="206"/>
              <w:spacing w:after="0"/>
              <w:rPr>
                <w:sz w:val="20"/>
                <w:szCs w:val="20"/>
                <w:color w:val="auto"/>
              </w:rPr>
            </w:pPr>
            <w:r>
              <w:rPr>
                <w:rFonts w:ascii="Arial" w:cs="Arial" w:eastAsia="Arial" w:hAnsi="Arial"/>
                <w:sz w:val="11"/>
                <w:szCs w:val="11"/>
                <w:b w:val="1"/>
                <w:bCs w:val="1"/>
                <w:color w:val="auto"/>
                <w:w w:val="86"/>
              </w:rPr>
              <w:t>Series B</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w w:val="81"/>
              </w:rPr>
              <w:t>Series C</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rPr>
              <w:t>Class A</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Class B</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rPr>
              <w:t>Comprehen</w:t>
            </w:r>
          </w:p>
        </w:tc>
        <w:tc>
          <w:tcPr>
            <w:tcW w:w="66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rPr>
              <w:t>Accumulat</w:t>
            </w:r>
          </w:p>
        </w:tc>
        <w:tc>
          <w:tcPr>
            <w:tcW w:w="72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rPr>
              <w:t>Noncontrolli</w:t>
            </w:r>
          </w:p>
        </w:tc>
        <w:tc>
          <w:tcPr>
            <w:tcW w:w="76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640" w:type="dxa"/>
            <w:vAlign w:val="bottom"/>
            <w:tcBorders>
              <w:bottom w:val="single" w:sz="8" w:color="auto"/>
            </w:tcBorders>
            <w:gridSpan w:val="3"/>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bottom w:val="single" w:sz="8" w:color="auto"/>
            </w:tcBorders>
            <w:gridSpan w:val="3"/>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2"/>
              </w:rPr>
              <w:t>Paid-In</w:t>
            </w:r>
          </w:p>
        </w:tc>
        <w:tc>
          <w:tcPr>
            <w:tcW w:w="100" w:type="dxa"/>
            <w:vAlign w:val="bottom"/>
          </w:tcPr>
          <w:p>
            <w:pPr>
              <w:spacing w:after="0"/>
              <w:rPr>
                <w:sz w:val="11"/>
                <w:szCs w:val="11"/>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3"/>
              </w:rPr>
              <w:t>sive</w:t>
            </w:r>
          </w:p>
        </w:tc>
        <w:tc>
          <w:tcPr>
            <w:tcW w:w="100" w:type="dxa"/>
            <w:vAlign w:val="bottom"/>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ed</w:t>
            </w:r>
          </w:p>
        </w:tc>
        <w:tc>
          <w:tcPr>
            <w:tcW w:w="80" w:type="dxa"/>
            <w:vAlign w:val="bottom"/>
          </w:tcPr>
          <w:p>
            <w:pPr>
              <w:spacing w:after="0"/>
              <w:rPr>
                <w:sz w:val="11"/>
                <w:szCs w:val="11"/>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ng</w:t>
            </w:r>
          </w:p>
        </w:tc>
        <w:tc>
          <w:tcPr>
            <w:tcW w:w="120" w:type="dxa"/>
            <w:vAlign w:val="bottom"/>
          </w:tcPr>
          <w:p>
            <w:pPr>
              <w:spacing w:after="0"/>
              <w:rPr>
                <w:sz w:val="11"/>
                <w:szCs w:val="11"/>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15"/>
        </w:trPr>
        <w:tc>
          <w:tcPr>
            <w:tcW w:w="2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gridSpan w:val="2"/>
          </w:tcPr>
          <w:p>
            <w:pPr>
              <w:ind w:left="40"/>
              <w:spacing w:after="0" w:line="115" w:lineRule="exact"/>
              <w:rPr>
                <w:sz w:val="20"/>
                <w:szCs w:val="20"/>
                <w:color w:val="auto"/>
              </w:rPr>
            </w:pPr>
            <w:r>
              <w:rPr>
                <w:rFonts w:ascii="Arial" w:cs="Arial" w:eastAsia="Arial" w:hAnsi="Arial"/>
                <w:sz w:val="11"/>
                <w:szCs w:val="11"/>
                <w:b w:val="1"/>
                <w:bCs w:val="1"/>
                <w:color w:val="auto"/>
                <w:w w:val="90"/>
              </w:rPr>
              <w:t>Am</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Amo</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Amo</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Amo</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9"/>
              </w:rPr>
              <w:t>Amo</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oun</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1"/>
                <w:szCs w:val="11"/>
                <w:b w:val="1"/>
                <w:bCs w:val="1"/>
                <w:color w:val="auto"/>
              </w:rPr>
              <w:t>unt</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1"/>
                <w:szCs w:val="11"/>
                <w:b w:val="1"/>
                <w:bCs w:val="1"/>
                <w:color w:val="auto"/>
              </w:rPr>
              <w:t>unt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81"/>
              </w:rPr>
              <w:t>Shares</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rPr>
              <w:t>unt</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unt</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t</w:t>
            </w:r>
          </w:p>
        </w:tc>
        <w:tc>
          <w:tcPr>
            <w:tcW w:w="120" w:type="dxa"/>
            <w:vAlign w:val="bottom"/>
          </w:tcPr>
          <w:p>
            <w:pPr>
              <w:spacing w:after="0"/>
              <w:rPr>
                <w:sz w:val="12"/>
                <w:szCs w:val="12"/>
                <w:color w:val="auto"/>
              </w:rPr>
            </w:pPr>
          </w:p>
        </w:tc>
        <w:tc>
          <w:tcPr>
            <w:tcW w:w="4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77"/>
              </w:rPr>
              <w:t>Loss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5"/>
              </w:rPr>
              <w:t>Deficit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87"/>
              </w:rPr>
              <w:t>Interests</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740" w:type="dxa"/>
            <w:vAlign w:val="bottom"/>
            <w:shd w:val="clear" w:color="auto" w:fill="CFF0FC"/>
          </w:tcPr>
          <w:p>
            <w:pPr>
              <w:ind w:left="20"/>
              <w:spacing w:after="0" w:line="123" w:lineRule="exact"/>
              <w:rPr>
                <w:sz w:val="20"/>
                <w:szCs w:val="20"/>
                <w:color w:val="auto"/>
              </w:rPr>
            </w:pPr>
            <w:r>
              <w:rPr>
                <w:rFonts w:ascii="Arial" w:cs="Arial" w:eastAsia="Arial" w:hAnsi="Arial"/>
                <w:sz w:val="11"/>
                <w:szCs w:val="11"/>
                <w:color w:val="auto"/>
              </w:rPr>
              <w:t>Balance at December 31, 2020</w:t>
            </w:r>
          </w:p>
        </w:tc>
        <w:tc>
          <w:tcPr>
            <w:tcW w:w="500" w:type="dxa"/>
            <w:vAlign w:val="bottom"/>
            <w:shd w:val="clear" w:color="auto" w:fill="CFF0FC"/>
          </w:tcPr>
          <w:p>
            <w:pPr>
              <w:jc w:val="right"/>
              <w:spacing w:after="0" w:line="123" w:lineRule="exact"/>
              <w:rPr>
                <w:sz w:val="20"/>
                <w:szCs w:val="20"/>
                <w:color w:val="auto"/>
              </w:rPr>
            </w:pPr>
            <w:r>
              <w:rPr>
                <w:rFonts w:ascii="Arial" w:cs="Arial" w:eastAsia="Arial" w:hAnsi="Arial"/>
                <w:sz w:val="11"/>
                <w:szCs w:val="11"/>
                <w:color w:val="auto"/>
              </w:rPr>
              <w:t>5,421,4</w:t>
            </w: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3" w:lineRule="exact"/>
              <w:rPr>
                <w:sz w:val="20"/>
                <w:szCs w:val="20"/>
                <w:color w:val="auto"/>
              </w:rPr>
            </w:pPr>
            <w:r>
              <w:rPr>
                <w:rFonts w:ascii="Arial" w:cs="Arial" w:eastAsia="Arial" w:hAnsi="Arial"/>
                <w:sz w:val="11"/>
                <w:szCs w:val="11"/>
                <w:color w:val="auto"/>
              </w:rPr>
              <w:t>3,158,3</w:t>
            </w: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3" w:lineRule="exact"/>
              <w:rPr>
                <w:sz w:val="20"/>
                <w:szCs w:val="20"/>
                <w:color w:val="auto"/>
              </w:rPr>
            </w:pPr>
            <w:r>
              <w:rPr>
                <w:rFonts w:ascii="Arial" w:cs="Arial" w:eastAsia="Arial" w:hAnsi="Arial"/>
                <w:sz w:val="11"/>
                <w:szCs w:val="11"/>
                <w:color w:val="auto"/>
              </w:rPr>
              <w:t>3,532,2</w:t>
            </w: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spacing w:after="0" w:line="123" w:lineRule="exact"/>
              <w:rPr>
                <w:sz w:val="20"/>
                <w:szCs w:val="20"/>
                <w:color w:val="auto"/>
              </w:rPr>
            </w:pPr>
            <w:r>
              <w:rPr>
                <w:rFonts w:ascii="Arial" w:cs="Arial" w:eastAsia="Arial" w:hAnsi="Arial"/>
                <w:sz w:val="11"/>
                <w:szCs w:val="11"/>
                <w:color w:val="auto"/>
              </w:rPr>
              <w:t>8,000,0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7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171,645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FF0FC"/>
          </w:tcPr>
          <w:p>
            <w:pPr>
              <w:jc w:val="center"/>
              <w:ind w:left="6"/>
              <w:spacing w:after="0"/>
              <w:rPr>
                <w:sz w:val="20"/>
                <w:szCs w:val="20"/>
                <w:color w:val="auto"/>
              </w:rPr>
            </w:pPr>
            <w:r>
              <w:rPr>
                <w:rFonts w:ascii="Arial" w:cs="Arial" w:eastAsia="Arial" w:hAnsi="Arial"/>
                <w:sz w:val="10"/>
                <w:szCs w:val="10"/>
                <w:color w:val="auto"/>
                <w:w w:val="71"/>
              </w:rPr>
              <w:t>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96,870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(63,983 )</w:t>
            </w: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(3 )</w:t>
            </w:r>
          </w:p>
        </w:tc>
        <w:tc>
          <w:tcPr>
            <w:tcW w:w="12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32,904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740" w:type="dxa"/>
            <w:vAlign w:val="bottom"/>
          </w:tcPr>
          <w:p>
            <w:pPr>
              <w:ind w:left="20"/>
              <w:spacing w:after="0" w:line="125" w:lineRule="exact"/>
              <w:rPr>
                <w:sz w:val="20"/>
                <w:szCs w:val="20"/>
                <w:color w:val="auto"/>
              </w:rPr>
            </w:pPr>
            <w:r>
              <w:rPr>
                <w:rFonts w:ascii="Arial" w:cs="Arial" w:eastAsia="Arial" w:hAnsi="Arial"/>
                <w:sz w:val="11"/>
                <w:szCs w:val="11"/>
                <w:color w:val="auto"/>
              </w:rPr>
              <w:t>Retroactive application of reverse recapitalization</w:t>
            </w: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(5,421,4</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(3,158,3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5" w:lineRule="exact"/>
              <w:rPr>
                <w:sz w:val="20"/>
                <w:szCs w:val="20"/>
                <w:color w:val="auto"/>
              </w:rPr>
            </w:pPr>
            <w:r>
              <w:rPr>
                <w:rFonts w:ascii="Arial" w:cs="Arial" w:eastAsia="Arial" w:hAnsi="Arial"/>
                <w:sz w:val="11"/>
                <w:szCs w:val="11"/>
                <w:color w:val="auto"/>
                <w:w w:val="98"/>
              </w:rPr>
              <w:t>(3,532,2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103,867,7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(8,000,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46 )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1"/>
                <w:szCs w:val="11"/>
                <w:color w:val="auto"/>
              </w:rPr>
              <w:t>(5 )</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38 )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1"/>
                <w:szCs w:val="11"/>
                <w:color w:val="auto"/>
              </w:rPr>
              <w:t>(3 )</w:t>
            </w:r>
          </w:p>
        </w:tc>
        <w:tc>
          <w:tcPr>
            <w:tcW w:w="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28 )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rPr>
              <w:t>(4 )</w:t>
            </w:r>
          </w:p>
        </w:tc>
        <w:tc>
          <w:tcPr>
            <w:tcW w:w="580" w:type="dxa"/>
            <w:vAlign w:val="bottom"/>
          </w:tcPr>
          <w:p>
            <w:pPr>
              <w:jc w:val="right"/>
              <w:spacing w:after="0"/>
              <w:rPr>
                <w:sz w:val="20"/>
                <w:szCs w:val="20"/>
                <w:color w:val="auto"/>
              </w:rPr>
            </w:pPr>
            <w:r>
              <w:rPr>
                <w:rFonts w:ascii="Arial" w:cs="Arial" w:eastAsia="Arial" w:hAnsi="Arial"/>
                <w:sz w:val="11"/>
                <w:szCs w:val="11"/>
                <w:color w:val="auto"/>
              </w:rPr>
              <w:t>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10</w:t>
            </w:r>
          </w:p>
        </w:tc>
        <w:tc>
          <w:tcPr>
            <w:tcW w:w="700" w:type="dxa"/>
            <w:vAlign w:val="bottom"/>
            <w:gridSpan w:val="3"/>
          </w:tcPr>
          <w:p>
            <w:pPr>
              <w:jc w:val="right"/>
              <w:ind w:right="60"/>
              <w:spacing w:after="0"/>
              <w:rPr>
                <w:sz w:val="20"/>
                <w:szCs w:val="20"/>
                <w:color w:val="auto"/>
              </w:rPr>
            </w:pPr>
            <w:r>
              <w:rPr>
                <w:rFonts w:ascii="Arial" w:cs="Arial" w:eastAsia="Arial" w:hAnsi="Arial"/>
                <w:sz w:val="11"/>
                <w:szCs w:val="11"/>
                <w:color w:val="auto"/>
              </w:rPr>
              <w:t>001 )</w:t>
            </w:r>
          </w:p>
        </w:tc>
        <w:tc>
          <w:tcPr>
            <w:tcW w:w="80" w:type="dxa"/>
            <w:vAlign w:val="bottom"/>
          </w:tcPr>
          <w:p>
            <w:pPr>
              <w:spacing w:after="0"/>
              <w:rPr>
                <w:sz w:val="12"/>
                <w:szCs w:val="1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1"/>
                <w:szCs w:val="11"/>
                <w:color w:val="auto"/>
              </w:rPr>
              <w:t>8 )</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740" w:type="dxa"/>
            <w:vAlign w:val="bottom"/>
            <w:shd w:val="clear" w:color="auto" w:fill="CFF0FC"/>
          </w:tcPr>
          <w:p>
            <w:pPr>
              <w:ind w:left="20"/>
              <w:spacing w:after="0" w:line="123" w:lineRule="exact"/>
              <w:rPr>
                <w:sz w:val="20"/>
                <w:szCs w:val="20"/>
                <w:color w:val="auto"/>
              </w:rPr>
            </w:pPr>
            <w:r>
              <w:rPr>
                <w:rFonts w:ascii="Arial" w:cs="Arial" w:eastAsia="Arial" w:hAnsi="Arial"/>
                <w:sz w:val="11"/>
                <w:szCs w:val="11"/>
                <w:color w:val="auto"/>
              </w:rPr>
              <w:t>Balance, December 31, 2020, as adjusted</w:t>
            </w: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23" w:lineRule="exact"/>
              <w:rPr>
                <w:sz w:val="20"/>
                <w:szCs w:val="20"/>
                <w:color w:val="auto"/>
              </w:rPr>
            </w:pPr>
            <w:r>
              <w:rPr>
                <w:rFonts w:ascii="Arial" w:cs="Arial" w:eastAsia="Arial" w:hAnsi="Arial"/>
                <w:sz w:val="11"/>
                <w:szCs w:val="11"/>
                <w:color w:val="auto"/>
              </w:rPr>
              <w:t>104,039,3</w:t>
            </w: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740" w:type="dxa"/>
            <w:vAlign w:val="bottom"/>
            <w:shd w:val="clear" w:color="auto" w:fill="CFF0FC"/>
          </w:tcPr>
          <w:p>
            <w:pPr>
              <w:spacing w:after="0"/>
              <w:rPr>
                <w:sz w:val="12"/>
                <w:szCs w:val="12"/>
                <w:color w:val="auto"/>
              </w:rPr>
            </w:pP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96,880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(63,983 )</w:t>
            </w: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(3 )</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32,904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1"/>
                <w:szCs w:val="11"/>
                <w:color w:val="auto"/>
              </w:rPr>
              <w:t>Purchase of non-controlling interest</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60" w:type="dxa"/>
            <w:vAlign w:val="bottom"/>
            <w:gridSpan w:val="2"/>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(203 )</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(200 )</w:t>
            </w:r>
          </w:p>
        </w:tc>
        <w:tc>
          <w:tcPr>
            <w:tcW w:w="0" w:type="dxa"/>
            <w:vAlign w:val="bottom"/>
          </w:tcPr>
          <w:p>
            <w:pPr>
              <w:spacing w:after="0"/>
              <w:rPr>
                <w:sz w:val="1"/>
                <w:szCs w:val="1"/>
                <w:color w:val="auto"/>
              </w:rPr>
            </w:pPr>
          </w:p>
        </w:tc>
      </w:tr>
      <w:tr>
        <w:trPr>
          <w:trHeight w:val="153"/>
        </w:trPr>
        <w:tc>
          <w:tcPr>
            <w:tcW w:w="274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Cashless exercise of common stock and warrants</w:t>
            </w: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3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999,185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740" w:type="dxa"/>
            <w:vAlign w:val="bottom"/>
          </w:tcPr>
          <w:p>
            <w:pPr>
              <w:ind w:left="20"/>
              <w:spacing w:after="0" w:line="125" w:lineRule="exact"/>
              <w:rPr>
                <w:sz w:val="20"/>
                <w:szCs w:val="20"/>
                <w:color w:val="auto"/>
              </w:rPr>
            </w:pPr>
            <w:r>
              <w:rPr>
                <w:rFonts w:ascii="Arial" w:cs="Arial" w:eastAsia="Arial" w:hAnsi="Arial"/>
                <w:sz w:val="11"/>
                <w:szCs w:val="11"/>
                <w:color w:val="auto"/>
                <w:w w:val="94"/>
              </w:rPr>
              <w:t>Issuance of common stock upon Merger, net of transaction</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10,525,99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1"/>
                <w:szCs w:val="11"/>
                <w:color w:val="auto"/>
              </w:rPr>
              <w:t>costs</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60" w:type="dxa"/>
            <w:vAlign w:val="bottom"/>
            <w:gridSpan w:val="2"/>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(95 )</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(94 )</w:t>
            </w:r>
          </w:p>
        </w:tc>
        <w:tc>
          <w:tcPr>
            <w:tcW w:w="0" w:type="dxa"/>
            <w:vAlign w:val="bottom"/>
          </w:tcPr>
          <w:p>
            <w:pPr>
              <w:spacing w:after="0"/>
              <w:rPr>
                <w:sz w:val="1"/>
                <w:szCs w:val="1"/>
                <w:color w:val="auto"/>
              </w:rPr>
            </w:pPr>
          </w:p>
        </w:tc>
      </w:tr>
      <w:tr>
        <w:trPr>
          <w:trHeight w:val="130"/>
        </w:trPr>
        <w:tc>
          <w:tcPr>
            <w:tcW w:w="274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PIPE shares</w:t>
            </w: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22,000,00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219,99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740" w:type="dxa"/>
            <w:vAlign w:val="bottom"/>
            <w:shd w:val="clear" w:color="auto" w:fill="CFF0FC"/>
          </w:tcPr>
          <w:p>
            <w:pPr>
              <w:spacing w:after="0"/>
              <w:rPr>
                <w:sz w:val="12"/>
                <w:szCs w:val="12"/>
                <w:color w:val="auto"/>
              </w:rPr>
            </w:pP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1"/>
                <w:szCs w:val="11"/>
                <w:color w:val="auto"/>
              </w:rPr>
              <w:t>Shares withheld on vesting of restricted stock</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60" w:type="dxa"/>
            <w:vAlign w:val="bottom"/>
            <w:gridSpan w:val="2"/>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(284 )</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(284 )</w:t>
            </w:r>
          </w:p>
        </w:tc>
        <w:tc>
          <w:tcPr>
            <w:tcW w:w="0" w:type="dxa"/>
            <w:vAlign w:val="bottom"/>
          </w:tcPr>
          <w:p>
            <w:pPr>
              <w:spacing w:after="0"/>
              <w:rPr>
                <w:sz w:val="1"/>
                <w:szCs w:val="1"/>
                <w:color w:val="auto"/>
              </w:rPr>
            </w:pPr>
          </w:p>
        </w:tc>
      </w:tr>
      <w:tr>
        <w:trPr>
          <w:trHeight w:val="153"/>
        </w:trPr>
        <w:tc>
          <w:tcPr>
            <w:tcW w:w="274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3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43,118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43,118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158,129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60" w:type="dxa"/>
            <w:vAlign w:val="bottom"/>
            <w:gridSpan w:val="2"/>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(81,508 )</w:t>
            </w: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(81,508 )</w:t>
            </w:r>
          </w:p>
        </w:tc>
        <w:tc>
          <w:tcPr>
            <w:tcW w:w="0" w:type="dxa"/>
            <w:vAlign w:val="bottom"/>
          </w:tcPr>
          <w:p>
            <w:pPr>
              <w:spacing w:after="0"/>
              <w:rPr>
                <w:sz w:val="1"/>
                <w:szCs w:val="1"/>
                <w:color w:val="auto"/>
              </w:rPr>
            </w:pPr>
          </w:p>
        </w:tc>
      </w:tr>
      <w:tr>
        <w:trPr>
          <w:trHeight w:val="123"/>
        </w:trPr>
        <w:tc>
          <w:tcPr>
            <w:tcW w:w="2740" w:type="dxa"/>
            <w:vAlign w:val="bottom"/>
            <w:tcBorders>
              <w:top w:val="single" w:sz="8" w:color="CFF0FC"/>
            </w:tcBorders>
          </w:tcPr>
          <w:p>
            <w:pPr>
              <w:ind w:left="20"/>
              <w:spacing w:after="0" w:line="123" w:lineRule="exact"/>
              <w:rPr>
                <w:sz w:val="20"/>
                <w:szCs w:val="20"/>
                <w:color w:val="auto"/>
              </w:rPr>
            </w:pPr>
            <w:r>
              <w:rPr>
                <w:rFonts w:ascii="Arial" w:cs="Arial" w:eastAsia="Arial" w:hAnsi="Arial"/>
                <w:sz w:val="11"/>
                <w:szCs w:val="11"/>
                <w:color w:val="auto"/>
              </w:rPr>
              <w:t>Balance at December 31, 2021</w:t>
            </w: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5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137,722,6</w:t>
            </w: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359,43</w:t>
            </w: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2"/>
                <w:szCs w:val="12"/>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260" w:type="dxa"/>
            <w:vAlign w:val="bottom"/>
            <w:gridSpan w:val="2"/>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w w:val="95"/>
              </w:rPr>
              <w:t>(145,491 )</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213,962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74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35,645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35,645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740" w:type="dxa"/>
            <w:vAlign w:val="bottom"/>
          </w:tcPr>
          <w:p>
            <w:pPr>
              <w:ind w:left="20"/>
              <w:spacing w:after="0" w:line="125" w:lineRule="exact"/>
              <w:rPr>
                <w:sz w:val="20"/>
                <w:szCs w:val="20"/>
                <w:color w:val="auto"/>
              </w:rPr>
            </w:pPr>
            <w:r>
              <w:rPr>
                <w:rFonts w:ascii="Arial" w:cs="Arial" w:eastAsia="Arial" w:hAnsi="Arial"/>
                <w:sz w:val="11"/>
                <w:szCs w:val="11"/>
                <w:color w:val="auto"/>
                <w:w w:val="89"/>
              </w:rPr>
              <w:t>Common stock issued upon vesting of restricted stock awards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rPr>
                <w:sz w:val="20"/>
                <w:szCs w:val="20"/>
                <w:color w:val="auto"/>
              </w:rPr>
            </w:pPr>
            <w:r>
              <w:rPr>
                <w:rFonts w:ascii="Arial" w:cs="Arial" w:eastAsia="Arial" w:hAnsi="Arial"/>
                <w:sz w:val="11"/>
                <w:szCs w:val="11"/>
                <w:color w:val="auto"/>
              </w:rPr>
              <w:t>and restricted stock units</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6,284,431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60" w:type="dxa"/>
            <w:vAlign w:val="bottom"/>
            <w:gridSpan w:val="2"/>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0"/>
        </w:trPr>
        <w:tc>
          <w:tcPr>
            <w:tcW w:w="2740" w:type="dxa"/>
            <w:vAlign w:val="bottom"/>
            <w:shd w:val="clear" w:color="auto" w:fill="CFF0FC"/>
          </w:tcPr>
          <w:p>
            <w:pPr>
              <w:ind w:left="20"/>
              <w:spacing w:after="0"/>
              <w:rPr>
                <w:sz w:val="20"/>
                <w:szCs w:val="20"/>
                <w:color w:val="auto"/>
              </w:rPr>
            </w:pPr>
            <w:r>
              <w:rPr>
                <w:rFonts w:ascii="Arial" w:cs="Arial" w:eastAsia="Arial" w:hAnsi="Arial"/>
                <w:sz w:val="11"/>
                <w:szCs w:val="11"/>
                <w:color w:val="auto"/>
                <w:w w:val="89"/>
              </w:rPr>
              <w:t>Shares repurchased for payment of tax withholdings and other</w:t>
            </w: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(2,421,27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740" w:type="dxa"/>
            <w:vAlign w:val="bottom"/>
            <w:shd w:val="clear" w:color="auto" w:fill="CFF0FC"/>
          </w:tcPr>
          <w:p>
            <w:pPr>
              <w:spacing w:after="0"/>
              <w:rPr>
                <w:sz w:val="12"/>
                <w:szCs w:val="12"/>
                <w:color w:val="auto"/>
              </w:rPr>
            </w:pP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4 )</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(8,103 )</w:t>
            </w: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(8,103 )</w:t>
            </w: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1,894,215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60" w:type="dxa"/>
            <w:vAlign w:val="bottom"/>
            <w:gridSpan w:val="2"/>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683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CFF0FC"/>
          </w:tcPr>
          <w:p>
            <w:pPr>
              <w:ind w:left="20"/>
              <w:spacing w:after="0"/>
              <w:rPr>
                <w:sz w:val="20"/>
                <w:szCs w:val="20"/>
                <w:color w:val="auto"/>
              </w:rPr>
            </w:pPr>
            <w:r>
              <w:rPr>
                <w:rFonts w:ascii="Arial" w:cs="Arial" w:eastAsia="Arial" w:hAnsi="Arial"/>
                <w:sz w:val="11"/>
                <w:szCs w:val="11"/>
                <w:color w:val="auto"/>
                <w:w w:val="88"/>
              </w:rPr>
              <w:t>Common stock and assumed equity awards in connection with</w:t>
            </w: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10,772,67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740" w:type="dxa"/>
            <w:vAlign w:val="bottom"/>
            <w:shd w:val="clear" w:color="auto" w:fill="CFF0FC"/>
          </w:tcPr>
          <w:p>
            <w:pPr>
              <w:ind w:left="20"/>
              <w:spacing w:after="0"/>
              <w:rPr>
                <w:sz w:val="20"/>
                <w:szCs w:val="20"/>
                <w:color w:val="auto"/>
              </w:rPr>
            </w:pPr>
            <w:r>
              <w:rPr>
                <w:rFonts w:ascii="Arial" w:cs="Arial" w:eastAsia="Arial" w:hAnsi="Arial"/>
                <w:sz w:val="11"/>
                <w:szCs w:val="11"/>
                <w:color w:val="auto"/>
              </w:rPr>
              <w:t>a business acquisition</w:t>
            </w: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59,409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59,410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rPr>
                <w:sz w:val="20"/>
                <w:szCs w:val="20"/>
                <w:color w:val="auto"/>
              </w:rPr>
            </w:pPr>
            <w:r>
              <w:rPr>
                <w:rFonts w:ascii="Arial" w:cs="Arial" w:eastAsia="Arial" w:hAnsi="Arial"/>
                <w:sz w:val="11"/>
                <w:szCs w:val="11"/>
                <w:color w:val="auto"/>
              </w:rPr>
              <w:t>Other comprehensive loss</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60" w:type="dxa"/>
            <w:vAlign w:val="bottom"/>
            <w:gridSpan w:val="2"/>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(17 )</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48"/>
        </w:trPr>
        <w:tc>
          <w:tcPr>
            <w:tcW w:w="274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w w:val="95"/>
              </w:rPr>
              <w:t>(157,130 )</w:t>
            </w: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(157,130 )</w:t>
            </w:r>
          </w:p>
        </w:tc>
        <w:tc>
          <w:tcPr>
            <w:tcW w:w="0" w:type="dxa"/>
            <w:vAlign w:val="bottom"/>
          </w:tcPr>
          <w:p>
            <w:pPr>
              <w:spacing w:after="0"/>
              <w:rPr>
                <w:sz w:val="1"/>
                <w:szCs w:val="1"/>
                <w:color w:val="auto"/>
              </w:rPr>
            </w:pPr>
          </w:p>
        </w:tc>
      </w:tr>
      <w:tr>
        <w:trPr>
          <w:trHeight w:val="123"/>
        </w:trPr>
        <w:tc>
          <w:tcPr>
            <w:tcW w:w="2740" w:type="dxa"/>
            <w:vAlign w:val="bottom"/>
            <w:tcBorders>
              <w:top w:val="single" w:sz="8" w:color="CFF0FC"/>
            </w:tcBorders>
          </w:tcPr>
          <w:p>
            <w:pPr>
              <w:ind w:left="20"/>
              <w:spacing w:after="0" w:line="123" w:lineRule="exact"/>
              <w:rPr>
                <w:sz w:val="20"/>
                <w:szCs w:val="20"/>
                <w:color w:val="auto"/>
              </w:rPr>
            </w:pPr>
            <w:r>
              <w:rPr>
                <w:rFonts w:ascii="Arial" w:cs="Arial" w:eastAsia="Arial" w:hAnsi="Arial"/>
                <w:sz w:val="11"/>
                <w:szCs w:val="11"/>
                <w:color w:val="auto"/>
              </w:rPr>
              <w:t>Balance at December 31, 2022</w:t>
            </w: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5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154,252,7</w:t>
            </w: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447,07</w:t>
            </w: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12"/>
                <w:szCs w:val="12"/>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3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12"/>
                <w:szCs w:val="12"/>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260" w:type="dxa"/>
            <w:vAlign w:val="bottom"/>
            <w:gridSpan w:val="2"/>
          </w:tcPr>
          <w:p>
            <w:pPr>
              <w:jc w:val="center"/>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(17 )</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w w:val="95"/>
              </w:rPr>
              <w:t>(302,621 )</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144,450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-1302385</wp:posOffset>
            </wp:positionV>
            <wp:extent cx="76835"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-1302385</wp:posOffset>
            </wp:positionV>
            <wp:extent cx="76835"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-1302385</wp:posOffset>
            </wp:positionV>
            <wp:extent cx="76835"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-1302385</wp:posOffset>
            </wp:positionV>
            <wp:extent cx="77470"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-1302385</wp:posOffset>
            </wp:positionV>
            <wp:extent cx="76835"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-1302385</wp:posOffset>
            </wp:positionV>
            <wp:extent cx="77470"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-1302385</wp:posOffset>
            </wp:positionV>
            <wp:extent cx="68580"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-1302385</wp:posOffset>
            </wp:positionV>
            <wp:extent cx="68580"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-1302385</wp:posOffset>
            </wp:positionV>
            <wp:extent cx="68580"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-1302385</wp:posOffset>
            </wp:positionV>
            <wp:extent cx="68580"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-1302385</wp:posOffset>
            </wp:positionV>
            <wp:extent cx="68580"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-1302385</wp:posOffset>
            </wp:positionV>
            <wp:extent cx="68580"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-1302385</wp:posOffset>
            </wp:positionV>
            <wp:extent cx="68580" cy="20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-1302385</wp:posOffset>
            </wp:positionV>
            <wp:extent cx="68580"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205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-205105</wp:posOffset>
            </wp:positionV>
            <wp:extent cx="76835"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-205105</wp:posOffset>
            </wp:positionV>
            <wp:extent cx="76835" cy="205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-205105</wp:posOffset>
            </wp:positionV>
            <wp:extent cx="76835"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-205105</wp:posOffset>
            </wp:positionV>
            <wp:extent cx="77470" cy="205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-205105</wp:posOffset>
            </wp:positionV>
            <wp:extent cx="76835"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-205105</wp:posOffset>
            </wp:positionV>
            <wp:extent cx="77470"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-205105</wp:posOffset>
            </wp:positionV>
            <wp:extent cx="68580"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-205105</wp:posOffset>
            </wp:positionV>
            <wp:extent cx="68580" cy="205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-205105</wp:posOffset>
            </wp:positionV>
            <wp:extent cx="68580"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-205105</wp:posOffset>
            </wp:positionV>
            <wp:extent cx="68580"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-205105</wp:posOffset>
            </wp:positionV>
            <wp:extent cx="68580"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-205105</wp:posOffset>
            </wp:positionV>
            <wp:extent cx="68580" cy="2057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-205105</wp:posOffset>
            </wp:positionV>
            <wp:extent cx="68580"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-205105</wp:posOffset>
            </wp:positionV>
            <wp:extent cx="68580" cy="205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205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ind w:left="3140"/>
        <w:spacing w:after="0"/>
        <w:rPr>
          <w:sz w:val="20"/>
          <w:szCs w:val="20"/>
          <w:color w:val="auto"/>
        </w:rPr>
      </w:pPr>
      <w:r>
        <w:rPr>
          <w:rFonts w:ascii="Arial" w:cs="Arial" w:eastAsia="Arial" w:hAnsi="Arial"/>
          <w:sz w:val="18"/>
          <w:szCs w:val="18"/>
          <w:b w:val="1"/>
          <w:bCs w:val="1"/>
          <w:color w:val="auto"/>
        </w:rPr>
        <w:t>SARCOS TECHNOLOGY AND ROBOTICS CORPORTATION</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Sarcos Technology and Robotics Corporation (the “Company” or “Sarcos”), designs and produces highly-dexterous mobile robotic systems and solutions for use in dynamic environments.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The consolidated financial statements include the accounts of the Company and its wholly owned subsidiaries. All intercompany accounts and transactions have been eliminated in consolidation. Certain prior year amounts have been reclassified to conform to current year presentation. The Company’s fiscal year begins on January 1 and ends on December 31.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24, 2021 (the “Closing Date”), the Company consummated the business combination (the “Business Combination”) pursuant to the terms of the Agreement and Plan of Merger, dated as of April 5, 2021, by and among Rotor Acquisition Corp.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Rotor. On the Closing Date, the Rotor changed its name from Rotor Acquisition Corp. to Sarcos Technology and Robotics Corporation.</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Immediately prior to the effective time of the Merger (the “Effective Time”), all issued and outstanding warrants to purchase shares of Class A common stock of Old Sarcos were net exercised and all issued and outstanding shares of preferred stock of Old Sarcos were converted into common stock of Old Sarcos (collectively, the “Old Sarcos Common Stock”). Pursuant to the terms of the Merger Agreement, at the Effective Time:</w:t>
      </w:r>
    </w:p>
    <w:p>
      <w:pPr>
        <w:spacing w:after="0" w:line="125" w:lineRule="exact"/>
        <w:rPr>
          <w:sz w:val="20"/>
          <w:szCs w:val="20"/>
          <w:color w:val="auto"/>
        </w:rPr>
      </w:pPr>
    </w:p>
    <w:p>
      <w:pPr>
        <w:jc w:val="both"/>
        <w:ind w:left="760" w:hanging="378"/>
        <w:spacing w:after="0" w:line="301"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outstanding share of Old Sarcos Common Stock, after giving effect to the conversion described above, was cancelled and converted into and became (i) the right to receive approximately 5.129222424 shares (the “Exchange Ratio”) of Common Stock of the Company, par value $0.0001 per share (the “Common Stock”), rounded down to the nearest whole share plus (ii) the contingent right to receive a portion of additional shares of Common Stock upon achievement of certain milestones (the “Contingent Merger Consideration”), as described below; and</w:t>
      </w:r>
    </w:p>
    <w:p>
      <w:pPr>
        <w:spacing w:after="0" w:line="130" w:lineRule="exact"/>
        <w:rPr>
          <w:rFonts w:ascii="Arial" w:cs="Arial" w:eastAsia="Arial" w:hAnsi="Arial"/>
          <w:sz w:val="16"/>
          <w:szCs w:val="16"/>
          <w:color w:val="auto"/>
        </w:rPr>
      </w:pPr>
    </w:p>
    <w:p>
      <w:pPr>
        <w:ind w:left="760" w:right="20" w:hanging="378"/>
        <w:spacing w:after="0" w:line="277"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outstanding options, restricted stock units (“RSUs”) and restricted stock award (“RSA”) of Old Sarcos, whether vested or unvested, were assumed by the Company and converted into options, RSUs and RSA of the Company;</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each holder of Old Sarcos capital stock (including the Old Sarcos RSA) was entitled to a right to Contingent Merger Consideration at the Closing Date in the form of earn-outs, up to an aggregate of 28,125,000 shares of Common Stock.</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the Closing Date, certain investors (the “PIPE Investors”) purchased from the Company an aggregate of 22,000,000 shares (the “PIPE Shares”) of Common Stock at a price of $10.00 per share, for an aggregate purchase price of $220.0 million (the “PIPE Financing”), in a private placement pursuant to separate subscription agreements (each, a “Subscription Agreement”) entered into effective as of April 5, 2021.</w:t>
      </w:r>
    </w:p>
    <w:p>
      <w:pPr>
        <w:spacing w:after="0" w:line="1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September 27, 2021, the Common Stock and warrants of Sarcos Technology and Robotics Corporation (formerly those of Rotor Acquisition Corp.), ceased trading on the New York Stock Exchange and began trading on The Nasdaq Global Market (“Nasdaq”) as “STRC” and “STRCW”, respectively.</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25, 2022, the Company acquired RE2, Inc., (“RE2”) a Pittsburgh, PA based developer of autonomous and teleoperated mobile robotic systems. The results presented herein include the activity of RE2 from the acquisition date through December 31, 2022. The Company's results do not include RE2’s financial information prior to the acquisition. For further detail see Note 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certain estimates and assumptions. These estimates and assumptions affect the reported amounts of assets and liabilities and disclosure of contingent assets and liabilities as of the balance sheet date, as well as reported amounts of revenue and expenses during the reporting period. The Company’s most significant estimates and judgments involve contract revenue recognized based on estimates of total contract costs and cost to complete uncompleted contracts, estimates of potential losses on uncompleted contracts, impairment evaluation of contract assets, goodwill and other long lived assets, assumptions used for leases, valuation allowance for net deferred income taxes and valuation of the Company’s stock-based compensation and warrants. Management bases its estimates on historical experience and on various other assumptions believed to be reasonable, the results of which form the basis for making judgments about the carrying values of assets and liabilities. Actual results could differ from those estimates.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cash equivalents and marketable securities were $114.5 million as of December 31, 2022, compared to $217.1 million as of December 31, 2021. The Company has historically incurred losses and negative cash flows from operations. As of December 31, 2022, the Company also had an accumulated deficit of approximately $302.6 million and working capital of $118.6 million.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financial statements have been prepared in accordance with GAAP and this basis assumes the Company will continue as a going concern, which contemplates the realization of assets and the satisfaction of liabilities and commitments in the normal course of business. The Company’s main sources of liquidity have been cash generated by equity offerings. The Company’s primary use of cash is for operations and administrative activities including employee-related expenses, and general, operating and overhead expenses. Future capital requirements will depend on many factors, including the Company’s timing and extent of development efforts, the expansion of sales and marketing activities, customer growth rate, customer retention, the introduction of new and enhanced product offerings and market acceptance of the Company’s products. The Company believes it has sufficient financial resources for at least the next 12 months from the date of this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cash equivalents, marketable securities, accounts receivable and unbilled receivables. The Company’s cash is placed with high-credit-quality financial institutions and issuers, and at times exceed federally insured limits. The Company's cash equivalents and marketable securities are money market funds or U.S. Treasury bills with maturity dates within one year. The Company has not realized any losses relating to its cash, cash equivalents or marketable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three of our customers accounted for more than 10% of the Company’s accounts receivable, which in total represented 81% of the accounts receivable as of December 31, 2022. As of December 31, 2021, one customer accounted for more than 10% of the Company’s accounts receivable, which in total represented 81% of the accounts receivable as of December 31,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Three and five customers accounted for more than 10% of the Company’s revenue for each of the years ended December 31, 2022 and 2021, respectively. These concentrations accounted for 74% and 87% of revenue for the years ended December 31, 2022 and 2021, respectively. The total amount of revenue for each such customer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26"/>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Customer A</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1,884</w:t>
            </w: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color w:val="auto"/>
              </w:rPr>
              <w:t>Customer B</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Customer C</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*NM</w:t>
            </w: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color w:val="auto"/>
              </w:rPr>
              <w:t>Customer 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5,988</w:t>
            </w: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Customer E</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*NM</w:t>
            </w: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FF0FC"/>
          </w:tcPr>
          <w:p>
            <w:pPr>
              <w:spacing w:after="0"/>
              <w:rPr>
                <w:sz w:val="20"/>
                <w:szCs w:val="20"/>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6"/>
                <w:szCs w:val="16"/>
                <w:color w:val="auto"/>
              </w:rPr>
              <w:t>Customer F</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2,848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8"/>
                <w:szCs w:val="18"/>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 as the customer’s related revenue was less than 10% of the Company’s revenue for the respective year.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cash as deposits held in bank accounts and undeposited funds. All highly liquid investments with an original maturity of three months or less at the time of purchase are considered to be cash equivalents. The Company’s cash equivalents may be comprised of money market funds, certificates of deposit of major financial institutions and U.S. Treasury bills.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Receivables are recorded at the amount the Company expects to collect. Management determines the need for an allowance for doubtful receivables using a specific identification method after taking into account all of its remedies for collection. Account balances are charged off against the allowance after all means of collection have been exhausted and the potential for recovery is considered remote. Recoveries of receivables previously written off are recorded when payment is received as other income. Management determined no allowance for doubtful receivables was necessary as of December 31, 2022 and 2021. Receivables are comprised of amounts invoiced for completed contracts and contracts in progress. As of December 31, 2022 and 2021, no amounts have been written off or provided for recoverability.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Inventories primarily consist of raw materials, work-in-process and finished goods. Inventories are stated at the lower of cost or estimated net realizable value. Costs are computed on the first-in, first-out basis and include material, labor and manufacturing overhead. Adjustments are also made to reduce the cost of inventory for estimated excess or obsolete balance by evaluating inventory against forecasted revenue and production requirements.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is carried at acquisition cost less accumulated depreciation. Depreciation is computed using the straight-line method based on the estimated useful lives of the related assets. The estimated useful lives by asset classification are generally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60" w:type="dxa"/>
            <w:vAlign w:val="bottom"/>
          </w:tcPr>
          <w:p>
            <w:pPr>
              <w:spacing w:after="0"/>
              <w:rPr>
                <w:sz w:val="19"/>
                <w:szCs w:val="19"/>
                <w:color w:val="auto"/>
              </w:rPr>
            </w:pPr>
          </w:p>
        </w:tc>
        <w:tc>
          <w:tcPr>
            <w:tcW w:w="55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Useful life</w:t>
            </w:r>
          </w:p>
        </w:tc>
      </w:tr>
      <w:tr>
        <w:trPr>
          <w:trHeight w:val="229"/>
        </w:trPr>
        <w:tc>
          <w:tcPr>
            <w:tcW w:w="5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Robotics and manufacturing equipment</w:t>
            </w:r>
          </w:p>
        </w:tc>
        <w:tc>
          <w:tcPr>
            <w:tcW w:w="55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8"/>
              </w:rPr>
              <w:t>3 – 10 years</w:t>
            </w:r>
          </w:p>
        </w:tc>
      </w:tr>
      <w:tr>
        <w:trPr>
          <w:trHeight w:val="220"/>
        </w:trPr>
        <w:tc>
          <w:tcPr>
            <w:tcW w:w="5660" w:type="dxa"/>
            <w:vAlign w:val="bottom"/>
          </w:tcPr>
          <w:p>
            <w:pPr>
              <w:ind w:left="20"/>
              <w:spacing w:after="0"/>
              <w:rPr>
                <w:sz w:val="20"/>
                <w:szCs w:val="20"/>
                <w:color w:val="auto"/>
              </w:rPr>
            </w:pPr>
            <w:r>
              <w:rPr>
                <w:rFonts w:ascii="Arial" w:cs="Arial" w:eastAsia="Arial" w:hAnsi="Arial"/>
                <w:sz w:val="16"/>
                <w:szCs w:val="16"/>
                <w:color w:val="auto"/>
              </w:rPr>
              <w:t>Computer equipment</w:t>
            </w:r>
          </w:p>
        </w:tc>
        <w:tc>
          <w:tcPr>
            <w:tcW w:w="2540" w:type="dxa"/>
            <w:vAlign w:val="bottom"/>
          </w:tcPr>
          <w:p>
            <w:pPr>
              <w:jc w:val="right"/>
              <w:spacing w:after="0"/>
              <w:rPr>
                <w:sz w:val="20"/>
                <w:szCs w:val="20"/>
                <w:color w:val="auto"/>
              </w:rPr>
            </w:pPr>
            <w:r>
              <w:rPr>
                <w:rFonts w:ascii="Arial" w:cs="Arial" w:eastAsia="Arial" w:hAnsi="Arial"/>
                <w:sz w:val="16"/>
                <w:szCs w:val="16"/>
                <w:color w:val="auto"/>
              </w:rPr>
              <w:t>3</w:t>
            </w:r>
          </w:p>
        </w:tc>
        <w:tc>
          <w:tcPr>
            <w:tcW w:w="3040" w:type="dxa"/>
            <w:vAlign w:val="bottom"/>
          </w:tcPr>
          <w:p>
            <w:pPr>
              <w:ind w:left="20"/>
              <w:spacing w:after="0"/>
              <w:rPr>
                <w:sz w:val="20"/>
                <w:szCs w:val="20"/>
                <w:color w:val="auto"/>
              </w:rPr>
            </w:pPr>
            <w:r>
              <w:rPr>
                <w:rFonts w:ascii="Arial" w:cs="Arial" w:eastAsia="Arial" w:hAnsi="Arial"/>
                <w:sz w:val="16"/>
                <w:szCs w:val="16"/>
                <w:color w:val="auto"/>
              </w:rPr>
              <w:t>– 5 years</w:t>
            </w:r>
          </w:p>
        </w:tc>
      </w:tr>
      <w:tr>
        <w:trPr>
          <w:trHeight w:val="239"/>
        </w:trPr>
        <w:tc>
          <w:tcPr>
            <w:tcW w:w="5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Software</w:t>
            </w:r>
          </w:p>
        </w:tc>
        <w:tc>
          <w:tcPr>
            <w:tcW w:w="2540" w:type="dxa"/>
            <w:vAlign w:val="bottom"/>
            <w:shd w:val="clear" w:color="auto" w:fill="CFF0FC"/>
          </w:tcPr>
          <w:p>
            <w:pPr>
              <w:spacing w:after="0"/>
              <w:rPr>
                <w:sz w:val="20"/>
                <w:szCs w:val="20"/>
                <w:color w:val="auto"/>
              </w:rPr>
            </w:pPr>
          </w:p>
        </w:tc>
        <w:tc>
          <w:tcPr>
            <w:tcW w:w="3040" w:type="dxa"/>
            <w:vAlign w:val="bottom"/>
            <w:shd w:val="clear" w:color="auto" w:fill="CFF0FC"/>
          </w:tcPr>
          <w:p>
            <w:pPr>
              <w:jc w:val="center"/>
              <w:ind w:right="2459"/>
              <w:spacing w:after="0"/>
              <w:rPr>
                <w:sz w:val="20"/>
                <w:szCs w:val="20"/>
                <w:color w:val="auto"/>
              </w:rPr>
            </w:pPr>
            <w:r>
              <w:rPr>
                <w:rFonts w:ascii="Arial" w:cs="Arial" w:eastAsia="Arial" w:hAnsi="Arial"/>
                <w:sz w:val="16"/>
                <w:szCs w:val="16"/>
                <w:color w:val="auto"/>
                <w:w w:val="87"/>
              </w:rPr>
              <w:t>3 years</w:t>
            </w:r>
          </w:p>
        </w:tc>
      </w:tr>
      <w:tr>
        <w:trPr>
          <w:trHeight w:val="220"/>
        </w:trPr>
        <w:tc>
          <w:tcPr>
            <w:tcW w:w="566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2540" w:type="dxa"/>
            <w:vAlign w:val="bottom"/>
          </w:tcPr>
          <w:p>
            <w:pPr>
              <w:jc w:val="right"/>
              <w:spacing w:after="0"/>
              <w:rPr>
                <w:sz w:val="20"/>
                <w:szCs w:val="20"/>
                <w:color w:val="auto"/>
              </w:rPr>
            </w:pPr>
            <w:r>
              <w:rPr>
                <w:rFonts w:ascii="Arial" w:cs="Arial" w:eastAsia="Arial" w:hAnsi="Arial"/>
                <w:sz w:val="16"/>
                <w:szCs w:val="16"/>
                <w:color w:val="auto"/>
              </w:rPr>
              <w:t>3</w:t>
            </w:r>
          </w:p>
        </w:tc>
        <w:tc>
          <w:tcPr>
            <w:tcW w:w="3040" w:type="dxa"/>
            <w:vAlign w:val="bottom"/>
          </w:tcPr>
          <w:p>
            <w:pPr>
              <w:ind w:left="20"/>
              <w:spacing w:after="0"/>
              <w:rPr>
                <w:sz w:val="20"/>
                <w:szCs w:val="20"/>
                <w:color w:val="auto"/>
              </w:rPr>
            </w:pPr>
            <w:r>
              <w:rPr>
                <w:rFonts w:ascii="Arial" w:cs="Arial" w:eastAsia="Arial" w:hAnsi="Arial"/>
                <w:sz w:val="16"/>
                <w:szCs w:val="16"/>
                <w:color w:val="auto"/>
              </w:rPr>
              <w:t>– 5 years</w:t>
            </w:r>
          </w:p>
        </w:tc>
      </w:tr>
      <w:tr>
        <w:trPr>
          <w:trHeight w:val="216"/>
        </w:trPr>
        <w:tc>
          <w:tcPr>
            <w:tcW w:w="5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Leasehold improvements</w:t>
            </w:r>
          </w:p>
        </w:tc>
        <w:tc>
          <w:tcPr>
            <w:tcW w:w="55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2"/>
              </w:rPr>
              <w:t>Lesser of the useful life or the</w:t>
            </w:r>
          </w:p>
        </w:tc>
      </w:tr>
      <w:tr>
        <w:trPr>
          <w:trHeight w:val="226"/>
        </w:trPr>
        <w:tc>
          <w:tcPr>
            <w:tcW w:w="5660" w:type="dxa"/>
            <w:vAlign w:val="bottom"/>
            <w:shd w:val="clear" w:color="auto" w:fill="CFF0FC"/>
          </w:tcPr>
          <w:p>
            <w:pPr>
              <w:spacing w:after="0"/>
              <w:rPr>
                <w:sz w:val="19"/>
                <w:szCs w:val="19"/>
                <w:color w:val="auto"/>
              </w:rPr>
            </w:pPr>
          </w:p>
        </w:tc>
        <w:tc>
          <w:tcPr>
            <w:tcW w:w="55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1"/>
              </w:rPr>
              <w:t>remaining term of the lease</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Expenditures for maintenance and repairs are expensed when incurred and betterments that extend the useful lives of property and equipment are capitalized. When assets are retired or disposed, the asset’s original cost and related accumulated depreciation are eliminated, and any gain or loss is reflected in the statement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January 1, 2022, the Company adopted Accounting Standard Update 2016-02 (ASU 2016-02), Lease (Topic 842), which superseded previous guidance related to accounting for leases. In accordance with ASC 842, the Company, at the inception of the contract, determines whether a contract is or contains a lease. For leases with terms greater than 12 months, the Company records the related operating or finance right of use asset and lease liability at the present value of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the term of a lease. Renewal options are not included in the measurement of the right of use assets and lease liabilities unless the Company is reasonably certain to exercise the optional renewal periods.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the Company's leases contain rent escalations over the lease term. The Company recognizes expense for operating leases on a straight-line basis over the lease term. The Company’s lease agreements contain variable lease payments for common area maintenance, utility, insurance, and tax. The Company has elected the practical expedient to combine lease and non-lease components for all asset categories. Therefore, the lease payments used to measure the lease liability for these leases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5" w:name="page86"/>
    <w:bookmarkEnd w:id="85"/>
    <w:p>
      <w:pPr>
        <w:jc w:val="both"/>
        <w:spacing w:after="0" w:line="277" w:lineRule="auto"/>
        <w:rPr>
          <w:sz w:val="20"/>
          <w:szCs w:val="20"/>
          <w:color w:val="auto"/>
        </w:rPr>
      </w:pPr>
      <w:r>
        <w:rPr>
          <w:rFonts w:ascii="Arial" w:cs="Arial" w:eastAsia="Arial" w:hAnsi="Arial"/>
          <w:sz w:val="18"/>
          <w:szCs w:val="18"/>
          <w:color w:val="auto"/>
        </w:rPr>
        <w:t>include fixed minimum rentals along with fixed non-lease component charges. The Company does not have significant residual value guarantees or restrictive covenants in the lease portfolio.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evaluates its long-lived asset for indicators of possible impairment when events or changes in circumstances indicate the carrying amount of an asset may not be recoverable. Impairment exists if the carrying amounts of such assets exceed the estimates of future net undiscounted cash flows expected to be generated by such assets. No impairment loss was recognized related to these assets during the years ended December 31, 2022 and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Goodwill is initially recorded when the purchase price paid for a business acquisition exceeds the estimated fair value of the net identified tangible and intangible assets acquired. All of the Company's goodwill was recognized as part of the RE2 acquisition during 2022. The Company evaluates goodwill at the reporting unit level for impairment annually, or when an indicator of potential impairment exists. The Company has one reporting unit.</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testing goodwill for impairment, the Company has the option of first performing a qualitative assessment to determine whether it is more likely than not that the fair value of the reporting unit is less than its carrying amount. If the Company elects to bypass the qualitative assessment, or if a qualitative assessment indicates it is more likely than not that its carrying value exceeds its fair value, the Company performs a quantitative goodwill impairment test. Under the quantitative goodwill impairment test, if the reporting unit’s carrying amount exceeds its fair value, the Company will record an impairment charge based on that difference.</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determine reporting unit fair value as part of the quantitative test, the Company uses the income approach. Under the income approach, the Company projects the future cash flows and discounts these cash flows to reflect their relative risk. The cash flows used are consistent with those the Company uses in its internal planning, which reflects the Company's long-term business strategy.</w:t>
      </w:r>
    </w:p>
    <w:p>
      <w:pPr>
        <w:spacing w:after="0" w:line="14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order to further validate the reasonableness of fair value as determined by the income approach described above, a reconciliation to market capitalization is then performed by estimating a reasonable control premium and other market factors. Future changes in the judgments, assumptions and estimates that are used in the impairment testing for goodwill could result in significantly different estimates of fair value. Based on the Company's quantitative goodwill impairment test, that it performed during the fourth quarter of 2022, it concluded that the carrying value of its reporting unit exceeded its fair value and that goodwill was fully impaired as of December 31, 2022. The Company recorded a $70.2 million non-cash goodwill impairment charge for the twelve months ended December 31, 2022. For details associated with the Company's goodwill impairment testing, see Note 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revenue from the sale of its products and from the delivery of goods and services arising out of its contractual arrangements to provide product development contract services that are funded by the customer. The Company recognizes revenue when promised goods or services are transferred to customers in an amount that reflects the consideration to which the Company expects to be entitled in exchange for those goods or services by following a five-step process:</w:t>
      </w:r>
    </w:p>
    <w:p>
      <w:pPr>
        <w:spacing w:after="0" w:line="187" w:lineRule="exact"/>
        <w:rPr>
          <w:sz w:val="20"/>
          <w:szCs w:val="20"/>
          <w:color w:val="auto"/>
        </w:rPr>
      </w:pPr>
    </w:p>
    <w:p>
      <w:pPr>
        <w:jc w:val="both"/>
        <w:ind w:firstLine="8"/>
        <w:spacing w:after="0" w:line="273" w:lineRule="auto"/>
        <w:tabs>
          <w:tab w:leader="none" w:pos="202" w:val="left"/>
        </w:tabs>
        <w:numPr>
          <w:ilvl w:val="0"/>
          <w:numId w:val="4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Identify the contract with a customer: </w:t>
      </w:r>
      <w:r>
        <w:rPr>
          <w:rFonts w:ascii="Arial" w:cs="Arial" w:eastAsia="Arial" w:hAnsi="Arial"/>
          <w:sz w:val="17"/>
          <w:szCs w:val="17"/>
          <w:color w:val="auto"/>
        </w:rPr>
        <w:t>A contract with a customer exists when (i) the Company enters into an enforceable contract with a customer that</w:t>
      </w:r>
      <w:r>
        <w:rPr>
          <w:rFonts w:ascii="Arial" w:cs="Arial" w:eastAsia="Arial" w:hAnsi="Arial"/>
          <w:sz w:val="17"/>
          <w:szCs w:val="17"/>
          <w:i w:val="1"/>
          <w:iCs w:val="1"/>
          <w:color w:val="auto"/>
        </w:rPr>
        <w:t xml:space="preserve"> </w:t>
      </w:r>
      <w:r>
        <w:rPr>
          <w:rFonts w:ascii="Arial" w:cs="Arial" w:eastAsia="Arial" w:hAnsi="Arial"/>
          <w:sz w:val="17"/>
          <w:szCs w:val="17"/>
          <w:color w:val="auto"/>
        </w:rPr>
        <w:t>defines each party’s rights and obligations regarding the products and services to be transferred and identifies the payment terms related to these products and services, (ii) the contract has commercial substance and (iii) the Company determines that collection of substantially all consideration for products and services that are transferred is probable based on the customer’s intent and ability to pay the promised consideration. Contract modifications may include changes in scope of work, and/or the period of completion of the project. The Company analyzes contract modifications to determine if they should be accounted for as a modification to an existing contract or a new stand-alone contract.</w:t>
      </w:r>
    </w:p>
    <w:p>
      <w:pPr>
        <w:spacing w:after="0" w:line="177" w:lineRule="exact"/>
        <w:rPr>
          <w:rFonts w:ascii="Arial" w:cs="Arial" w:eastAsia="Arial" w:hAnsi="Arial"/>
          <w:sz w:val="17"/>
          <w:szCs w:val="17"/>
          <w:i w:val="1"/>
          <w:iCs w:val="1"/>
          <w:color w:val="auto"/>
        </w:rPr>
      </w:pPr>
    </w:p>
    <w:p>
      <w:pPr>
        <w:jc w:val="both"/>
        <w:ind w:firstLine="8"/>
        <w:spacing w:after="0" w:line="259" w:lineRule="auto"/>
        <w:tabs>
          <w:tab w:leader="none" w:pos="203"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Identify the performance obligations in the contract: </w:t>
      </w:r>
      <w:r>
        <w:rPr>
          <w:rFonts w:ascii="Arial" w:cs="Arial" w:eastAsia="Arial" w:hAnsi="Arial"/>
          <w:sz w:val="18"/>
          <w:szCs w:val="18"/>
          <w:color w:val="auto"/>
        </w:rPr>
        <w:t>The Company enters into contracts that can include combinations of products and services,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either capable of being distinct and accounted for as separate performance obligations or as one performance obligation if the majority of tasks and services form a single project or capability. Determining whether products or services are considered distinct performance obligations that should be accounted for separately may require significant judgment.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6" w:name="page87"/>
    <w:bookmarkEnd w:id="86"/>
    <w:p>
      <w:pPr>
        <w:jc w:val="both"/>
        <w:ind w:firstLine="8"/>
        <w:spacing w:after="0" w:line="270" w:lineRule="auto"/>
        <w:tabs>
          <w:tab w:leader="none" w:pos="205" w:val="left"/>
        </w:tabs>
        <w:numPr>
          <w:ilvl w:val="0"/>
          <w:numId w:val="4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Determine the transaction price: </w:t>
      </w:r>
      <w:r>
        <w:rPr>
          <w:rFonts w:ascii="Arial" w:cs="Arial" w:eastAsia="Arial" w:hAnsi="Arial"/>
          <w:sz w:val="17"/>
          <w:szCs w:val="17"/>
          <w:color w:val="auto"/>
        </w:rPr>
        <w:t>The transaction price is determined based on the consideration to which the Company will be entitled to in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w:t>
      </w:r>
    </w:p>
    <w:p>
      <w:pPr>
        <w:spacing w:after="0" w:line="180" w:lineRule="exact"/>
        <w:rPr>
          <w:rFonts w:ascii="Arial" w:cs="Arial" w:eastAsia="Arial" w:hAnsi="Arial"/>
          <w:sz w:val="17"/>
          <w:szCs w:val="17"/>
          <w:i w:val="1"/>
          <w:iCs w:val="1"/>
          <w:color w:val="auto"/>
        </w:rPr>
      </w:pPr>
    </w:p>
    <w:p>
      <w:pPr>
        <w:jc w:val="both"/>
        <w:ind w:firstLine="8"/>
        <w:spacing w:after="0" w:line="253" w:lineRule="auto"/>
        <w:tabs>
          <w:tab w:leader="none" w:pos="202"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Allocate the transaction price to performance obligations in the contract: </w:t>
      </w:r>
      <w:r>
        <w:rPr>
          <w:rFonts w:ascii="Arial" w:cs="Arial" w:eastAsia="Arial" w:hAnsi="Arial"/>
          <w:sz w:val="18"/>
          <w:szCs w:val="18"/>
          <w:color w:val="auto"/>
        </w:rPr>
        <w:t>Once the Company has determined the transaction price, the total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we would sell the good(s) or service(s) to a customer on a standalone basis. For government contracts, the Company uses expected cost plus a margin as the standalone selling price. Because our contract pricing with government customers is generally based on expected cost plus margin, the standalone selling price of the good(s) or service(s) in our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spacing w:after="0" w:line="196" w:lineRule="exact"/>
        <w:rPr>
          <w:rFonts w:ascii="Arial" w:cs="Arial" w:eastAsia="Arial" w:hAnsi="Arial"/>
          <w:sz w:val="18"/>
          <w:szCs w:val="18"/>
          <w:i w:val="1"/>
          <w:iCs w:val="1"/>
          <w:color w:val="auto"/>
        </w:rPr>
      </w:pPr>
    </w:p>
    <w:p>
      <w:pPr>
        <w:jc w:val="both"/>
        <w:ind w:firstLine="8"/>
        <w:spacing w:after="0" w:line="288" w:lineRule="auto"/>
        <w:tabs>
          <w:tab w:leader="none" w:pos="20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Recognize revenue when or as the Company satisfies a performance obligation</w:t>
      </w:r>
      <w:r>
        <w:rPr>
          <w:rFonts w:ascii="Arial" w:cs="Arial" w:eastAsia="Arial" w:hAnsi="Arial"/>
          <w:sz w:val="16"/>
          <w:szCs w:val="16"/>
          <w:color w:val="auto"/>
        </w:rPr>
        <w:t>: For each performance obligation identified, the Company determines at</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inception whether it satisfies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 costs to satisfy the performance obligation. The Company believes that costs incurred as a portion of total estimated costs is an appropriate measure of progress towards satisfaction of the performance obligation since this measure reasonably depicts the progress of the work effort. Revenue for performance obligations that are not recognized over time are recognized at the point in time when 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derives its revenue from two sources. First, the Company enters into research and development agreements primarily relating to the commercialization of the Company’s products. Second, the Company sells its products and related parts and repair services. Product development contract revenue includes revenue arising from different types of contractual arrangements, including cost-type contracts and fixed-price contracts. Product revenue primarily includes sales of the Company's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Contract Revenue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Cost-type contracts </w:t>
      </w:r>
      <w:r>
        <w:rPr>
          <w:rFonts w:ascii="Arial" w:cs="Arial" w:eastAsia="Arial" w:hAnsi="Arial"/>
          <w:sz w:val="17"/>
          <w:szCs w:val="17"/>
          <w:color w:val="auto"/>
        </w:rPr>
        <w:t>– Research, development and/or testing service contracts, including cost-plus-fixed-fee and time and material contracts, relate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to the development of our robotics systems and related technology. Cost-type contracts are generally entered into with the U.S. government. These contracts are billed at cost plus a margin as defined by the contract and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 Fixed-price development contracts relate primarily to the development of technology in the area of robotic platforms. Fixed-price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we will generate more or less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profit or could incur a loss. The Company will recognize losses at the contract level in earnings in the period in which they are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Product revenue relate to sales of the Company’s commercially available products, and certain miscellaneous parts, accessories and repair services. The Company provides a limited one-year warranty on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revenue recognized for Product Development Contract Revenue and Product Revenue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w w:val="98"/>
              </w:rPr>
              <w:t>For the year ended December 31,</w:t>
            </w:r>
          </w:p>
        </w:tc>
        <w:tc>
          <w:tcPr>
            <w:tcW w:w="100" w:type="dxa"/>
            <w:vAlign w:val="bottom"/>
          </w:tcPr>
          <w:p>
            <w:pPr>
              <w:spacing w:after="0"/>
              <w:rPr>
                <w:sz w:val="19"/>
                <w:szCs w:val="19"/>
                <w:color w:val="auto"/>
              </w:rPr>
            </w:pPr>
          </w:p>
        </w:tc>
      </w:tr>
      <w:tr>
        <w:trPr>
          <w:trHeight w:val="227"/>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Product Development Contract Revenue</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14,239</w:t>
            </w:r>
          </w:p>
        </w:tc>
        <w:tc>
          <w:tcPr>
            <w:tcW w:w="6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3,584</w:t>
            </w:r>
          </w:p>
        </w:tc>
        <w:tc>
          <w:tcPr>
            <w:tcW w:w="100" w:type="dxa"/>
            <w:vAlign w:val="bottom"/>
            <w:shd w:val="clear" w:color="auto" w:fill="CFF0FC"/>
          </w:tcPr>
          <w:p>
            <w:pPr>
              <w:spacing w:after="0"/>
              <w:rPr>
                <w:sz w:val="19"/>
                <w:szCs w:val="19"/>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6"/>
                <w:szCs w:val="16"/>
                <w:color w:val="auto"/>
              </w:rPr>
              <w:t>Product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w:t>
            </w:r>
          </w:p>
        </w:tc>
        <w:tc>
          <w:tcPr>
            <w:tcW w:w="100" w:type="dxa"/>
            <w:vAlign w:val="bottom"/>
          </w:tcPr>
          <w:p>
            <w:pPr>
              <w:spacing w:after="0"/>
              <w:rPr>
                <w:sz w:val="19"/>
                <w:szCs w:val="19"/>
                <w:color w:val="auto"/>
              </w:rPr>
            </w:pPr>
          </w:p>
        </w:tc>
      </w:tr>
      <w:tr>
        <w:trPr>
          <w:trHeight w:val="263"/>
        </w:trPr>
        <w:tc>
          <w:tcPr>
            <w:tcW w:w="7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Revenue, net</w:t>
            </w: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14,569</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5,075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timing of revenue recognition, billing, and cash collection results in the recognition of accounts receivable, unbilled receivables, contract assets, and deferred revenue in the Company’s consolidated balance sheets.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funds received in excess of revenue recognized that is contingent upon the satisfaction of performance obligations is accounted for as deferred revenue.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assets include unbilled receivables which are amounts resulting from timing differences between revenue recognition and billing in accordance with agreed-upon contractual terms, which typically occur subsequent to revenue being recognized.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opening and closing balances of our accounts receivable, unbilled receivables, contract assets and deferred revenue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Contract</w:t>
            </w:r>
          </w:p>
        </w:tc>
        <w:tc>
          <w:tcPr>
            <w:tcW w:w="10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Contract</w:t>
            </w:r>
          </w:p>
        </w:tc>
        <w:tc>
          <w:tcPr>
            <w:tcW w:w="14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Deferred</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0"/>
              </w:rPr>
              <w:t>Accounts</w:t>
            </w:r>
          </w:p>
        </w:tc>
        <w:tc>
          <w:tcPr>
            <w:tcW w:w="14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Unbilled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7"/>
                <w:szCs w:val="17"/>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r>
      <w:tr>
        <w:trPr>
          <w:trHeight w:val="227"/>
        </w:trPr>
        <w:tc>
          <w:tcPr>
            <w:tcW w:w="50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1"/>
              </w:rPr>
              <w:t>receivable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1"/>
              </w:rPr>
              <w:t>receivable</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(current)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4"/>
              </w:rPr>
              <w:t>(long-term)</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4"/>
              </w:rPr>
              <w:t>(current)</w:t>
            </w:r>
          </w:p>
        </w:tc>
        <w:tc>
          <w:tcPr>
            <w:tcW w:w="100" w:type="dxa"/>
            <w:vAlign w:val="bottom"/>
          </w:tcPr>
          <w:p>
            <w:pPr>
              <w:spacing w:after="0"/>
              <w:rPr>
                <w:sz w:val="19"/>
                <w:szCs w:val="19"/>
                <w:color w:val="auto"/>
              </w:rPr>
            </w:pPr>
          </w:p>
        </w:tc>
      </w:tr>
      <w:tr>
        <w:trPr>
          <w:trHeight w:val="226"/>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Opening Balance as of December 31, 2020</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FF0FC"/>
          </w:tcPr>
          <w:p>
            <w:pPr>
              <w:spacing w:after="0"/>
              <w:rPr>
                <w:sz w:val="19"/>
                <w:szCs w:val="19"/>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6"/>
                <w:szCs w:val="16"/>
                <w:color w:val="auto"/>
              </w:rPr>
              <w:t>Increase/(decrease), net</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(263 )</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(57 )</w:t>
            </w: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(27 )</w:t>
            </w:r>
          </w:p>
        </w:tc>
      </w:tr>
      <w:tr>
        <w:trPr>
          <w:trHeight w:val="229"/>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Ending Balance as of December 31, 2021</w:t>
            </w: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788</w:t>
            </w:r>
          </w:p>
        </w:tc>
        <w:tc>
          <w:tcPr>
            <w:tcW w:w="2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19"/>
                <w:szCs w:val="19"/>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6"/>
                <w:szCs w:val="16"/>
                <w:color w:val="auto"/>
              </w:rPr>
              <w:t>Increase/(decrease), net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3,939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(25 )</w:t>
            </w: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(30 )</w:t>
            </w:r>
          </w:p>
        </w:tc>
      </w:tr>
      <w:tr>
        <w:trPr>
          <w:trHeight w:val="263"/>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Ending Balance as of December 31, 2022</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1,866</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4,160</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-24765</wp:posOffset>
            </wp:positionV>
            <wp:extent cx="774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its current contract assets, long-term contract assets and current deferred revenue within prepaid expenses and other current assets, other non-current assets, and accrued liabilities, respectively. During the years ended December 31, 2022 and 2021, the Company recognized all of the deferred revenue which existed at December 31,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Company had backlog, or revenue related to remaining performance obligations, of $3.5 million. The Company expects most of this backlog to be recognized over the next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consist of costs incurred for experimentation, design and testing and are expensed as incurred.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Sales and Marketing Costs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Marketing costs include product demonstration, customer service, lead generation, public relations, market research and internal labor, and are expensed as incurred.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calculates the fair value of all stock-based awards, including stock options, restricted stock units and restricted stock awards on the date of grant. The Company values stock options using the Black-Scholes option-pricing model, which requires the use of a number of assumptions, including expected volatility, expected life, risk-free interest rate and expected dividends. The stock-based compensation expense is recognized on a straight-line basis over the requisite service periods of the awards, which is generally four years. The Company records forfeitures as they occur.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Income taxes are provided for the tax effects of transactions reported in the consolidated financial statements and consist of taxes currently due plus deferred income taxes related primarily to differences between the tax bases and financial reporting bases of assets and liabilities. Deferred income taxes represent future tax return consequences of those differences, which will either be taxable or deductible when the assets and liabilities are recovered or settled. The Company determines its valuation allowance on deferred tax assets by considering both positive and negative evidence, including its operating results, ongoing tax planning and forecasts of future taxable income on a jurisdiction-by-jurisdiction basis, to ascertain whether it is more likely than not that deferred tax assets will be realized. In the event the Company determines that it would be able to realize its deferred income tax assets in the future in excess of their net recorded amount, it would make an adjustment to the valuation allowance, which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Simplifying the Accounting for Income Taxes, which simplifies the accounting for income taxes by removing certain exceptions to the previous guidance, and improving the consistent application of and simplification of other areas of the guidance. The Company adopted this ASU on January 1, 2022, using a prospective approach. The adoption of ASU 2019-12 did not have a material impact on the Company's condensed consolidated financial statements and related disclosures.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2016, the FASB issued ASU 2016-02 - Leases (Topic 842), which requires companies to recognize on the consolidated balance sheet assets and liabilities for the rights and obligations created by leases. The FASB has subsequently issued supplemental and clarifying ASUs inclusive of ASU 2020-05, which updated the effective date for “all other” entities for fiscal years beginning after December 15, 2021, and interim periods within fiscal years beginning after December 15, 2022. The Company adopted ASC 842 effective January 1, 2022, using the modified retrospective transition method as allowed under ASU 2018-11 which includes the ability to recognize the cumulative effect of the adoption being recorded as an adjustment to retained earnings on January 1, 2022. Prior period results will continue to be presented under ASC 840 as it was the accounting standards in effect for such periods. The Company elected to apply the package of practical expedients that allows entities to forgo reassessing at the transition date: (1) whether any expired or existing contracts are or contain leases; (2) lease classification for any expired or existing leases; and (3) whether unamortized initial direct costs for existing leases meet the definition of initial direct costs under the new guidance. The Company did not elect the hindsight practical expedient. The Company elected the practical expedient to account for lease and non-lease components as a single component and elected the short-term lease exemption for all contracts with lease terms of 12 months of less. Due to the adoption of this guidance, the Company recognized operating right-of-use assets and operating lease liabilities of $10.1 million and $12.2 million, respectively, as of the date of adoption. The difference between the right-of-use assets and lease liabilities on the accompanying consolidated balance sheet is primarily due to the accrual for lease payments as a result of straight-line lease expense. The adoption of this new guidance did not have a material impact on the Company’s results of operations and comprehensive loss or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Recently Issued Accounting Standard Pronouncements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Measurement of Credit Losses on Financial Instruments. The new standard requires financial assets measured at amortized cost be presented at the net amount expected to be collected, through an allowance for credit losses that is deducted from the amortized cost basis. The standard will be effective for the Company beginning January 1, 2023, with early application permitted. The Company does not expect adoption of this new guidance to have a material impact on its results of operations, financial condition and financial statement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229"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ASC Topic 820, Fair Value Measurement,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1—Fair value is based on observable inputs such as quoted prices for identical assets or liabilities in active markets.</w:t>
      </w:r>
    </w:p>
    <w:p>
      <w:pPr>
        <w:spacing w:after="0" w:line="225" w:lineRule="exact"/>
        <w:rPr>
          <w:sz w:val="20"/>
          <w:szCs w:val="20"/>
          <w:color w:val="auto"/>
        </w:rPr>
      </w:pPr>
    </w:p>
    <w:p>
      <w:pPr>
        <w:ind w:left="1660" w:hanging="897"/>
        <w:spacing w:after="0" w:line="277" w:lineRule="auto"/>
        <w:rPr>
          <w:sz w:val="20"/>
          <w:szCs w:val="20"/>
          <w:color w:val="auto"/>
        </w:rPr>
      </w:pPr>
      <w:r>
        <w:rPr>
          <w:rFonts w:ascii="Arial" w:cs="Arial" w:eastAsia="Arial" w:hAnsi="Arial"/>
          <w:sz w:val="18"/>
          <w:szCs w:val="18"/>
          <w:color w:val="auto"/>
        </w:rPr>
        <w:t>Level 2—Fair value is determined using quoted prices for similar assets or liabilities in active markets or quoted prices for identical or similar assets or liabilities in markets that are not active or are directly or indirectly observable.</w:t>
      </w:r>
    </w:p>
    <w:p>
      <w:pPr>
        <w:spacing w:after="0" w:line="170" w:lineRule="exact"/>
        <w:rPr>
          <w:sz w:val="20"/>
          <w:szCs w:val="20"/>
          <w:color w:val="auto"/>
        </w:rPr>
      </w:pPr>
    </w:p>
    <w:p>
      <w:pPr>
        <w:ind w:left="1660" w:hanging="897"/>
        <w:spacing w:after="0" w:line="277" w:lineRule="auto"/>
        <w:rPr>
          <w:sz w:val="20"/>
          <w:szCs w:val="20"/>
          <w:color w:val="auto"/>
        </w:rPr>
      </w:pPr>
      <w:r>
        <w:rPr>
          <w:rFonts w:ascii="Arial" w:cs="Arial" w:eastAsia="Arial" w:hAnsi="Arial"/>
          <w:sz w:val="18"/>
          <w:szCs w:val="18"/>
          <w:color w:val="auto"/>
        </w:rPr>
        <w:t>Level 3—Fair value is determined using one or more significant inputs that are unobservable in active markets at the measurement date, such as an option pricing model, discounted cash flow or similar technique.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Measured at Fair Value on a Recurring Basis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 recurring basis, the Company measures certain of its financial assets and liabilities at fair value. The fair value of the Company’s financial assets and liabilities measured at fair value on a recurring basis was determined using the following inputs: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w w:val="99"/>
              </w:rPr>
              <w:t>As of December 31, 2022</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r>
      <w:tr>
        <w:trPr>
          <w:trHeight w:val="226"/>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82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Treasury securities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79,337</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79,337</w:t>
            </w:r>
          </w:p>
        </w:tc>
        <w:tc>
          <w:tcPr>
            <w:tcW w:w="100" w:type="dxa"/>
            <w:vAlign w:val="bottom"/>
            <w:shd w:val="clear" w:color="auto" w:fill="CFF0FC"/>
          </w:tcPr>
          <w:p>
            <w:pPr>
              <w:spacing w:after="0"/>
              <w:rPr>
                <w:sz w:val="20"/>
                <w:szCs w:val="20"/>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79,337</w:t>
            </w:r>
          </w:p>
        </w:tc>
        <w:tc>
          <w:tcPr>
            <w:tcW w:w="46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c>
          <w:tcPr>
            <w:tcW w:w="240" w:type="dxa"/>
            <w:vAlign w:val="bottom"/>
          </w:tcPr>
          <w:p>
            <w:pPr>
              <w:ind w:left="60"/>
              <w:spacing w:after="0"/>
              <w:rPr>
                <w:sz w:val="20"/>
                <w:szCs w:val="20"/>
                <w:color w:val="auto"/>
              </w:rPr>
            </w:pPr>
            <w:r>
              <w:rPr>
                <w:rFonts w:ascii="Arial" w:cs="Arial" w:eastAsia="Arial" w:hAnsi="Arial"/>
                <w:sz w:val="16"/>
                <w:szCs w:val="16"/>
                <w:color w:val="auto"/>
                <w:w w:val="99"/>
              </w:rPr>
              <w:t>—</w:t>
            </w:r>
          </w:p>
        </w:tc>
        <w:tc>
          <w:tcPr>
            <w:tcW w:w="4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79,337</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820" w:type="dxa"/>
            <w:vAlign w:val="bottom"/>
          </w:tcPr>
          <w:p>
            <w:pPr>
              <w:ind w:left="200"/>
              <w:spacing w:after="0"/>
              <w:rPr>
                <w:sz w:val="20"/>
                <w:szCs w:val="20"/>
                <w:color w:val="auto"/>
              </w:rPr>
            </w:pPr>
            <w:r>
              <w:rPr>
                <w:rFonts w:ascii="Arial" w:cs="Arial" w:eastAsia="Arial" w:hAnsi="Arial"/>
                <w:sz w:val="16"/>
                <w:szCs w:val="16"/>
                <w:color w:val="auto"/>
              </w:rPr>
              <w:t>Warrant liability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9"/>
                <w:szCs w:val="19"/>
                <w:color w:val="auto"/>
              </w:rPr>
            </w:pP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24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w w:val="99"/>
              </w:rPr>
              <w:t>As of December 31, 2021</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r>
      <w:tr>
        <w:trPr>
          <w:trHeight w:val="226"/>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820" w:type="dxa"/>
            <w:vAlign w:val="bottom"/>
          </w:tcPr>
          <w:p>
            <w:pPr>
              <w:ind w:left="200"/>
              <w:spacing w:after="0"/>
              <w:rPr>
                <w:sz w:val="20"/>
                <w:szCs w:val="20"/>
                <w:color w:val="auto"/>
              </w:rPr>
            </w:pPr>
            <w:r>
              <w:rPr>
                <w:rFonts w:ascii="Arial" w:cs="Arial" w:eastAsia="Arial" w:hAnsi="Arial"/>
                <w:sz w:val="16"/>
                <w:szCs w:val="16"/>
                <w:color w:val="auto"/>
              </w:rPr>
              <w:t>Warrant liability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13,701</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13,701</w:t>
            </w:r>
          </w:p>
        </w:tc>
        <w:tc>
          <w:tcPr>
            <w:tcW w:w="100" w:type="dxa"/>
            <w:vAlign w:val="bottom"/>
          </w:tcPr>
          <w:p>
            <w:pPr>
              <w:spacing w:after="0"/>
              <w:rPr>
                <w:sz w:val="19"/>
                <w:szCs w:val="19"/>
                <w:color w:val="auto"/>
              </w:rPr>
            </w:pP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13,701</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13,701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the Company held $79.3 million of available-for-sale debt securities with maturity dates within one year. The fair value of the Company's available-for-sale debt securities approximates their amortized cost basis. The Company considers all highly liquid investments purchased with an original maturity of three months or less to be cash equivalents. The carrying amounts of accounts payable and accrued expenses approximate their fair values because of the relatively short periods until they are required to be settled.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reconciliation from the opening balances to the closing balances for Level 3 values: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20"/>
        </w:trPr>
        <w:tc>
          <w:tcPr>
            <w:tcW w:w="9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2020</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9220" w:type="dxa"/>
            <w:vAlign w:val="bottom"/>
          </w:tcPr>
          <w:p>
            <w:pPr>
              <w:ind w:left="200"/>
              <w:spacing w:after="0"/>
              <w:rPr>
                <w:sz w:val="20"/>
                <w:szCs w:val="20"/>
                <w:color w:val="auto"/>
              </w:rPr>
            </w:pPr>
            <w:r>
              <w:rPr>
                <w:rFonts w:ascii="Arial" w:cs="Arial" w:eastAsia="Arial" w:hAnsi="Arial"/>
                <w:sz w:val="16"/>
                <w:szCs w:val="16"/>
                <w:color w:val="auto"/>
              </w:rPr>
              <w:t>Initial recognition of warrants</w:t>
            </w: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8,774</w:t>
            </w:r>
          </w:p>
        </w:tc>
        <w:tc>
          <w:tcPr>
            <w:tcW w:w="100" w:type="dxa"/>
            <w:vAlign w:val="bottom"/>
          </w:tcPr>
          <w:p>
            <w:pPr>
              <w:spacing w:after="0"/>
              <w:rPr>
                <w:sz w:val="19"/>
                <w:szCs w:val="19"/>
                <w:color w:val="auto"/>
              </w:rPr>
            </w:pPr>
          </w:p>
        </w:tc>
      </w:tr>
      <w:tr>
        <w:trPr>
          <w:trHeight w:val="233"/>
        </w:trPr>
        <w:tc>
          <w:tcPr>
            <w:tcW w:w="9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Increase in fair value of warrants</w:t>
            </w:r>
          </w:p>
        </w:tc>
        <w:tc>
          <w:tcPr>
            <w:tcW w:w="7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9220" w:type="dxa"/>
            <w:vAlign w:val="bottom"/>
          </w:tcPr>
          <w:p>
            <w:pPr>
              <w:ind w:left="20"/>
              <w:spacing w:after="0"/>
              <w:rPr>
                <w:sz w:val="20"/>
                <w:szCs w:val="20"/>
                <w:color w:val="auto"/>
              </w:rPr>
            </w:pPr>
            <w:r>
              <w:rPr>
                <w:rFonts w:ascii="Arial" w:cs="Arial" w:eastAsia="Arial" w:hAnsi="Arial"/>
                <w:sz w:val="16"/>
                <w:szCs w:val="16"/>
                <w:color w:val="auto"/>
              </w:rPr>
              <w:t>Balance at December 31, 2021</w:t>
            </w: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13,701</w:t>
            </w:r>
          </w:p>
        </w:tc>
        <w:tc>
          <w:tcPr>
            <w:tcW w:w="100" w:type="dxa"/>
            <w:vAlign w:val="bottom"/>
          </w:tcPr>
          <w:p>
            <w:pPr>
              <w:spacing w:after="0"/>
              <w:rPr>
                <w:sz w:val="19"/>
                <w:szCs w:val="19"/>
                <w:color w:val="auto"/>
              </w:rPr>
            </w:pPr>
          </w:p>
        </w:tc>
      </w:tr>
      <w:tr>
        <w:trPr>
          <w:trHeight w:val="233"/>
        </w:trPr>
        <w:tc>
          <w:tcPr>
            <w:tcW w:w="92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Warrant liability transferred out of Level 3</w:t>
            </w:r>
          </w:p>
        </w:tc>
        <w:tc>
          <w:tcPr>
            <w:tcW w:w="7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(13,701 )</w:t>
            </w:r>
          </w:p>
        </w:tc>
      </w:tr>
      <w:tr>
        <w:trPr>
          <w:trHeight w:val="223"/>
        </w:trPr>
        <w:tc>
          <w:tcPr>
            <w:tcW w:w="92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Balance at December 31, 2022</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Transfers to/from Levels 1, 2 and 3 are recognized at the beginning of the reporting period in which a change in valuation technique or methodology occurs. During the first quarter of 2022 the trading price of our public warrants was used to value our private placement warrants, and a third-party valuation was no longer deemed necessary resulting in the estimated fair value of our private placement warrants being transferred from a Level 3 fair value measurement to a Level 2 fair value measurement.</w:t>
      </w:r>
    </w:p>
    <w:p>
      <w:pPr>
        <w:spacing w:after="0" w:line="142" w:lineRule="exact"/>
        <w:rPr>
          <w:sz w:val="20"/>
          <w:szCs w:val="20"/>
          <w:color w:val="auto"/>
        </w:rPr>
      </w:pPr>
    </w:p>
    <w:p>
      <w:pPr>
        <w:ind w:right="8960" w:firstLine="8"/>
        <w:spacing w:after="0" w:line="522" w:lineRule="auto"/>
        <w:tabs>
          <w:tab w:leader="none" w:pos="18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Balance Sheet Components Inventories, net</w:t>
      </w:r>
    </w:p>
    <w:p>
      <w:pPr>
        <w:spacing w:after="0"/>
        <w:rPr>
          <w:sz w:val="20"/>
          <w:szCs w:val="20"/>
          <w:color w:val="auto"/>
        </w:rPr>
      </w:pPr>
      <w:r>
        <w:rPr>
          <w:rFonts w:ascii="Arial" w:cs="Arial" w:eastAsia="Arial" w:hAnsi="Arial"/>
          <w:sz w:val="18"/>
          <w:szCs w:val="18"/>
          <w:color w:val="auto"/>
        </w:rPr>
        <w:t>Inventories, net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0"/>
              </w:rPr>
              <w:t>December 31, 2022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1"/>
              </w:rPr>
              <w:t>December 31, 2021</w:t>
            </w:r>
          </w:p>
        </w:tc>
        <w:tc>
          <w:tcPr>
            <w:tcW w:w="100" w:type="dxa"/>
            <w:vAlign w:val="bottom"/>
          </w:tcPr>
          <w:p>
            <w:pPr>
              <w:spacing w:after="0"/>
              <w:rPr>
                <w:sz w:val="19"/>
                <w:szCs w:val="19"/>
                <w:color w:val="auto"/>
              </w:rPr>
            </w:pPr>
          </w:p>
        </w:tc>
      </w:tr>
      <w:tr>
        <w:trPr>
          <w:trHeight w:val="22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Raw materials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2,081</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r>
      <w:tr>
        <w:trPr>
          <w:trHeight w:val="23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Finished goods, net</w:t>
            </w:r>
          </w:p>
        </w:tc>
        <w:tc>
          <w:tcPr>
            <w:tcW w:w="1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1,301</w:t>
            </w: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0"/>
              <w:spacing w:after="0"/>
              <w:rPr>
                <w:sz w:val="20"/>
                <w:szCs w:val="20"/>
                <w:color w:val="auto"/>
              </w:rPr>
            </w:pPr>
            <w:r>
              <w:rPr>
                <w:rFonts w:ascii="Arial" w:cs="Arial" w:eastAsia="Arial" w:hAnsi="Arial"/>
                <w:sz w:val="16"/>
                <w:szCs w:val="16"/>
                <w:color w:val="auto"/>
              </w:rPr>
              <w:t>Total inventories, net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3,562</w:t>
            </w: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-179070</wp:posOffset>
            </wp:positionV>
            <wp:extent cx="6858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inventory reserves of $0.4 million and $0.3 million for the years ended December 31, 2022 and 2021,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0"/>
              </w:rPr>
              <w:t>December 31, 2022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1"/>
              </w:rPr>
              <w:t>December 31, 2021</w:t>
            </w:r>
          </w:p>
        </w:tc>
        <w:tc>
          <w:tcPr>
            <w:tcW w:w="100" w:type="dxa"/>
            <w:vAlign w:val="bottom"/>
          </w:tcPr>
          <w:p>
            <w:pPr>
              <w:spacing w:after="0"/>
              <w:rPr>
                <w:sz w:val="19"/>
                <w:szCs w:val="19"/>
                <w:color w:val="auto"/>
              </w:rPr>
            </w:pPr>
          </w:p>
        </w:tc>
      </w:tr>
      <w:tr>
        <w:trPr>
          <w:trHeight w:val="22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Prepaid insurance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4,786</w:t>
            </w: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Software</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1,191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4,144</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prepaid expense</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9"/>
                <w:szCs w:val="19"/>
                <w:color w:val="auto"/>
              </w:rPr>
            </w:pPr>
          </w:p>
        </w:tc>
      </w:tr>
      <w:tr>
        <w:trPr>
          <w:trHeight w:val="26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prepaid expenses and other current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5,015</w:t>
            </w:r>
          </w:p>
        </w:tc>
        <w:tc>
          <w:tcPr>
            <w:tcW w:w="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9,202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9"/>
                <w:szCs w:val="19"/>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88"/>
              </w:rPr>
              <w:t>December 31, 2022</w:t>
            </w:r>
          </w:p>
        </w:tc>
        <w:tc>
          <w:tcPr>
            <w:tcW w:w="12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1"/>
              </w:rPr>
              <w:t>December 31, 2021</w:t>
            </w:r>
          </w:p>
        </w:tc>
      </w:tr>
      <w:tr>
        <w:trPr>
          <w:trHeight w:val="226"/>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Robotics and manufacturing equipment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1,610</w:t>
            </w:r>
          </w:p>
        </w:tc>
        <w:tc>
          <w:tcPr>
            <w:tcW w:w="2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876</w:t>
            </w: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4,442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3,890</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Computer equipment</w:t>
            </w:r>
          </w:p>
        </w:tc>
        <w:tc>
          <w:tcPr>
            <w:tcW w:w="10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1,719</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1,270</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Financed leased computer equipment</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Software</w:t>
            </w:r>
          </w:p>
        </w:tc>
        <w:tc>
          <w:tcPr>
            <w:tcW w:w="10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Furniture and fixtures, and other fixed assets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1,835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19"/>
                <w:szCs w:val="19"/>
                <w:color w:val="auto"/>
              </w:rPr>
            </w:pPr>
          </w:p>
        </w:tc>
      </w:tr>
      <w:tr>
        <w:trPr>
          <w:trHeight w:val="233"/>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Construction in progress</w:t>
            </w:r>
          </w:p>
        </w:tc>
        <w:tc>
          <w:tcPr>
            <w:tcW w:w="1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Property and equipment, gross</w:t>
            </w: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10,266</w:t>
            </w:r>
          </w:p>
        </w:tc>
        <w:tc>
          <w:tcPr>
            <w:tcW w:w="28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8,287</w:t>
            </w:r>
          </w:p>
        </w:tc>
        <w:tc>
          <w:tcPr>
            <w:tcW w:w="100" w:type="dxa"/>
            <w:vAlign w:val="bottom"/>
            <w:tcBorders>
              <w:top w:val="single" w:sz="8" w:color="CFF0FC"/>
            </w:tcBorders>
          </w:tcPr>
          <w:p>
            <w:pPr>
              <w:spacing w:after="0"/>
              <w:rPr>
                <w:sz w:val="19"/>
                <w:szCs w:val="19"/>
                <w:color w:val="auto"/>
              </w:rPr>
            </w:pPr>
          </w:p>
        </w:tc>
      </w:tr>
      <w:tr>
        <w:trPr>
          <w:trHeight w:val="233"/>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depreciation</w:t>
            </w:r>
          </w:p>
        </w:tc>
        <w:tc>
          <w:tcPr>
            <w:tcW w:w="1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(2,626 )</w:t>
            </w:r>
          </w:p>
        </w:tc>
        <w:tc>
          <w:tcPr>
            <w:tcW w:w="1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(1,236 )</w:t>
            </w:r>
          </w:p>
        </w:tc>
      </w:tr>
      <w:tr>
        <w:trPr>
          <w:trHeight w:val="223"/>
        </w:trPr>
        <w:tc>
          <w:tcPr>
            <w:tcW w:w="774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7,640</w:t>
            </w:r>
          </w:p>
        </w:tc>
        <w:tc>
          <w:tcPr>
            <w:tcW w:w="28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7,051</w:t>
            </w:r>
          </w:p>
        </w:tc>
        <w:tc>
          <w:tcPr>
            <w:tcW w:w="100" w:type="dxa"/>
            <w:vAlign w:val="bottom"/>
            <w:tcBorders>
              <w:top w:val="single" w:sz="8" w:color="CFF0FC"/>
            </w:tcBorders>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-479425</wp:posOffset>
            </wp:positionV>
            <wp:extent cx="6858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-179705</wp:posOffset>
            </wp:positionV>
            <wp:extent cx="68580" cy="1803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expenses were $1.4 million and $0.5 million for the years ended December 31, 2022 and 2021, respectively. Amortization of assets under finance leases is included as part of depreciation expense.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8"/>
              </w:rPr>
              <w:t>December 31, 2022</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1"/>
              </w:rPr>
              <w:t>December 31, 2021</w:t>
            </w:r>
          </w:p>
        </w:tc>
        <w:tc>
          <w:tcPr>
            <w:tcW w:w="100" w:type="dxa"/>
            <w:vAlign w:val="bottom"/>
          </w:tcPr>
          <w:p>
            <w:pPr>
              <w:spacing w:after="0"/>
              <w:rPr>
                <w:sz w:val="19"/>
                <w:szCs w:val="19"/>
                <w:color w:val="auto"/>
              </w:rPr>
            </w:pPr>
          </w:p>
        </w:tc>
      </w:tr>
      <w:tr>
        <w:trPr>
          <w:trHeight w:val="226"/>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Payroll and related costs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2,511</w:t>
            </w: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Consulting and professional services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Legal accrual</w:t>
            </w:r>
          </w:p>
        </w:tc>
        <w:tc>
          <w:tcPr>
            <w:tcW w:w="10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FF0FC"/>
          </w:tcPr>
          <w:p>
            <w:pPr>
              <w:spacing w:after="0"/>
              <w:rPr>
                <w:sz w:val="20"/>
                <w:szCs w:val="20"/>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accrued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6,025</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4,480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0"/>
              </w:rPr>
              <w:t>December 31, 2022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1"/>
              </w:rPr>
              <w:t>December 31, 2021</w:t>
            </w:r>
          </w:p>
        </w:tc>
        <w:tc>
          <w:tcPr>
            <w:tcW w:w="100" w:type="dxa"/>
            <w:vAlign w:val="bottom"/>
          </w:tcPr>
          <w:p>
            <w:pPr>
              <w:spacing w:after="0"/>
              <w:rPr>
                <w:sz w:val="19"/>
                <w:szCs w:val="19"/>
                <w:color w:val="auto"/>
              </w:rPr>
            </w:pPr>
          </w:p>
        </w:tc>
      </w:tr>
      <w:tr>
        <w:trPr>
          <w:trHeight w:val="22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leases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Deferred rent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1,992</w:t>
            </w:r>
          </w:p>
        </w:tc>
        <w:tc>
          <w:tcPr>
            <w:tcW w:w="100" w:type="dxa"/>
            <w:vAlign w:val="bottom"/>
          </w:tcPr>
          <w:p>
            <w:pPr>
              <w:spacing w:after="0"/>
              <w:rPr>
                <w:sz w:val="19"/>
                <w:szCs w:val="19"/>
                <w:color w:val="auto"/>
              </w:rPr>
            </w:pPr>
          </w:p>
        </w:tc>
      </w:tr>
      <w:tr>
        <w:trPr>
          <w:trHeight w:val="284"/>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Warrant liabilities</w:t>
            </w:r>
          </w:p>
        </w:tc>
        <w:tc>
          <w:tcPr>
            <w:tcW w:w="12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13,701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3"/>
        </w:trPr>
        <w:tc>
          <w:tcPr>
            <w:tcW w:w="768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Total other non-current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30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15,700</w:t>
            </w:r>
          </w:p>
        </w:tc>
        <w:tc>
          <w:tcPr>
            <w:tcW w:w="100" w:type="dxa"/>
            <w:vAlign w:val="bottom"/>
            <w:tcBorders>
              <w:top w:val="single" w:sz="8" w:color="CFF0FC"/>
            </w:tcBorders>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-196215</wp:posOffset>
            </wp:positionV>
            <wp:extent cx="1251585" cy="1968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51585" cy="19685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27"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The Company leases real estate for office space under operating leases with varying expiration dates through 2033. Leases are categorized at their commencement date, which is the date the Company takes possession or control of the underlying asset. Certain of the operating leases include renewal options ranging from three to five years, which are not recognized as part of the right-of-use assets as the Company is not reasonably certain that the options will be exercised. Lease expense recorded during the year ended December 31, 2022 were $2.4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Lease costs for operating leases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0"/>
              </w:rPr>
              <w:t>Year ended</w:t>
            </w:r>
          </w:p>
        </w:tc>
        <w:tc>
          <w:tcPr>
            <w:tcW w:w="100" w:type="dxa"/>
            <w:vAlign w:val="bottom"/>
          </w:tcPr>
          <w:p>
            <w:pPr>
              <w:spacing w:after="0"/>
              <w:rPr>
                <w:sz w:val="19"/>
                <w:szCs w:val="19"/>
                <w:color w:val="auto"/>
              </w:rPr>
            </w:pPr>
          </w:p>
        </w:tc>
      </w:tr>
      <w:tr>
        <w:trPr>
          <w:trHeight w:val="202"/>
        </w:trPr>
        <w:tc>
          <w:tcPr>
            <w:tcW w:w="9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r>
      <w:tr>
        <w:trPr>
          <w:trHeight w:val="227"/>
        </w:trPr>
        <w:tc>
          <w:tcPr>
            <w:tcW w:w="9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9"/>
                <w:szCs w:val="19"/>
                <w:color w:val="auto"/>
              </w:rPr>
            </w:pPr>
          </w:p>
        </w:tc>
      </w:tr>
      <w:tr>
        <w:trPr>
          <w:trHeight w:val="226"/>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cost</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1,640</w:t>
            </w:r>
          </w:p>
        </w:tc>
        <w:tc>
          <w:tcPr>
            <w:tcW w:w="100" w:type="dxa"/>
            <w:vAlign w:val="bottom"/>
            <w:shd w:val="clear" w:color="auto" w:fill="CFF0FC"/>
          </w:tcPr>
          <w:p>
            <w:pPr>
              <w:spacing w:after="0"/>
              <w:rPr>
                <w:sz w:val="19"/>
                <w:szCs w:val="19"/>
                <w:color w:val="auto"/>
              </w:rPr>
            </w:pPr>
          </w:p>
        </w:tc>
      </w:tr>
      <w:tr>
        <w:trPr>
          <w:trHeight w:val="223"/>
        </w:trPr>
        <w:tc>
          <w:tcPr>
            <w:tcW w:w="922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19"/>
                <w:szCs w:val="19"/>
                <w:color w:val="auto"/>
              </w:rPr>
            </w:pPr>
          </w:p>
        </w:tc>
      </w:tr>
      <w:tr>
        <w:trPr>
          <w:trHeight w:val="263"/>
        </w:trPr>
        <w:tc>
          <w:tcPr>
            <w:tcW w:w="9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lease cost</w:t>
            </w: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lease term and discount rate assumptions: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80" w:type="dxa"/>
            <w:vAlign w:val="bottom"/>
          </w:tcPr>
          <w:p>
            <w:pPr>
              <w:spacing w:after="0"/>
              <w:rPr>
                <w:sz w:val="19"/>
                <w:szCs w:val="19"/>
                <w:color w:val="auto"/>
              </w:rPr>
            </w:pPr>
          </w:p>
        </w:tc>
        <w:tc>
          <w:tcPr>
            <w:tcW w:w="21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Year ended</w:t>
            </w:r>
          </w:p>
        </w:tc>
      </w:tr>
      <w:tr>
        <w:trPr>
          <w:trHeight w:val="202"/>
        </w:trPr>
        <w:tc>
          <w:tcPr>
            <w:tcW w:w="9180" w:type="dxa"/>
            <w:vAlign w:val="bottom"/>
          </w:tcPr>
          <w:p>
            <w:pPr>
              <w:spacing w:after="0"/>
              <w:rPr>
                <w:sz w:val="17"/>
                <w:szCs w:val="17"/>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918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leases</w:t>
            </w:r>
          </w:p>
        </w:tc>
        <w:tc>
          <w:tcPr>
            <w:tcW w:w="1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9180" w:type="dxa"/>
            <w:vAlign w:val="bottom"/>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1960" w:type="dxa"/>
            <w:vAlign w:val="bottom"/>
          </w:tcPr>
          <w:p>
            <w:pPr>
              <w:ind w:left="1740"/>
              <w:spacing w:after="0"/>
              <w:rPr>
                <w:sz w:val="20"/>
                <w:szCs w:val="20"/>
                <w:color w:val="auto"/>
              </w:rPr>
            </w:pPr>
            <w:r>
              <w:rPr>
                <w:rFonts w:ascii="Arial" w:cs="Arial" w:eastAsia="Arial" w:hAnsi="Arial"/>
                <w:sz w:val="16"/>
                <w:szCs w:val="16"/>
                <w:color w:val="auto"/>
                <w:w w:val="89"/>
              </w:rPr>
              <w:t>9.7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2100" w:type="dxa"/>
            <w:vAlign w:val="bottom"/>
            <w:gridSpan w:val="3"/>
          </w:tcPr>
          <w:p>
            <w:pPr>
              <w:ind w:left="1740"/>
              <w:spacing w:after="0"/>
              <w:rPr>
                <w:sz w:val="20"/>
                <w:szCs w:val="20"/>
                <w:color w:val="auto"/>
              </w:rPr>
            </w:pPr>
            <w:r>
              <w:rPr>
                <w:rFonts w:ascii="Arial" w:cs="Arial" w:eastAsia="Arial" w:hAnsi="Arial"/>
                <w:sz w:val="16"/>
                <w:szCs w:val="16"/>
                <w:color w:val="auto"/>
                <w:w w:val="82"/>
              </w:rPr>
              <w:t>5.4 %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6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and other information related to leases: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0"/>
              </w:rPr>
              <w:t>Year ended</w:t>
            </w:r>
          </w:p>
        </w:tc>
        <w:tc>
          <w:tcPr>
            <w:tcW w:w="100" w:type="dxa"/>
            <w:vAlign w:val="bottom"/>
          </w:tcPr>
          <w:p>
            <w:pPr>
              <w:spacing w:after="0"/>
              <w:rPr>
                <w:sz w:val="19"/>
                <w:szCs w:val="19"/>
                <w:color w:val="auto"/>
              </w:rPr>
            </w:pPr>
          </w:p>
        </w:tc>
      </w:tr>
      <w:tr>
        <w:trPr>
          <w:trHeight w:val="202"/>
        </w:trPr>
        <w:tc>
          <w:tcPr>
            <w:tcW w:w="9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r>
      <w:tr>
        <w:trPr>
          <w:trHeight w:val="227"/>
        </w:trPr>
        <w:tc>
          <w:tcPr>
            <w:tcW w:w="9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9"/>
                <w:szCs w:val="19"/>
                <w:color w:val="auto"/>
              </w:rPr>
            </w:pPr>
          </w:p>
        </w:tc>
      </w:tr>
      <w:tr>
        <w:trPr>
          <w:trHeight w:val="226"/>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amounts included in measurement of liabilities:</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9220" w:type="dxa"/>
            <w:vAlign w:val="bottom"/>
          </w:tcPr>
          <w:p>
            <w:pPr>
              <w:ind w:left="200"/>
              <w:spacing w:after="0"/>
              <w:rPr>
                <w:sz w:val="20"/>
                <w:szCs w:val="20"/>
                <w:color w:val="auto"/>
              </w:rPr>
            </w:pPr>
            <w:r>
              <w:rPr>
                <w:rFonts w:ascii="Arial" w:cs="Arial" w:eastAsia="Arial" w:hAnsi="Arial"/>
                <w:sz w:val="16"/>
                <w:szCs w:val="16"/>
                <w:color w:val="auto"/>
              </w:rPr>
              <w:t>Operating cash flows from operating leases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1,674</w:t>
            </w:r>
          </w:p>
        </w:tc>
        <w:tc>
          <w:tcPr>
            <w:tcW w:w="100" w:type="dxa"/>
            <w:vAlign w:val="bottom"/>
          </w:tcPr>
          <w:p>
            <w:pPr>
              <w:spacing w:after="0"/>
              <w:rPr>
                <w:sz w:val="19"/>
                <w:szCs w:val="19"/>
                <w:color w:val="auto"/>
              </w:rPr>
            </w:pPr>
          </w:p>
        </w:tc>
      </w:tr>
      <w:tr>
        <w:trPr>
          <w:trHeight w:val="239"/>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Right-of-use assets obtained in a noncash exchange for new lease liabilities:</w:t>
            </w:r>
          </w:p>
        </w:tc>
        <w:tc>
          <w:tcPr>
            <w:tcW w:w="2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0"/>
        </w:trPr>
        <w:tc>
          <w:tcPr>
            <w:tcW w:w="9220" w:type="dxa"/>
            <w:vAlign w:val="bottom"/>
          </w:tcPr>
          <w:p>
            <w:pPr>
              <w:ind w:left="200"/>
              <w:spacing w:after="0"/>
              <w:rPr>
                <w:sz w:val="20"/>
                <w:szCs w:val="20"/>
                <w:color w:val="auto"/>
              </w:rPr>
            </w:pPr>
            <w:r>
              <w:rPr>
                <w:rFonts w:ascii="Arial" w:cs="Arial" w:eastAsia="Arial" w:hAnsi="Arial"/>
                <w:sz w:val="16"/>
                <w:szCs w:val="16"/>
                <w:color w:val="auto"/>
              </w:rPr>
              <w:t>Operating leases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53" w:right="299" w:bottom="1440" w:gutter="0" w:footer="0" w:header="0"/>
        </w:sectPr>
      </w:pPr>
    </w:p>
    <w:bookmarkStart w:id="92" w:name="page93"/>
    <w:bookmarkEnd w:id="92"/>
    <w:p>
      <w:pPr>
        <w:jc w:val="both"/>
        <w:spacing w:after="0" w:line="277" w:lineRule="auto"/>
        <w:rPr>
          <w:sz w:val="20"/>
          <w:szCs w:val="20"/>
          <w:color w:val="auto"/>
        </w:rPr>
      </w:pPr>
      <w:r>
        <w:rPr>
          <w:rFonts w:ascii="Arial" w:cs="Arial" w:eastAsia="Arial" w:hAnsi="Arial"/>
          <w:sz w:val="18"/>
          <w:szCs w:val="18"/>
          <w:color w:val="auto"/>
        </w:rPr>
        <w:t>Undiscounted future minimum lease payments (displayed by year and in the aggregate) under noncancelable operating leases with terms of more than one year, as of December 31, 2022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8"/>
              </w:rPr>
              <w:t>Operating Leases</w:t>
            </w:r>
          </w:p>
        </w:tc>
        <w:tc>
          <w:tcPr>
            <w:tcW w:w="100" w:type="dxa"/>
            <w:vAlign w:val="bottom"/>
          </w:tcPr>
          <w:p>
            <w:pPr>
              <w:spacing w:after="0"/>
              <w:rPr>
                <w:sz w:val="19"/>
                <w:szCs w:val="19"/>
                <w:color w:val="auto"/>
              </w:rPr>
            </w:pPr>
          </w:p>
        </w:tc>
      </w:tr>
      <w:tr>
        <w:trPr>
          <w:trHeight w:val="226"/>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FF0FC"/>
          </w:tcPr>
          <w:p>
            <w:pPr>
              <w:spacing w:after="0"/>
              <w:rPr>
                <w:sz w:val="19"/>
                <w:szCs w:val="19"/>
                <w:color w:val="auto"/>
              </w:rPr>
            </w:pPr>
          </w:p>
        </w:tc>
      </w:tr>
      <w:tr>
        <w:trPr>
          <w:trHeight w:val="220"/>
        </w:trPr>
        <w:tc>
          <w:tcPr>
            <w:tcW w:w="9220" w:type="dxa"/>
            <w:vAlign w:val="bottom"/>
          </w:tcPr>
          <w:p>
            <w:pPr>
              <w:ind w:left="20"/>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1,968</w:t>
            </w:r>
          </w:p>
        </w:tc>
        <w:tc>
          <w:tcPr>
            <w:tcW w:w="100" w:type="dxa"/>
            <w:vAlign w:val="bottom"/>
          </w:tcPr>
          <w:p>
            <w:pPr>
              <w:spacing w:after="0"/>
              <w:rPr>
                <w:sz w:val="19"/>
                <w:szCs w:val="19"/>
                <w:color w:val="auto"/>
              </w:rPr>
            </w:pPr>
          </w:p>
        </w:tc>
      </w:tr>
      <w:tr>
        <w:trPr>
          <w:trHeight w:val="239"/>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22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1,619</w:t>
            </w:r>
          </w:p>
        </w:tc>
        <w:tc>
          <w:tcPr>
            <w:tcW w:w="100" w:type="dxa"/>
            <w:vAlign w:val="bottom"/>
            <w:shd w:val="clear" w:color="auto" w:fill="CFF0FC"/>
          </w:tcPr>
          <w:p>
            <w:pPr>
              <w:spacing w:after="0"/>
              <w:rPr>
                <w:sz w:val="20"/>
                <w:szCs w:val="20"/>
                <w:color w:val="auto"/>
              </w:rPr>
            </w:pPr>
          </w:p>
        </w:tc>
      </w:tr>
      <w:tr>
        <w:trPr>
          <w:trHeight w:val="220"/>
        </w:trPr>
        <w:tc>
          <w:tcPr>
            <w:tcW w:w="9220" w:type="dxa"/>
            <w:vAlign w:val="bottom"/>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1,488</w:t>
            </w:r>
          </w:p>
        </w:tc>
        <w:tc>
          <w:tcPr>
            <w:tcW w:w="100" w:type="dxa"/>
            <w:vAlign w:val="bottom"/>
          </w:tcPr>
          <w:p>
            <w:pPr>
              <w:spacing w:after="0"/>
              <w:rPr>
                <w:sz w:val="19"/>
                <w:szCs w:val="19"/>
                <w:color w:val="auto"/>
              </w:rPr>
            </w:pPr>
          </w:p>
        </w:tc>
      </w:tr>
      <w:tr>
        <w:trPr>
          <w:trHeight w:val="239"/>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2027</w:t>
            </w:r>
          </w:p>
        </w:tc>
        <w:tc>
          <w:tcPr>
            <w:tcW w:w="22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1,529</w:t>
            </w:r>
          </w:p>
        </w:tc>
        <w:tc>
          <w:tcPr>
            <w:tcW w:w="100" w:type="dxa"/>
            <w:vAlign w:val="bottom"/>
            <w:shd w:val="clear" w:color="auto" w:fill="CFF0FC"/>
          </w:tcPr>
          <w:p>
            <w:pPr>
              <w:spacing w:after="0"/>
              <w:rPr>
                <w:sz w:val="20"/>
                <w:szCs w:val="20"/>
                <w:color w:val="auto"/>
              </w:rPr>
            </w:pPr>
          </w:p>
        </w:tc>
      </w:tr>
      <w:tr>
        <w:trPr>
          <w:trHeight w:val="223"/>
        </w:trPr>
        <w:tc>
          <w:tcPr>
            <w:tcW w:w="9220" w:type="dxa"/>
            <w:vAlign w:val="bottom"/>
          </w:tcPr>
          <w:p>
            <w:pPr>
              <w:ind w:left="20"/>
              <w:spacing w:after="0"/>
              <w:rPr>
                <w:sz w:val="20"/>
                <w:szCs w:val="20"/>
                <w:color w:val="auto"/>
              </w:rPr>
            </w:pPr>
            <w:r>
              <w:rPr>
                <w:rFonts w:ascii="Arial" w:cs="Arial" w:eastAsia="Arial" w:hAnsi="Arial"/>
                <w:sz w:val="16"/>
                <w:szCs w:val="16"/>
                <w:color w:val="auto"/>
              </w:rPr>
              <w:t>2028 and thereafter</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9,036</w:t>
            </w:r>
          </w:p>
        </w:tc>
        <w:tc>
          <w:tcPr>
            <w:tcW w:w="100" w:type="dxa"/>
            <w:vAlign w:val="bottom"/>
          </w:tcPr>
          <w:p>
            <w:pPr>
              <w:spacing w:after="0"/>
              <w:rPr>
                <w:sz w:val="19"/>
                <w:szCs w:val="19"/>
                <w:color w:val="auto"/>
              </w:rPr>
            </w:pPr>
          </w:p>
        </w:tc>
      </w:tr>
      <w:tr>
        <w:trPr>
          <w:trHeight w:val="230"/>
        </w:trPr>
        <w:tc>
          <w:tcPr>
            <w:tcW w:w="92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lease payments</w:t>
            </w: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17,186</w:t>
            </w:r>
          </w:p>
        </w:tc>
        <w:tc>
          <w:tcPr>
            <w:tcW w:w="100" w:type="dxa"/>
            <w:vAlign w:val="bottom"/>
            <w:shd w:val="clear" w:color="auto" w:fill="CFF0FC"/>
          </w:tcPr>
          <w:p>
            <w:pPr>
              <w:spacing w:after="0"/>
              <w:rPr>
                <w:sz w:val="19"/>
                <w:szCs w:val="19"/>
                <w:color w:val="auto"/>
              </w:rPr>
            </w:pPr>
          </w:p>
        </w:tc>
      </w:tr>
      <w:tr>
        <w:trPr>
          <w:trHeight w:val="223"/>
        </w:trPr>
        <w:tc>
          <w:tcPr>
            <w:tcW w:w="9220" w:type="dxa"/>
            <w:vAlign w:val="bottom"/>
          </w:tcPr>
          <w:p>
            <w:pPr>
              <w:ind w:left="20"/>
              <w:spacing w:after="0"/>
              <w:rPr>
                <w:sz w:val="20"/>
                <w:szCs w:val="20"/>
                <w:color w:val="auto"/>
              </w:rPr>
            </w:pPr>
            <w:r>
              <w:rPr>
                <w:rFonts w:ascii="Arial" w:cs="Arial" w:eastAsia="Arial" w:hAnsi="Arial"/>
                <w:sz w:val="16"/>
                <w:szCs w:val="16"/>
                <w:color w:val="auto"/>
              </w:rPr>
              <w:t>Less interest</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w:t>
            </w:r>
          </w:p>
        </w:tc>
        <w:tc>
          <w:tcPr>
            <w:tcW w:w="100" w:type="dxa"/>
            <w:vAlign w:val="bottom"/>
          </w:tcPr>
          <w:p>
            <w:pPr>
              <w:spacing w:after="0"/>
              <w:rPr>
                <w:sz w:val="19"/>
                <w:szCs w:val="19"/>
                <w:color w:val="auto"/>
              </w:rPr>
            </w:pPr>
          </w:p>
        </w:tc>
      </w:tr>
      <w:tr>
        <w:trPr>
          <w:trHeight w:val="263"/>
        </w:trPr>
        <w:tc>
          <w:tcPr>
            <w:tcW w:w="9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Present value of lease liabilities</w:t>
            </w: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13,274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Rent expense related to noncancelable operating leases totaled $1.4 million for the year ended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25, 2022, the Company acquired RE2, Inc. a Pittsburgh, PA based developer of autonomous and teleoperated mobile robotic systems. This acquisition significantly increased our engineering team and added additional products and target markets to the Company’s total addressable market. The aggregate consideration transferred was $90.1 million, of which $30.7 million was paid in cash, $44.0 million was comprised of 9,372,674 shares of common stock and $15.4 million was comprised of assumed options to purchase 3,877,039 shares of common stock. Additionally, 1,400,000 shares of common stock were issued with a fair value of $6.6 million at the time of grant. These shares are subject to risk of forfeiture which lapses in full four years after the acquisition date. These shares were excluded from the consideration transferred and are recorded as stock-based compensation expense.</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acquisition was accounted for as a business combination and the total purchase consideration was allocated to the net tangible and intangible assets and liabilities based on their fair values on the acquisition date and the excess was recorded as goodwill. The values assigned to the assets acquired and liabilities assumed are based on preliminary estimates of fair value available as of the issuance date of these consolidated financial statements and may be adjusted during the measurement period of up to 12 months from the date of acquisition as further information becomes available. Any changes in the fair values of the assets acquired and liabilities assumed during the measurement period may result in adjustments to goodwill. As of December 31, 2022, the primary areas that remain preliminary relate to the valuation of certain intangible items and various tax implications resulting from the acquisition.</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preliminary purchase consideration allocation recorded in the Company’s consolidated balance sheet as of the acquisition date: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9"/>
                <w:szCs w:val="19"/>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Amount</w:t>
            </w:r>
          </w:p>
        </w:tc>
      </w:tr>
      <w:tr>
        <w:trPr>
          <w:trHeight w:val="226"/>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tcBorders>
              <w:top w:val="single" w:sz="8" w:color="auto"/>
            </w:tcBorders>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981</w:t>
            </w:r>
          </w:p>
        </w:tc>
        <w:tc>
          <w:tcPr>
            <w:tcW w:w="100" w:type="dxa"/>
            <w:vAlign w:val="bottom"/>
            <w:shd w:val="clear" w:color="auto" w:fill="CFF0FC"/>
          </w:tcPr>
          <w:p>
            <w:pPr>
              <w:spacing w:after="0"/>
              <w:rPr>
                <w:sz w:val="19"/>
                <w:szCs w:val="19"/>
                <w:color w:val="auto"/>
              </w:rPr>
            </w:pPr>
          </w:p>
        </w:tc>
      </w:tr>
      <w:tr>
        <w:trPr>
          <w:trHeight w:val="220"/>
        </w:trPr>
        <w:tc>
          <w:tcPr>
            <w:tcW w:w="92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19"/>
                <w:szCs w:val="19"/>
                <w:color w:val="auto"/>
              </w:rPr>
            </w:pPr>
          </w:p>
        </w:tc>
      </w:tr>
      <w:tr>
        <w:trPr>
          <w:trHeight w:val="239"/>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Unbilled receivables</w:t>
            </w:r>
          </w:p>
        </w:tc>
        <w:tc>
          <w:tcPr>
            <w:tcW w:w="3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1,968</w:t>
            </w:r>
          </w:p>
        </w:tc>
        <w:tc>
          <w:tcPr>
            <w:tcW w:w="100" w:type="dxa"/>
            <w:vAlign w:val="bottom"/>
            <w:shd w:val="clear" w:color="auto" w:fill="CFF0FC"/>
          </w:tcPr>
          <w:p>
            <w:pPr>
              <w:spacing w:after="0"/>
              <w:rPr>
                <w:sz w:val="20"/>
                <w:szCs w:val="20"/>
                <w:color w:val="auto"/>
              </w:rPr>
            </w:pPr>
          </w:p>
        </w:tc>
      </w:tr>
      <w:tr>
        <w:trPr>
          <w:trHeight w:val="220"/>
        </w:trPr>
        <w:tc>
          <w:tcPr>
            <w:tcW w:w="92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9"/>
                <w:szCs w:val="19"/>
                <w:color w:val="auto"/>
              </w:rPr>
            </w:pPr>
          </w:p>
        </w:tc>
      </w:tr>
      <w:tr>
        <w:trPr>
          <w:trHeight w:val="239"/>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FF0FC"/>
          </w:tcPr>
          <w:p>
            <w:pPr>
              <w:spacing w:after="0"/>
              <w:rPr>
                <w:sz w:val="20"/>
                <w:szCs w:val="20"/>
                <w:color w:val="auto"/>
              </w:rPr>
            </w:pPr>
          </w:p>
        </w:tc>
      </w:tr>
      <w:tr>
        <w:trPr>
          <w:trHeight w:val="220"/>
        </w:trPr>
        <w:tc>
          <w:tcPr>
            <w:tcW w:w="922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1,084</w:t>
            </w:r>
          </w:p>
        </w:tc>
        <w:tc>
          <w:tcPr>
            <w:tcW w:w="100" w:type="dxa"/>
            <w:vAlign w:val="bottom"/>
          </w:tcPr>
          <w:p>
            <w:pPr>
              <w:spacing w:after="0"/>
              <w:rPr>
                <w:sz w:val="19"/>
                <w:szCs w:val="19"/>
                <w:color w:val="auto"/>
              </w:rPr>
            </w:pPr>
          </w:p>
        </w:tc>
      </w:tr>
      <w:tr>
        <w:trPr>
          <w:trHeight w:val="239"/>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 assets</w:t>
            </w:r>
          </w:p>
        </w:tc>
        <w:tc>
          <w:tcPr>
            <w:tcW w:w="3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21,300</w:t>
            </w:r>
          </w:p>
        </w:tc>
        <w:tc>
          <w:tcPr>
            <w:tcW w:w="100" w:type="dxa"/>
            <w:vAlign w:val="bottom"/>
            <w:shd w:val="clear" w:color="auto" w:fill="CFF0FC"/>
          </w:tcPr>
          <w:p>
            <w:pPr>
              <w:spacing w:after="0"/>
              <w:rPr>
                <w:sz w:val="20"/>
                <w:szCs w:val="20"/>
                <w:color w:val="auto"/>
              </w:rPr>
            </w:pPr>
          </w:p>
        </w:tc>
      </w:tr>
      <w:tr>
        <w:trPr>
          <w:trHeight w:val="220"/>
        </w:trPr>
        <w:tc>
          <w:tcPr>
            <w:tcW w:w="92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70,236</w:t>
            </w:r>
          </w:p>
        </w:tc>
        <w:tc>
          <w:tcPr>
            <w:tcW w:w="100" w:type="dxa"/>
            <w:vAlign w:val="bottom"/>
          </w:tcPr>
          <w:p>
            <w:pPr>
              <w:spacing w:after="0"/>
              <w:rPr>
                <w:sz w:val="19"/>
                <w:szCs w:val="19"/>
                <w:color w:val="auto"/>
              </w:rPr>
            </w:pPr>
          </w:p>
        </w:tc>
      </w:tr>
      <w:tr>
        <w:trPr>
          <w:trHeight w:val="239"/>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assets</w:t>
            </w:r>
          </w:p>
        </w:tc>
        <w:tc>
          <w:tcPr>
            <w:tcW w:w="3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1,486</w:t>
            </w:r>
          </w:p>
        </w:tc>
        <w:tc>
          <w:tcPr>
            <w:tcW w:w="100" w:type="dxa"/>
            <w:vAlign w:val="bottom"/>
            <w:shd w:val="clear" w:color="auto" w:fill="CFF0FC"/>
          </w:tcPr>
          <w:p>
            <w:pPr>
              <w:spacing w:after="0"/>
              <w:rPr>
                <w:sz w:val="20"/>
                <w:szCs w:val="20"/>
                <w:color w:val="auto"/>
              </w:rPr>
            </w:pPr>
          </w:p>
        </w:tc>
      </w:tr>
      <w:tr>
        <w:trPr>
          <w:trHeight w:val="220"/>
        </w:trPr>
        <w:tc>
          <w:tcPr>
            <w:tcW w:w="922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r>
      <w:tr>
        <w:trPr>
          <w:trHeight w:val="239"/>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(822 )</w:t>
            </w:r>
          </w:p>
        </w:tc>
      </w:tr>
      <w:tr>
        <w:trPr>
          <w:trHeight w:val="220"/>
        </w:trPr>
        <w:tc>
          <w:tcPr>
            <w:tcW w:w="922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3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6"/>
                <w:szCs w:val="16"/>
                <w:color w:val="auto"/>
              </w:rPr>
              <w:t>(2,334 )</w:t>
            </w:r>
          </w:p>
        </w:tc>
      </w:tr>
      <w:tr>
        <w:trPr>
          <w:trHeight w:val="239"/>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operating lease liabilities</w:t>
            </w:r>
          </w:p>
        </w:tc>
        <w:tc>
          <w:tcPr>
            <w:tcW w:w="3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(458 )</w:t>
            </w:r>
          </w:p>
        </w:tc>
      </w:tr>
      <w:tr>
        <w:trPr>
          <w:trHeight w:val="220"/>
        </w:trPr>
        <w:tc>
          <w:tcPr>
            <w:tcW w:w="92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3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6"/>
                <w:szCs w:val="16"/>
                <w:color w:val="auto"/>
              </w:rPr>
              <w:t>(1,028 )</w:t>
            </w:r>
          </w:p>
        </w:tc>
      </w:tr>
      <w:tr>
        <w:trPr>
          <w:trHeight w:val="233"/>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 liabilities</w:t>
            </w:r>
          </w:p>
        </w:tc>
        <w:tc>
          <w:tcPr>
            <w:tcW w:w="3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(3,895 )</w:t>
            </w:r>
          </w:p>
        </w:tc>
      </w:tr>
      <w:tr>
        <w:trPr>
          <w:trHeight w:val="223"/>
        </w:trPr>
        <w:tc>
          <w:tcPr>
            <w:tcW w:w="922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Total acquisition consideration</w:t>
            </w: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90,078</w:t>
            </w:r>
          </w:p>
        </w:tc>
        <w:tc>
          <w:tcPr>
            <w:tcW w:w="100" w:type="dxa"/>
            <w:vAlign w:val="bottom"/>
            <w:tcBorders>
              <w:top w:val="single" w:sz="8" w:color="CFF0FC"/>
            </w:tcBorders>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(in thousands):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b w:val="1"/>
                <w:bCs w:val="1"/>
                <w:color w:val="auto"/>
                <w:w w:val="98"/>
              </w:rPr>
              <w:t>Weighted Average</w:t>
            </w:r>
          </w:p>
        </w:tc>
        <w:tc>
          <w:tcPr>
            <w:tcW w:w="100" w:type="dxa"/>
            <w:vAlign w:val="bottom"/>
          </w:tcPr>
          <w:p>
            <w:pPr>
              <w:spacing w:after="0"/>
              <w:rPr>
                <w:sz w:val="17"/>
                <w:szCs w:val="17"/>
                <w:color w:val="auto"/>
              </w:rPr>
            </w:pPr>
          </w:p>
        </w:tc>
      </w:tr>
      <w:tr>
        <w:trPr>
          <w:trHeight w:val="227"/>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Amounts</w:t>
            </w:r>
          </w:p>
        </w:tc>
        <w:tc>
          <w:tcPr>
            <w:tcW w:w="2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Useful Life (in years)</w:t>
            </w:r>
          </w:p>
        </w:tc>
        <w:tc>
          <w:tcPr>
            <w:tcW w:w="100" w:type="dxa"/>
            <w:vAlign w:val="bottom"/>
          </w:tcPr>
          <w:p>
            <w:pPr>
              <w:spacing w:after="0"/>
              <w:rPr>
                <w:sz w:val="19"/>
                <w:szCs w:val="19"/>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name and trademarks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Customer relationships</w:t>
            </w:r>
          </w:p>
        </w:tc>
        <w:tc>
          <w:tcPr>
            <w:tcW w:w="3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10,700</w:t>
            </w:r>
          </w:p>
        </w:tc>
        <w:tc>
          <w:tcPr>
            <w:tcW w:w="1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20" w:type="dxa"/>
            <w:vAlign w:val="bottom"/>
          </w:tcPr>
          <w:p>
            <w:pPr>
              <w:ind w:left="200"/>
              <w:spacing w:after="0"/>
              <w:rPr>
                <w:sz w:val="20"/>
                <w:szCs w:val="20"/>
                <w:color w:val="auto"/>
              </w:rPr>
            </w:pPr>
            <w:r>
              <w:rPr>
                <w:rFonts w:ascii="Arial" w:cs="Arial" w:eastAsia="Arial" w:hAnsi="Arial"/>
                <w:sz w:val="16"/>
                <w:szCs w:val="16"/>
                <w:color w:val="auto"/>
              </w:rPr>
              <w:t>Total intangible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-179070</wp:posOffset>
            </wp:positionV>
            <wp:extent cx="68580"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Goodwill represents the future economic benefits arising from other assets that could not be individually identified and separately recognized, such as the acquired assembled workforce and synergies expected to be achieved from the integration of RE2. Goodwill is not deductible for tax purposes.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results of operations of RE2 from the date of acquisition have been included in the Company’s consolidated financial statements. Pro forma revenue and results of operations have not been presented because the historical results of RE2 are not material to the Company’s consolidated financial statements in any period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twelve months ended December 31, 2022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9"/>
                <w:szCs w:val="19"/>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Amounts</w:t>
            </w:r>
          </w:p>
        </w:tc>
      </w:tr>
      <w:tr>
        <w:trPr>
          <w:trHeight w:val="226"/>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2021</w:t>
            </w:r>
          </w:p>
        </w:tc>
        <w:tc>
          <w:tcPr>
            <w:tcW w:w="360" w:type="dxa"/>
            <w:vAlign w:val="bottom"/>
            <w:tcBorders>
              <w:top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20"/>
        </w:trPr>
        <w:tc>
          <w:tcPr>
            <w:tcW w:w="9220" w:type="dxa"/>
            <w:vAlign w:val="bottom"/>
          </w:tcPr>
          <w:p>
            <w:pPr>
              <w:ind w:left="20"/>
              <w:spacing w:after="0"/>
              <w:rPr>
                <w:sz w:val="20"/>
                <w:szCs w:val="20"/>
                <w:color w:val="auto"/>
              </w:rPr>
            </w:pPr>
            <w:r>
              <w:rPr>
                <w:rFonts w:ascii="Arial" w:cs="Arial" w:eastAsia="Arial" w:hAnsi="Arial"/>
                <w:sz w:val="16"/>
                <w:szCs w:val="16"/>
                <w:color w:val="auto"/>
              </w:rPr>
              <w:t>Acquisition</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70,236</w:t>
            </w:r>
          </w:p>
        </w:tc>
        <w:tc>
          <w:tcPr>
            <w:tcW w:w="100" w:type="dxa"/>
            <w:vAlign w:val="bottom"/>
          </w:tcPr>
          <w:p>
            <w:pPr>
              <w:spacing w:after="0"/>
              <w:rPr>
                <w:sz w:val="19"/>
                <w:szCs w:val="19"/>
                <w:color w:val="auto"/>
              </w:rPr>
            </w:pPr>
          </w:p>
        </w:tc>
      </w:tr>
      <w:tr>
        <w:trPr>
          <w:trHeight w:val="233"/>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Impairment</w:t>
            </w:r>
          </w:p>
        </w:tc>
        <w:tc>
          <w:tcPr>
            <w:tcW w:w="36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(70,236 )</w:t>
            </w:r>
          </w:p>
        </w:tc>
      </w:tr>
      <w:tr>
        <w:trPr>
          <w:trHeight w:val="223"/>
        </w:trPr>
        <w:tc>
          <w:tcPr>
            <w:tcW w:w="92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Balance at December 31, 2022</w:t>
            </w: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sustained decreases in the Company’s publicly quoted share price the Company conducted an analysis of its goodwill as of December 31, 2022. The Company identified indicators of goodwill impairment for its single reporting unit and concluded that a triggering event had occurred which required a quantitative goodwill impairment assessment. The primary indicators of impairment were the sustained decreases in the Company’s publicly quoted share price and market capitalization.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estimated the reporting unit's fair value under an income approach using a discounted cash flow model. The income approach used the reporting unit's projections of estimated operating results and cash flows that were discounted using a market participant discount rate based on the weighted-average cost of capital. The main assumptions supporting the cash flow projections include, but are not limited to, revenue growth, margins, discount rate, and terminal growth rate. The financial projections reflect management's best estimate of economic and market conditions over the projected period, including forecasted revenue growth, margins, capital expenditures, depreciation and amortization.</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Company's quantitative goodwill impairment test, that it performed during the fourth quarter of 2022, it concluded that the carrying value of its reporting unit exceeded its fair value and that goodwill was fully impaired as of December 31, 2022. The Company recorded a $70.2 million non-cash goodwill impairment charge for the twelve months ended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Acquired intangible assets, net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5"/>
          </w:tcPr>
          <w:p>
            <w:pPr>
              <w:jc w:val="right"/>
              <w:ind w:right="1219"/>
              <w:spacing w:after="0"/>
              <w:rPr>
                <w:sz w:val="20"/>
                <w:szCs w:val="20"/>
                <w:color w:val="auto"/>
              </w:rPr>
            </w:pPr>
            <w:r>
              <w:rPr>
                <w:rFonts w:ascii="Arial" w:cs="Arial" w:eastAsia="Arial" w:hAnsi="Arial"/>
                <w:sz w:val="16"/>
                <w:szCs w:val="16"/>
                <w:b w:val="1"/>
                <w:bCs w:val="1"/>
                <w:color w:val="auto"/>
              </w:rPr>
              <w:t>December 31, 2022</w:t>
            </w: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7"/>
                <w:szCs w:val="17"/>
                <w:color w:val="auto"/>
              </w:rPr>
            </w:pPr>
          </w:p>
        </w:tc>
      </w:tr>
      <w:tr>
        <w:trPr>
          <w:trHeight w:val="203"/>
        </w:trPr>
        <w:tc>
          <w:tcPr>
            <w:tcW w:w="3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Accumulated</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Useful Life</w:t>
            </w:r>
          </w:p>
        </w:tc>
        <w:tc>
          <w:tcPr>
            <w:tcW w:w="100" w:type="dxa"/>
            <w:vAlign w:val="bottom"/>
          </w:tcPr>
          <w:p>
            <w:pPr>
              <w:spacing w:after="0"/>
              <w:rPr>
                <w:sz w:val="17"/>
                <w:szCs w:val="17"/>
                <w:color w:val="auto"/>
              </w:rPr>
            </w:pPr>
          </w:p>
        </w:tc>
      </w:tr>
      <w:tr>
        <w:trPr>
          <w:trHeight w:val="227"/>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Gross Carrying Amount</w:t>
            </w:r>
          </w:p>
        </w:tc>
        <w:tc>
          <w:tcPr>
            <w:tcW w:w="2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Amortization</w:t>
            </w:r>
          </w:p>
        </w:tc>
        <w:tc>
          <w:tcPr>
            <w:tcW w:w="4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4"/>
              </w:rPr>
              <w:t>Net Carrying Amount</w:t>
            </w:r>
          </w:p>
        </w:tc>
        <w:tc>
          <w:tcPr>
            <w:tcW w:w="14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years)</w:t>
            </w:r>
          </w:p>
        </w:tc>
        <w:tc>
          <w:tcPr>
            <w:tcW w:w="100" w:type="dxa"/>
            <w:vAlign w:val="bottom"/>
          </w:tcPr>
          <w:p>
            <w:pPr>
              <w:spacing w:after="0"/>
              <w:rPr>
                <w:sz w:val="19"/>
                <w:szCs w:val="19"/>
                <w:color w:val="auto"/>
              </w:rPr>
            </w:pPr>
          </w:p>
        </w:tc>
      </w:tr>
      <w:tr>
        <w:trPr>
          <w:trHeight w:val="226"/>
        </w:trPr>
        <w:tc>
          <w:tcPr>
            <w:tcW w:w="3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name and trademarks</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600" w:type="dxa"/>
            <w:vAlign w:val="bottom"/>
            <w:gridSpan w:val="2"/>
            <w:shd w:val="clear" w:color="auto" w:fill="CFF0FC"/>
          </w:tcPr>
          <w:p>
            <w:pPr>
              <w:jc w:val="right"/>
              <w:ind w:right="12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889</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FF0FC"/>
          </w:tcPr>
          <w:p>
            <w:pPr>
              <w:spacing w:after="0"/>
              <w:rPr>
                <w:sz w:val="19"/>
                <w:szCs w:val="19"/>
                <w:color w:val="auto"/>
              </w:rPr>
            </w:pPr>
          </w:p>
        </w:tc>
      </w:tr>
      <w:tr>
        <w:trPr>
          <w:trHeight w:val="220"/>
        </w:trPr>
        <w:tc>
          <w:tcPr>
            <w:tcW w:w="346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9,600</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1,280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8,320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9"/>
                <w:szCs w:val="19"/>
                <w:color w:val="auto"/>
              </w:rPr>
            </w:pPr>
          </w:p>
        </w:tc>
      </w:tr>
      <w:tr>
        <w:trPr>
          <w:trHeight w:val="236"/>
        </w:trPr>
        <w:tc>
          <w:tcPr>
            <w:tcW w:w="3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Customer relationships</w:t>
            </w:r>
          </w:p>
        </w:tc>
        <w:tc>
          <w:tcPr>
            <w:tcW w:w="7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10,700</w:t>
            </w:r>
          </w:p>
        </w:tc>
        <w:tc>
          <w:tcPr>
            <w:tcW w:w="20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793</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9,907</w:t>
            </w:r>
          </w:p>
        </w:tc>
        <w:tc>
          <w:tcPr>
            <w:tcW w:w="18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3460" w:type="dxa"/>
            <w:vAlign w:val="bottom"/>
          </w:tcPr>
          <w:p>
            <w:pPr>
              <w:ind w:left="200"/>
              <w:spacing w:after="0"/>
              <w:rPr>
                <w:sz w:val="20"/>
                <w:szCs w:val="20"/>
                <w:color w:val="auto"/>
              </w:rPr>
            </w:pPr>
            <w:r>
              <w:rPr>
                <w:rFonts w:ascii="Arial" w:cs="Arial" w:eastAsia="Arial" w:hAnsi="Arial"/>
                <w:sz w:val="16"/>
                <w:szCs w:val="16"/>
                <w:color w:val="auto"/>
              </w:rPr>
              <w:t>Total</w:t>
            </w: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21,300</w:t>
            </w:r>
          </w:p>
        </w:tc>
        <w:tc>
          <w:tcPr>
            <w:tcW w:w="1600" w:type="dxa"/>
            <w:vAlign w:val="bottom"/>
            <w:gridSpan w:val="2"/>
          </w:tcPr>
          <w:p>
            <w:pPr>
              <w:jc w:val="right"/>
              <w:ind w:right="121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2,184</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19,116</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-179070</wp:posOffset>
            </wp:positionV>
            <wp:extent cx="77470"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-179070</wp:posOffset>
            </wp:positionV>
            <wp:extent cx="68580"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-179070</wp:posOffset>
            </wp:positionV>
            <wp:extent cx="68580"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$2.2 million of amortization expense during the twelve months ended December 31, 2022, which was recorded as intangible amortization expense in the consolidated statement of operations. There was no amortization expense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4" w:name="page95"/>
    <w:bookmarkEnd w:id="94"/>
    <w:p>
      <w:pPr>
        <w:jc w:val="both"/>
        <w:spacing w:after="0" w:line="263" w:lineRule="auto"/>
        <w:rPr>
          <w:sz w:val="20"/>
          <w:szCs w:val="20"/>
          <w:color w:val="auto"/>
        </w:rPr>
      </w:pPr>
      <w:r>
        <w:rPr>
          <w:rFonts w:ascii="Arial" w:cs="Arial" w:eastAsia="Arial" w:hAnsi="Arial"/>
          <w:sz w:val="18"/>
          <w:szCs w:val="18"/>
          <w:color w:val="auto"/>
        </w:rPr>
        <w:t>during the twelve months ended December 31, 2021. Due to the impairment of goodwill discussed above the Company performed an impairment analysis of its intangible assets and other long-lived assets. As a result of this analysis, the Company concluded there was no impairment of intangible assets or other long-lived assets for the twelve months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future amortization expense related to acquired intangible assets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5"/>
              </w:rPr>
              <w:t>Amortization Expense</w:t>
            </w:r>
          </w:p>
        </w:tc>
        <w:tc>
          <w:tcPr>
            <w:tcW w:w="100" w:type="dxa"/>
            <w:vAlign w:val="bottom"/>
          </w:tcPr>
          <w:p>
            <w:pPr>
              <w:spacing w:after="0"/>
              <w:rPr>
                <w:sz w:val="19"/>
                <w:szCs w:val="19"/>
                <w:color w:val="auto"/>
              </w:rPr>
            </w:pPr>
          </w:p>
        </w:tc>
      </w:tr>
      <w:tr>
        <w:trPr>
          <w:trHeight w:val="226"/>
        </w:trPr>
        <w:tc>
          <w:tcPr>
            <w:tcW w:w="9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3,276</w:t>
            </w:r>
          </w:p>
        </w:tc>
        <w:tc>
          <w:tcPr>
            <w:tcW w:w="100" w:type="dxa"/>
            <w:vAlign w:val="bottom"/>
            <w:shd w:val="clear" w:color="auto" w:fill="CFF0FC"/>
          </w:tcPr>
          <w:p>
            <w:pPr>
              <w:spacing w:after="0"/>
              <w:rPr>
                <w:sz w:val="19"/>
                <w:szCs w:val="19"/>
                <w:color w:val="auto"/>
              </w:rPr>
            </w:pPr>
          </w:p>
        </w:tc>
      </w:tr>
      <w:tr>
        <w:trPr>
          <w:trHeight w:val="220"/>
        </w:trPr>
        <w:tc>
          <w:tcPr>
            <w:tcW w:w="9080" w:type="dxa"/>
            <w:vAlign w:val="bottom"/>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3,276</w:t>
            </w:r>
          </w:p>
        </w:tc>
        <w:tc>
          <w:tcPr>
            <w:tcW w:w="100" w:type="dxa"/>
            <w:vAlign w:val="bottom"/>
          </w:tcPr>
          <w:p>
            <w:pPr>
              <w:spacing w:after="0"/>
              <w:rPr>
                <w:sz w:val="19"/>
                <w:szCs w:val="19"/>
                <w:color w:val="auto"/>
              </w:rPr>
            </w:pPr>
          </w:p>
        </w:tc>
      </w:tr>
      <w:tr>
        <w:trPr>
          <w:trHeight w:val="239"/>
        </w:trPr>
        <w:tc>
          <w:tcPr>
            <w:tcW w:w="9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3,276</w:t>
            </w:r>
          </w:p>
        </w:tc>
        <w:tc>
          <w:tcPr>
            <w:tcW w:w="100" w:type="dxa"/>
            <w:vAlign w:val="bottom"/>
            <w:shd w:val="clear" w:color="auto" w:fill="CFF0FC"/>
          </w:tcPr>
          <w:p>
            <w:pPr>
              <w:spacing w:after="0"/>
              <w:rPr>
                <w:sz w:val="20"/>
                <w:szCs w:val="20"/>
                <w:color w:val="auto"/>
              </w:rPr>
            </w:pPr>
          </w:p>
        </w:tc>
      </w:tr>
      <w:tr>
        <w:trPr>
          <w:trHeight w:val="220"/>
        </w:trPr>
        <w:tc>
          <w:tcPr>
            <w:tcW w:w="9080" w:type="dxa"/>
            <w:vAlign w:val="bottom"/>
          </w:tcPr>
          <w:p>
            <w:pPr>
              <w:ind w:left="20"/>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3,276</w:t>
            </w:r>
          </w:p>
        </w:tc>
        <w:tc>
          <w:tcPr>
            <w:tcW w:w="100" w:type="dxa"/>
            <w:vAlign w:val="bottom"/>
          </w:tcPr>
          <w:p>
            <w:pPr>
              <w:spacing w:after="0"/>
              <w:rPr>
                <w:sz w:val="19"/>
                <w:szCs w:val="19"/>
                <w:color w:val="auto"/>
              </w:rPr>
            </w:pPr>
          </w:p>
        </w:tc>
      </w:tr>
      <w:tr>
        <w:trPr>
          <w:trHeight w:val="239"/>
        </w:trPr>
        <w:tc>
          <w:tcPr>
            <w:tcW w:w="9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2027</w:t>
            </w:r>
          </w:p>
        </w:tc>
        <w:tc>
          <w:tcPr>
            <w:tcW w:w="18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1,996</w:t>
            </w:r>
          </w:p>
        </w:tc>
        <w:tc>
          <w:tcPr>
            <w:tcW w:w="100" w:type="dxa"/>
            <w:vAlign w:val="bottom"/>
            <w:shd w:val="clear" w:color="auto" w:fill="CFF0FC"/>
          </w:tcPr>
          <w:p>
            <w:pPr>
              <w:spacing w:after="0"/>
              <w:rPr>
                <w:sz w:val="20"/>
                <w:szCs w:val="20"/>
                <w:color w:val="auto"/>
              </w:rPr>
            </w:pPr>
          </w:p>
        </w:tc>
      </w:tr>
      <w:tr>
        <w:trPr>
          <w:trHeight w:val="223"/>
        </w:trPr>
        <w:tc>
          <w:tcPr>
            <w:tcW w:w="9080" w:type="dxa"/>
            <w:vAlign w:val="bottom"/>
          </w:tcPr>
          <w:p>
            <w:pPr>
              <w:ind w:left="20"/>
              <w:spacing w:after="0"/>
              <w:rPr>
                <w:sz w:val="20"/>
                <w:szCs w:val="20"/>
                <w:color w:val="auto"/>
              </w:rPr>
            </w:pPr>
            <w:r>
              <w:rPr>
                <w:rFonts w:ascii="Arial" w:cs="Arial" w:eastAsia="Arial" w:hAnsi="Arial"/>
                <w:sz w:val="16"/>
                <w:szCs w:val="16"/>
                <w:color w:val="auto"/>
              </w:rPr>
              <w:t>2028 and thereafter</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4,016</w:t>
            </w:r>
          </w:p>
        </w:tc>
        <w:tc>
          <w:tcPr>
            <w:tcW w:w="100" w:type="dxa"/>
            <w:vAlign w:val="bottom"/>
          </w:tcPr>
          <w:p>
            <w:pPr>
              <w:spacing w:after="0"/>
              <w:rPr>
                <w:sz w:val="19"/>
                <w:szCs w:val="19"/>
                <w:color w:val="auto"/>
              </w:rPr>
            </w:pPr>
          </w:p>
        </w:tc>
      </w:tr>
      <w:tr>
        <w:trPr>
          <w:trHeight w:val="263"/>
        </w:trPr>
        <w:tc>
          <w:tcPr>
            <w:tcW w:w="9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19,116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Notes Payable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Old Sarcos received two unsecured loans under the Paycheck Protection Program (“PPP”) administered by the Small Business Administration, pursuant to the Coronavirus Aid, Relief, and Economic Security Act. The first loan, with a principal amount of $2.4 million, was received in April 2020, and the second loan, with a principal amount of $2.0 million, was received in March 2021. These PPP loans had an interest rate of 1.00% per year. The first PPP loan of $2.4 million was forgiven during June 2021, and the second PPP loan of $2.0 million was forgiven during November 2021. As of December 31, 2022, the Company did not have any outstanding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Reverse Recapitalization</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Pursuant to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Business Combination was accounted for as a reverse recapitalization, rather than a business combination, for financial accounting and reporting purposes. Accordingly, Old Sarcos was deemed the accounting acquirer (and legal acquiree) and Rotor was treated as the accounting acquiree (and legal acquirer). Under this method of accounting, the reverse recapitalization was treated as the equivalent of Old Sarcos issuing stock for the net assets of Rotor, accompanied by a recapitalization. The net assets of Rotor are stated at historical cost, with no goodwill or other intangible assets recorded. The consolidated assets, liabilities, and results of operations prior to the Merger are those of Old Sarcos. The shares and corresponding capital amounts and earnings per share available for common stockholders, prior to the Merger, have been retroactively restated as shares reflecting the Exchange Ratio.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Shares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holder of Old Sarcos capital stock (including the Old Sarcos RSA) is entitled to a right to Contingent Merger Consideration following the closing of the Business Combination in the form of earn-outs, up to an aggregate of 28,125,000 shares of Common Stock (the “Earn-Out Shares”). The Earn-Out Shares will become payable as follows:</w:t>
      </w:r>
    </w:p>
    <w:p>
      <w:pPr>
        <w:spacing w:after="0" w:line="76" w:lineRule="exact"/>
        <w:rPr>
          <w:sz w:val="20"/>
          <w:szCs w:val="20"/>
          <w:color w:val="auto"/>
        </w:rPr>
      </w:pPr>
    </w:p>
    <w:p>
      <w:pPr>
        <w:jc w:val="both"/>
        <w:ind w:left="1020" w:hanging="503"/>
        <w:spacing w:after="0" w:line="263"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14,062,500 shares of Common Stock of the Company in the aggregate if the closing share price of a share of Common Stock of the Company is equal to or exceeds $15.00 for 20 trading days in any 30 consecutive trading day period at any time during the period beginning on the first anniversary of the Closing Date and ending on the fourth anniversary of the Closing Date.</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14,062,500 shares of Common Stock of the Company if the closing share price of a share of Common Stock of the Company is equal to or exceeds $20.00 for 20 trading days in any 30 consecutive trading day period at any time during the period beginning on the first anniversary of the Closing Date and ending on the fifth anniversary of the Closing Date.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Earn-Out Shares issuable to holders of Old Sarcos capital stock are accounted for as equity-linked instruments and recorded in additional paid-in capital, and the Earn-Out Shares issuable to holders of Old Sarcos capital stock subject to restricted stock awards are accounted for as share-based compensation. The Earn-Out Shares are treated as equity-linked instruments as opposed to shares outstanding, and as such are not included in shares outstanding on the Company’s condensed consolidated balance sheets. As of December 31, 2022, there were 28,125,000 Earn-Out Shares outstanding.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5" w:name="page96"/>
    <w:bookmarkEnd w:id="95"/>
    <w:p>
      <w:pPr>
        <w:ind w:right="280"/>
        <w:spacing w:after="0" w:line="308" w:lineRule="auto"/>
        <w:rPr>
          <w:sz w:val="20"/>
          <w:szCs w:val="20"/>
          <w:color w:val="auto"/>
        </w:rPr>
      </w:pPr>
      <w:r>
        <w:rPr>
          <w:rFonts w:ascii="Arial" w:cs="Arial" w:eastAsia="Arial" w:hAnsi="Arial"/>
          <w:sz w:val="17"/>
          <w:szCs w:val="17"/>
          <w:color w:val="auto"/>
        </w:rPr>
        <w:t>Immediately following the Business Combination, the Company had 137,589,275 shares issued and outstanding of Common Stock. The following table presents the number of shares of the Company’s Common Stock outstanding immediately following the Business Combination: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40" w:type="dxa"/>
            <w:vAlign w:val="bottom"/>
          </w:tcPr>
          <w:p>
            <w:pPr>
              <w:spacing w:after="0"/>
              <w:rPr>
                <w:sz w:val="19"/>
                <w:szCs w:val="19"/>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Number of Shares</w:t>
            </w: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Rotor Class A Common Stock, outstanding prior to the Business Combination</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27,600,000</w:t>
            </w:r>
          </w:p>
        </w:tc>
        <w:tc>
          <w:tcPr>
            <w:tcW w:w="100" w:type="dxa"/>
            <w:vAlign w:val="bottom"/>
            <w:shd w:val="clear" w:color="auto" w:fill="CFF0FC"/>
          </w:tcPr>
          <w:p>
            <w:pPr>
              <w:spacing w:after="0"/>
              <w:rPr>
                <w:sz w:val="19"/>
                <w:szCs w:val="19"/>
                <w:color w:val="auto"/>
              </w:rPr>
            </w:pPr>
          </w:p>
        </w:tc>
      </w:tr>
      <w:tr>
        <w:trPr>
          <w:trHeight w:val="220"/>
        </w:trPr>
        <w:tc>
          <w:tcPr>
            <w:tcW w:w="9240" w:type="dxa"/>
            <w:vAlign w:val="bottom"/>
          </w:tcPr>
          <w:p>
            <w:pPr>
              <w:ind w:left="20"/>
              <w:spacing w:after="0"/>
              <w:rPr>
                <w:sz w:val="20"/>
                <w:szCs w:val="20"/>
                <w:color w:val="auto"/>
              </w:rPr>
            </w:pPr>
            <w:r>
              <w:rPr>
                <w:rFonts w:ascii="Arial" w:cs="Arial" w:eastAsia="Arial" w:hAnsi="Arial"/>
                <w:sz w:val="16"/>
                <w:szCs w:val="16"/>
                <w:color w:val="auto"/>
              </w:rPr>
              <w:t>Rotor Class B Common Stock, outstanding prior to the Business Combination</w:t>
            </w:r>
          </w:p>
        </w:tc>
        <w:tc>
          <w:tcPr>
            <w:tcW w:w="1900" w:type="dxa"/>
            <w:vAlign w:val="bottom"/>
          </w:tcPr>
          <w:p>
            <w:pPr>
              <w:jc w:val="right"/>
              <w:spacing w:after="0"/>
              <w:rPr>
                <w:sz w:val="20"/>
                <w:szCs w:val="20"/>
                <w:color w:val="auto"/>
              </w:rPr>
            </w:pPr>
            <w:r>
              <w:rPr>
                <w:rFonts w:ascii="Arial" w:cs="Arial" w:eastAsia="Arial" w:hAnsi="Arial"/>
                <w:sz w:val="16"/>
                <w:szCs w:val="16"/>
                <w:color w:val="auto"/>
              </w:rPr>
              <w:t>6,405,960</w:t>
            </w:r>
          </w:p>
        </w:tc>
        <w:tc>
          <w:tcPr>
            <w:tcW w:w="100" w:type="dxa"/>
            <w:vAlign w:val="bottom"/>
          </w:tcPr>
          <w:p>
            <w:pPr>
              <w:spacing w:after="0"/>
              <w:rPr>
                <w:sz w:val="19"/>
                <w:szCs w:val="19"/>
                <w:color w:val="auto"/>
              </w:rPr>
            </w:pPr>
          </w:p>
        </w:tc>
      </w:tr>
      <w:tr>
        <w:trPr>
          <w:trHeight w:val="239"/>
        </w:trPr>
        <w:tc>
          <w:tcPr>
            <w:tcW w:w="9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Class A common stock issued to PIPE Investors</w:t>
            </w:r>
          </w:p>
        </w:tc>
        <w:tc>
          <w:tcPr>
            <w:tcW w:w="1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22,000,000</w:t>
            </w:r>
          </w:p>
        </w:tc>
        <w:tc>
          <w:tcPr>
            <w:tcW w:w="100" w:type="dxa"/>
            <w:vAlign w:val="bottom"/>
            <w:shd w:val="clear" w:color="auto" w:fill="CFF0FC"/>
          </w:tcPr>
          <w:p>
            <w:pPr>
              <w:spacing w:after="0"/>
              <w:rPr>
                <w:sz w:val="20"/>
                <w:szCs w:val="20"/>
                <w:color w:val="auto"/>
              </w:rPr>
            </w:pPr>
          </w:p>
        </w:tc>
      </w:tr>
      <w:tr>
        <w:trPr>
          <w:trHeight w:val="223"/>
        </w:trPr>
        <w:tc>
          <w:tcPr>
            <w:tcW w:w="9240" w:type="dxa"/>
            <w:vAlign w:val="bottom"/>
          </w:tcPr>
          <w:p>
            <w:pPr>
              <w:ind w:left="20"/>
              <w:spacing w:after="0"/>
              <w:rPr>
                <w:sz w:val="20"/>
                <w:szCs w:val="20"/>
                <w:color w:val="auto"/>
              </w:rPr>
            </w:pPr>
            <w:r>
              <w:rPr>
                <w:rFonts w:ascii="Arial" w:cs="Arial" w:eastAsia="Arial" w:hAnsi="Arial"/>
                <w:sz w:val="16"/>
                <w:szCs w:val="16"/>
                <w:color w:val="auto"/>
              </w:rPr>
              <w:t>Less: redemption of Rotor Common Stock</w:t>
            </w:r>
          </w:p>
        </w:tc>
        <w:tc>
          <w:tcPr>
            <w:tcW w:w="2000" w:type="dxa"/>
            <w:vAlign w:val="bottom"/>
            <w:gridSpan w:val="2"/>
          </w:tcPr>
          <w:p>
            <w:pPr>
              <w:jc w:val="right"/>
              <w:ind w:right="40"/>
              <w:spacing w:after="0"/>
              <w:rPr>
                <w:sz w:val="20"/>
                <w:szCs w:val="20"/>
                <w:color w:val="auto"/>
              </w:rPr>
            </w:pPr>
            <w:r>
              <w:rPr>
                <w:rFonts w:ascii="Arial" w:cs="Arial" w:eastAsia="Arial" w:hAnsi="Arial"/>
                <w:sz w:val="16"/>
                <w:szCs w:val="16"/>
                <w:color w:val="auto"/>
              </w:rPr>
              <w:t>(23,479,970 )</w:t>
            </w: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shares from the Business Combination and PIPE financing</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32,525,990</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line="230" w:lineRule="exact"/>
              <w:rPr>
                <w:sz w:val="20"/>
                <w:szCs w:val="20"/>
                <w:color w:val="auto"/>
              </w:rPr>
            </w:pPr>
            <w:r>
              <w:rPr>
                <w:rFonts w:ascii="Arial" w:cs="Arial" w:eastAsia="Arial" w:hAnsi="Arial"/>
                <w:sz w:val="16"/>
                <w:szCs w:val="16"/>
                <w:color w:val="auto"/>
              </w:rPr>
              <w:t>Recapitalization of Old Sarcos common stock into Class A common stock</w:t>
            </w:r>
            <w:r>
              <w:rPr>
                <w:rFonts w:ascii="Arial" w:cs="Arial" w:eastAsia="Arial" w:hAnsi="Arial"/>
                <w:sz w:val="21"/>
                <w:szCs w:val="21"/>
                <w:color w:val="auto"/>
                <w:vertAlign w:val="superscript"/>
              </w:rPr>
              <w:t>(1)</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105,063,285</w:t>
            </w:r>
          </w:p>
        </w:tc>
        <w:tc>
          <w:tcPr>
            <w:tcW w:w="100" w:type="dxa"/>
            <w:vAlign w:val="bottom"/>
          </w:tcPr>
          <w:p>
            <w:pPr>
              <w:spacing w:after="0"/>
              <w:rPr>
                <w:sz w:val="19"/>
                <w:szCs w:val="19"/>
                <w:color w:val="auto"/>
              </w:rPr>
            </w:pPr>
          </w:p>
        </w:tc>
      </w:tr>
      <w:tr>
        <w:trPr>
          <w:trHeight w:val="257"/>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shares of Common Stock immediately after the Business Combination</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137,589,275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jc w:val="both"/>
        <w:ind w:left="600" w:hanging="218"/>
        <w:spacing w:after="0" w:line="263" w:lineRule="auto"/>
        <w:tabs>
          <w:tab w:leader="none" w:pos="590" w:val="left"/>
        </w:tabs>
        <w:numPr>
          <w:ilvl w:val="0"/>
          <w:numId w:val="49"/>
        </w:numPr>
        <w:rPr>
          <w:rFonts w:ascii="Arial" w:cs="Arial" w:eastAsia="Arial" w:hAnsi="Arial"/>
          <w:sz w:val="23"/>
          <w:szCs w:val="23"/>
          <w:color w:val="auto"/>
          <w:vertAlign w:val="superscript"/>
        </w:rPr>
      </w:pPr>
      <w:r>
        <w:rPr>
          <w:rFonts w:ascii="Arial" w:cs="Arial" w:eastAsia="Arial" w:hAnsi="Arial"/>
          <w:sz w:val="16"/>
          <w:szCs w:val="16"/>
          <w:color w:val="auto"/>
        </w:rPr>
        <w:t>The number of Old Sarcos shares was determined from the 21,483,286 shares of Old Sarcos Common Stock warrants, Common Stock and Preferred Stock outstanding immediately prior to the closing of the Business Combination, which are presented net of the Common and Preferred Stock redeemed, converted at the Exchange Ratio of 5.129222424. This excludes a restricted stock award for 5,129,222 shares that was unvested as of the date of the Business Combination. All remaining fractional shares, after cumulating shares by stockholder, were rounded down.</w:t>
      </w:r>
    </w:p>
    <w:p>
      <w:pPr>
        <w:spacing w:after="0" w:line="2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Merger, the Company incurred direct and incremental costs of approximately $32.9 million related to legal, accounting and other professional fees, which were deducted from the Company’s additional paid-in capital as a reduction of cash proceeds rather than expensed as incurred and $1.1 million of transaction costs that were recorded to operating expenses within the consolidated statements of operations and comprehensive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31, 2020, Old Sarcos issued 250,000 Class A Common Stock warrants to one of the Series C Preferred Stock investors, at an exercise price of $11.3243 per share with an expiration date of January 31, 2030. Immediately prior to the Effective Time, all of the issued and outstanding warrants to purchase 250,000 shares of Class A Stock of Old Sarcos warrants were net exercised and then upon the Closing were exchanged for shares of the Company’s Common Stock in an amount determined by application of the Exchange Ratio, as discussed in Note 1.</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20, 2021, Rotor consummated the initial public offering (“IPO”) of 27,600,000 units (the “Units”), including the full exercise by the underwriters of their over-allotment option. Each Unit included one share of Class A Common Stock and one half of one warrant (the “Public Warrants”). Simultaneously with the closing of the IPO, Rotor consummated the sale of 7,270,000 warrants (the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Public Warrants, that were recorded as equity instruments, and the Private Placement Warrants, that were recorded as warrant liabilities (together the “Warrants”).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whole Warrant entitles the registered holder to purchase one share of the Company's Common Stock at a price of $11.50 per share, subject to adjustment as discussed below, at any time commencing on January 20, 2022, provided that the Company has an effective registration statement under the Securities Act of 1933, as amended (the “Securities Act”) covering the shares of the Common Stock issuable upon exercise of the Warrants and a current prospectus relating to them is available (or the Company permits holders to exercise their Warrants on a cashless basis under the circumstances specified in the warrant agreement (the “Warrant Agreement”) entered into between Continental Stock Transfer &amp; Trust Company and Rotor and such shares are registered, qualified or exempt from registration under the securities laws of the state of residence of the holder. Pursuant to the Warrant Agreement, a Warrant holder may exercise its Warrants only for a whole number of shares of the Company's Common Stock. The Warrants will expire five years after the completion of the Business Combination, or September 24, 2026, at 5:00 p.m., New York City time, or earlier upon redemption or liquidation. As of December 31, 2022, there were 20,549,453 Warrants outstanding.</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will not be obligated to deliver any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the Company satisfying its obligations described below with respect to registration, or a valid exemption from registration is available. No Warrant will be exercisable, and the Company will not be obligated to issue a share of Common Stock upon exercise of a Warrant unless the share of the Company's Common Stock issuable upon such Warrant exercise has been registered, qualified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6" w:name="page97"/>
    <w:bookmarkEnd w:id="96"/>
    <w:p>
      <w:pPr>
        <w:jc w:val="both"/>
        <w:spacing w:after="0" w:line="257" w:lineRule="auto"/>
        <w:rPr>
          <w:sz w:val="20"/>
          <w:szCs w:val="20"/>
          <w:color w:val="auto"/>
        </w:rPr>
      </w:pPr>
      <w:r>
        <w:rPr>
          <w:rFonts w:ascii="Arial" w:cs="Arial" w:eastAsia="Arial" w:hAnsi="Arial"/>
          <w:sz w:val="18"/>
          <w:szCs w:val="18"/>
          <w:color w:val="auto"/>
        </w:rPr>
        <w:t>or deemed to be exempt under the securities laws of the state of residence of the registered holder of the Warrants. If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a registration statement is not effective for the exercised Warrants, the purchaser in the Rotor IPO of a Unit containing such Warrant will have paid the full purchase price for the Unit solely for the share of the Company's Common Stock underlying such Unit.</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Except as described herein, the Private Placement Warrants have terms and provisions that are identical to those of the Public Warrants. If the Private Placement Warrants are held by holders other than the initial purchasers or their permitted transferees, the Private Placement Warrants will be redeemable by the Company in all redemption scenarios and exercisable by the holders on the same basis as the Public Warrants. The Private Placement Warrants will not be redeemable by the Company so long as they are held by the initial purchasers or their permitted transferees, subject to certain exceptions. The initial purchasers or their permitted transferees, have the option to exercise the Private Placement Warrants on a cashless basis.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Redemption of Warrants When the Price per Share of the Company's Common Stock Equals or Exceeds $18.00.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call the Warrants for redemption:</w:t>
      </w:r>
    </w:p>
    <w:p>
      <w:pPr>
        <w:spacing w:after="0" w:line="170" w:lineRule="exact"/>
        <w:rPr>
          <w:sz w:val="20"/>
          <w:szCs w:val="20"/>
          <w:color w:val="auto"/>
        </w:rPr>
      </w:pPr>
    </w:p>
    <w:p>
      <w:pPr>
        <w:ind w:left="760" w:hanging="378"/>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184" w:lineRule="exact"/>
        <w:rPr>
          <w:rFonts w:ascii="Arial" w:cs="Arial" w:eastAsia="Arial" w:hAnsi="Arial"/>
          <w:sz w:val="18"/>
          <w:szCs w:val="18"/>
          <w:color w:val="auto"/>
        </w:rPr>
      </w:pPr>
    </w:p>
    <w:p>
      <w:pPr>
        <w:jc w:val="both"/>
        <w:ind w:left="760" w:hanging="378"/>
        <w:spacing w:after="0" w:line="259"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shares of the Company's Common Stock for any 20 trading days within a 30-trading day period commencing after the Warrants become exercisable and ending three business days before the Company sends the notice of redemption to the Warrant holders (which is referred to as the “Reference Value”) equals or exceeds $18.00 per share (as adjusted for stock splits, stock dividends, reorganizations, recapitalizations and the like).</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and when the Warrants become redeemable by the Company, the Company may exercise its redemption right even if it is unable to register or qualify the underlying securities for sale under all applicable state securities laws. However, the Company will not redeem the Warrants unless an effective registration statement under the Securities Act covering the shares of the Company's Common Stock issuable upon exercise of the Warrants is effective and a current prospectus relating to those shares of the Company's Common Stock is available throughout the 30-day redemption period.</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Redemption of Warrants When the Price per Share of Our Common Stock Equals or Exceeds $10.00. </w:t>
      </w:r>
      <w:r>
        <w:rPr>
          <w:rFonts w:ascii="Arial" w:cs="Arial" w:eastAsia="Arial" w:hAnsi="Arial"/>
          <w:sz w:val="18"/>
          <w:szCs w:val="18"/>
          <w:color w:val="auto"/>
        </w:rPr>
        <w:t>Once the Warrants become exercisable,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may redeem the outstanding Warrants (except as described herein with respect to the Private Placement Warrants if the Company does not utilize this redemption provision):</w:t>
      </w:r>
    </w:p>
    <w:p>
      <w:pPr>
        <w:spacing w:after="0" w:line="157" w:lineRule="exact"/>
        <w:rPr>
          <w:sz w:val="20"/>
          <w:szCs w:val="20"/>
          <w:color w:val="auto"/>
        </w:rPr>
      </w:pPr>
    </w:p>
    <w:p>
      <w:pPr>
        <w:ind w:left="760" w:hanging="378"/>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the Company's Common Stock;</w:t>
      </w:r>
    </w:p>
    <w:p>
      <w:pPr>
        <w:spacing w:after="0" w:line="143"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and only if, the Reference Value (as defined above) equals or exceeds $10.00 per share (as adjusted for stock splits, stock dividends, reorganizations, recapitalizations and the like); and</w:t>
      </w:r>
    </w:p>
    <w:p>
      <w:pPr>
        <w:spacing w:after="0" w:line="143" w:lineRule="exact"/>
        <w:rPr>
          <w:rFonts w:ascii="Arial" w:cs="Arial" w:eastAsia="Arial" w:hAnsi="Arial"/>
          <w:sz w:val="18"/>
          <w:szCs w:val="18"/>
          <w:color w:val="auto"/>
        </w:rPr>
      </w:pPr>
    </w:p>
    <w:p>
      <w:pPr>
        <w:jc w:val="both"/>
        <w:ind w:left="760" w:hanging="378"/>
        <w:spacing w:after="0" w:line="286" w:lineRule="auto"/>
        <w:tabs>
          <w:tab w:leader="none" w:pos="7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the Reference Value is less than $18.00 per share (as adjusted for stock splits, stock dividends, reorganizations, recapitalizations and the like) the Private Placement Warrants must also be concurrently called for redemption on the same terms (except as described above with respect to a holder’s ability to cashless exercise its Warrants) as the outstanding Public Warrants, as described above.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7" w:name="page98"/>
    <w:bookmarkEnd w:id="97"/>
    <w:p>
      <w:pPr>
        <w:ind w:right="8880" w:firstLine="8"/>
        <w:spacing w:after="0" w:line="641" w:lineRule="auto"/>
        <w:tabs>
          <w:tab w:leader="none" w:pos="270"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 2021 Stock Plan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Sarcos Technology and Robotics Corporation 2021 Equity Incentive Plan (the “2021 Plan”) provides stock options, RSUs, RSAs, stock appreciation rights (“SARS”) and performance awards for issuance to Company employees, officers, directors, non-employee agents and consultants. In general, outstanding awards granted under the 2021 Plan vest over one to four years and, in the case of options, are exercisable up to 10 years from the date of grant. The maximum number of shares of Common Stock that may be issued pursuant to the 2021 Plan is (i) 30.0 million shares of Common Stock of the Company plus (ii) any shares of Common Stock subject to stock options and other awards that were assumed in the Business Combination and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pursuant to clause (ii) equal to 12.8 million shares of Common Stock. As of December 31, 2022, 24.9 million shares were available for grant under the 2021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Stock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Old Sarcos 2015 Equity Incentive Plan (the “2015 Plan”) provided stock options, RSUs, RSAs, SARS and performance awards for issuance to Company employees, officers, directors, non-employee agents and consultants. Outstanding awards under the 2015 Plan generally vest over three to five years and are exercisable up to 10 years from the date of grant. Unvested options are forfeited upon termination. No further awards may be made under the 2015 Plan. Any forfeited awards will be added to the 2021 Plan as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RE2 Stock Plans</w:t>
      </w:r>
    </w:p>
    <w:p>
      <w:pPr>
        <w:spacing w:after="0" w:line="25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connection with the acquisition of RE2, the Company assumed the outstanding stock plans and certain outstanding stock options of RE2. These stock options are governed by the plans and agreements under which they were originally issued, but are now exercisable for shares of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Company’s stock option activity for the years ended December 31, 2022 and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80" w:type="dxa"/>
            <w:vAlign w:val="bottom"/>
          </w:tcPr>
          <w:p>
            <w:pPr>
              <w:spacing w:after="0"/>
              <w:rPr>
                <w:sz w:val="19"/>
                <w:szCs w:val="19"/>
                <w:color w:val="auto"/>
              </w:rPr>
            </w:pPr>
          </w:p>
        </w:tc>
        <w:tc>
          <w:tcPr>
            <w:tcW w:w="360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Options Outstanding</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3"/>
              </w:rPr>
              <w:t>Remaining Contractual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Aggregate Intrinsic</w:t>
            </w:r>
          </w:p>
        </w:tc>
        <w:tc>
          <w:tcPr>
            <w:tcW w:w="100" w:type="dxa"/>
            <w:vAlign w:val="bottom"/>
          </w:tcPr>
          <w:p>
            <w:pPr>
              <w:spacing w:after="0"/>
              <w:rPr>
                <w:sz w:val="17"/>
                <w:szCs w:val="17"/>
                <w:color w:val="auto"/>
              </w:rPr>
            </w:pPr>
          </w:p>
        </w:tc>
      </w:tr>
      <w:tr>
        <w:trPr>
          <w:trHeight w:val="203"/>
        </w:trPr>
        <w:tc>
          <w:tcPr>
            <w:tcW w:w="3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b w:val="1"/>
                <w:bCs w:val="1"/>
                <w:color w:val="auto"/>
                <w:w w:val="91"/>
              </w:rPr>
              <w:t>Weighted Average</w:t>
            </w: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7"/>
              </w:rPr>
              <w:t>Term</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7"/>
                <w:szCs w:val="17"/>
                <w:color w:val="auto"/>
              </w:rPr>
            </w:pPr>
          </w:p>
        </w:tc>
      </w:tr>
      <w:tr>
        <w:trPr>
          <w:trHeight w:val="223"/>
        </w:trPr>
        <w:tc>
          <w:tcPr>
            <w:tcW w:w="3880" w:type="dxa"/>
            <w:vAlign w:val="bottom"/>
          </w:tcPr>
          <w:p>
            <w:pPr>
              <w:spacing w:after="0"/>
              <w:rPr>
                <w:sz w:val="19"/>
                <w:szCs w:val="19"/>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Number of Shares</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years)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19"/>
                <w:szCs w:val="19"/>
                <w:color w:val="auto"/>
              </w:rPr>
            </w:pPr>
          </w:p>
        </w:tc>
      </w:tr>
      <w:tr>
        <w:trPr>
          <w:trHeight w:val="230"/>
        </w:trPr>
        <w:tc>
          <w:tcPr>
            <w:tcW w:w="3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 December 31, 2020</w:t>
            </w: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7,883,087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0.59</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5,058</w:t>
            </w:r>
          </w:p>
        </w:tc>
        <w:tc>
          <w:tcPr>
            <w:tcW w:w="100" w:type="dxa"/>
            <w:vAlign w:val="bottom"/>
            <w:shd w:val="clear" w:color="auto" w:fill="CFF0FC"/>
          </w:tcPr>
          <w:p>
            <w:pPr>
              <w:spacing w:after="0"/>
              <w:rPr>
                <w:sz w:val="19"/>
                <w:szCs w:val="19"/>
                <w:color w:val="auto"/>
              </w:rPr>
            </w:pPr>
          </w:p>
        </w:tc>
      </w:tr>
      <w:tr>
        <w:trPr>
          <w:trHeight w:val="220"/>
        </w:trPr>
        <w:tc>
          <w:tcPr>
            <w:tcW w:w="3880" w:type="dxa"/>
            <w:vAlign w:val="bottom"/>
          </w:tcPr>
          <w:p>
            <w:pPr>
              <w:ind w:left="200"/>
              <w:spacing w:after="0"/>
              <w:rPr>
                <w:sz w:val="20"/>
                <w:szCs w:val="20"/>
                <w:color w:val="auto"/>
              </w:rPr>
            </w:pPr>
            <w:r>
              <w:rPr>
                <w:rFonts w:ascii="Arial" w:cs="Arial" w:eastAsia="Arial" w:hAnsi="Arial"/>
                <w:sz w:val="16"/>
                <w:szCs w:val="16"/>
                <w:color w:val="auto"/>
              </w:rPr>
              <w:t>Granted</w:t>
            </w:r>
          </w:p>
        </w:tc>
        <w:tc>
          <w:tcPr>
            <w:tcW w:w="1800" w:type="dxa"/>
            <w:vAlign w:val="bottom"/>
          </w:tcPr>
          <w:p>
            <w:pPr>
              <w:jc w:val="right"/>
              <w:spacing w:after="0"/>
              <w:rPr>
                <w:sz w:val="20"/>
                <w:szCs w:val="20"/>
                <w:color w:val="auto"/>
              </w:rPr>
            </w:pPr>
            <w:r>
              <w:rPr>
                <w:rFonts w:ascii="Arial" w:cs="Arial" w:eastAsia="Arial" w:hAnsi="Arial"/>
                <w:sz w:val="16"/>
                <w:szCs w:val="16"/>
                <w:color w:val="auto"/>
              </w:rPr>
              <w:t>3,761,109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Exercised</w:t>
            </w:r>
          </w:p>
        </w:tc>
        <w:tc>
          <w:tcPr>
            <w:tcW w:w="1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(158,129 )</w:t>
            </w: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0.16</w:t>
            </w:r>
          </w:p>
        </w:tc>
        <w:tc>
          <w:tcPr>
            <w:tcW w:w="12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w:t>
            </w:r>
          </w:p>
        </w:tc>
        <w:tc>
          <w:tcPr>
            <w:tcW w:w="100" w:type="dxa"/>
            <w:vAlign w:val="bottom"/>
            <w:shd w:val="clear" w:color="auto" w:fill="CFF0FC"/>
          </w:tcPr>
          <w:p>
            <w:pPr>
              <w:spacing w:after="0"/>
              <w:rPr>
                <w:sz w:val="20"/>
                <w:szCs w:val="20"/>
                <w:color w:val="auto"/>
              </w:rPr>
            </w:pPr>
          </w:p>
        </w:tc>
      </w:tr>
      <w:tr>
        <w:trPr>
          <w:trHeight w:val="223"/>
        </w:trPr>
        <w:tc>
          <w:tcPr>
            <w:tcW w:w="3880" w:type="dxa"/>
            <w:vAlign w:val="bottom"/>
          </w:tcPr>
          <w:p>
            <w:pPr>
              <w:ind w:left="200"/>
              <w:spacing w:after="0"/>
              <w:rPr>
                <w:sz w:val="20"/>
                <w:szCs w:val="20"/>
                <w:color w:val="auto"/>
              </w:rPr>
            </w:pPr>
            <w:r>
              <w:rPr>
                <w:rFonts w:ascii="Arial" w:cs="Arial" w:eastAsia="Arial" w:hAnsi="Arial"/>
                <w:sz w:val="16"/>
                <w:szCs w:val="16"/>
                <w:color w:val="auto"/>
              </w:rPr>
              <w:t>Cancelled</w:t>
            </w:r>
          </w:p>
        </w:tc>
        <w:tc>
          <w:tcPr>
            <w:tcW w:w="1940" w:type="dxa"/>
            <w:vAlign w:val="bottom"/>
            <w:gridSpan w:val="2"/>
          </w:tcPr>
          <w:p>
            <w:pPr>
              <w:jc w:val="right"/>
              <w:ind w:right="80"/>
              <w:spacing w:after="0"/>
              <w:rPr>
                <w:sz w:val="20"/>
                <w:szCs w:val="20"/>
                <w:color w:val="auto"/>
              </w:rPr>
            </w:pPr>
            <w:r>
              <w:rPr>
                <w:rFonts w:ascii="Arial" w:cs="Arial" w:eastAsia="Arial" w:hAnsi="Arial"/>
                <w:sz w:val="16"/>
                <w:szCs w:val="16"/>
                <w:color w:val="auto"/>
              </w:rPr>
              <w:t>(1,458,973 )</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 December 31, 2021</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10,027,094</w:t>
            </w:r>
          </w:p>
        </w:tc>
        <w:tc>
          <w:tcPr>
            <w:tcW w:w="1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67,173</w:t>
            </w:r>
          </w:p>
        </w:tc>
        <w:tc>
          <w:tcPr>
            <w:tcW w:w="100" w:type="dxa"/>
            <w:vAlign w:val="bottom"/>
            <w:shd w:val="clear" w:color="auto" w:fill="CFF0FC"/>
          </w:tcPr>
          <w:p>
            <w:pPr>
              <w:spacing w:after="0"/>
              <w:rPr>
                <w:sz w:val="19"/>
                <w:szCs w:val="19"/>
                <w:color w:val="auto"/>
              </w:rPr>
            </w:pPr>
          </w:p>
        </w:tc>
      </w:tr>
      <w:tr>
        <w:trPr>
          <w:trHeight w:val="229"/>
        </w:trPr>
        <w:tc>
          <w:tcPr>
            <w:tcW w:w="3880" w:type="dxa"/>
            <w:vAlign w:val="bottom"/>
          </w:tcPr>
          <w:p>
            <w:pPr>
              <w:ind w:left="200"/>
              <w:spacing w:after="0" w:line="230" w:lineRule="exact"/>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tc>
        <w:tc>
          <w:tcPr>
            <w:tcW w:w="1800" w:type="dxa"/>
            <w:vAlign w:val="bottom"/>
          </w:tcPr>
          <w:p>
            <w:pPr>
              <w:jc w:val="right"/>
              <w:spacing w:after="0"/>
              <w:rPr>
                <w:sz w:val="20"/>
                <w:szCs w:val="20"/>
                <w:color w:val="auto"/>
              </w:rPr>
            </w:pPr>
            <w:r>
              <w:rPr>
                <w:rFonts w:ascii="Arial" w:cs="Arial" w:eastAsia="Arial" w:hAnsi="Arial"/>
                <w:sz w:val="16"/>
                <w:szCs w:val="16"/>
                <w:color w:val="auto"/>
              </w:rPr>
              <w:t>7,533,763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Exercised</w:t>
            </w:r>
          </w:p>
        </w:tc>
        <w:tc>
          <w:tcPr>
            <w:tcW w:w="1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(1,894,215 )</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6,050</w:t>
            </w:r>
          </w:p>
        </w:tc>
        <w:tc>
          <w:tcPr>
            <w:tcW w:w="100" w:type="dxa"/>
            <w:vAlign w:val="bottom"/>
            <w:shd w:val="clear" w:color="auto" w:fill="CFF0FC"/>
          </w:tcPr>
          <w:p>
            <w:pPr>
              <w:spacing w:after="0"/>
              <w:rPr>
                <w:sz w:val="19"/>
                <w:szCs w:val="19"/>
                <w:color w:val="auto"/>
              </w:rPr>
            </w:pPr>
          </w:p>
        </w:tc>
      </w:tr>
      <w:tr>
        <w:trPr>
          <w:trHeight w:val="223"/>
        </w:trPr>
        <w:tc>
          <w:tcPr>
            <w:tcW w:w="3880" w:type="dxa"/>
            <w:vAlign w:val="bottom"/>
          </w:tcPr>
          <w:p>
            <w:pPr>
              <w:ind w:left="200"/>
              <w:spacing w:after="0"/>
              <w:rPr>
                <w:sz w:val="20"/>
                <w:szCs w:val="20"/>
                <w:color w:val="auto"/>
              </w:rPr>
            </w:pPr>
            <w:r>
              <w:rPr>
                <w:rFonts w:ascii="Arial" w:cs="Arial" w:eastAsia="Arial" w:hAnsi="Arial"/>
                <w:sz w:val="16"/>
                <w:szCs w:val="16"/>
                <w:color w:val="auto"/>
              </w:rPr>
              <w:t>Cancelled</w:t>
            </w:r>
          </w:p>
        </w:tc>
        <w:tc>
          <w:tcPr>
            <w:tcW w:w="1940" w:type="dxa"/>
            <w:vAlign w:val="bottom"/>
            <w:gridSpan w:val="2"/>
          </w:tcPr>
          <w:p>
            <w:pPr>
              <w:jc w:val="right"/>
              <w:ind w:right="80"/>
              <w:spacing w:after="0"/>
              <w:rPr>
                <w:sz w:val="20"/>
                <w:szCs w:val="20"/>
                <w:color w:val="auto"/>
              </w:rPr>
            </w:pPr>
            <w:r>
              <w:rPr>
                <w:rFonts w:ascii="Arial" w:cs="Arial" w:eastAsia="Arial" w:hAnsi="Arial"/>
                <w:sz w:val="16"/>
                <w:szCs w:val="16"/>
                <w:color w:val="auto"/>
              </w:rPr>
              <w:t>(1,403,477 )</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Outstanding – December 31, 2022</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14,263,165</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6"/>
                <w:szCs w:val="16"/>
                <w:color w:val="auto"/>
              </w:rPr>
              <w:t>Exercisable – December 31, 2021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5,176,464</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49,268</w:t>
            </w:r>
          </w:p>
        </w:tc>
        <w:tc>
          <w:tcPr>
            <w:tcW w:w="100" w:type="dxa"/>
            <w:vAlign w:val="bottom"/>
          </w:tcPr>
          <w:p>
            <w:pPr>
              <w:spacing w:after="0"/>
              <w:rPr>
                <w:sz w:val="19"/>
                <w:szCs w:val="19"/>
                <w:color w:val="auto"/>
              </w:rPr>
            </w:pPr>
          </w:p>
        </w:tc>
      </w:tr>
      <w:tr>
        <w:trPr>
          <w:trHeight w:val="263"/>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Exercisable – December 31, 2022</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8,489,185</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-334010</wp:posOffset>
            </wp:positionV>
            <wp:extent cx="77470"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-334010</wp:posOffset>
            </wp:positionV>
            <wp:extent cx="68580"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-334010</wp:posOffset>
            </wp:positionV>
            <wp:extent cx="68580" cy="163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163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-25400</wp:posOffset>
            </wp:positionV>
            <wp:extent cx="774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-8255</wp:posOffset>
            </wp:positionV>
            <wp:extent cx="774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-25400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4" w:lineRule="exact"/>
        <w:rPr>
          <w:sz w:val="20"/>
          <w:szCs w:val="20"/>
          <w:color w:val="auto"/>
        </w:rPr>
      </w:pPr>
    </w:p>
    <w:p>
      <w:pPr>
        <w:jc w:val="both"/>
        <w:ind w:firstLine="8"/>
        <w:spacing w:after="0" w:line="263" w:lineRule="auto"/>
        <w:tabs>
          <w:tab w:leader="none" w:pos="2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connection with the acquisition of RE2, the Company assumed certain outstanding options to acquire RE2 common stock which, following such assumption, were converted to options to acquire 3.9 million shares of the Company's Common Stock at a weighted-average exercise price of $1.05 per share.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options granted during the years ended December 31, 2022 and 2021, the weighted-average grant-date fair value was $0.96 and $4.79 per option,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ind w:right="60"/>
        <w:spacing w:after="0" w:line="277" w:lineRule="auto"/>
        <w:rPr>
          <w:sz w:val="20"/>
          <w:szCs w:val="20"/>
          <w:color w:val="auto"/>
        </w:rPr>
      </w:pPr>
      <w:r>
        <w:rPr>
          <w:rFonts w:ascii="Arial" w:cs="Arial" w:eastAsia="Arial" w:hAnsi="Arial"/>
          <w:sz w:val="18"/>
          <w:szCs w:val="18"/>
          <w:color w:val="auto"/>
        </w:rPr>
        <w:t>The Company utilizes the Black-Scholes option pricing model for estimating the fair value of options granted, which requires the input of subjective assumptions. The Company calculates the fair value of each option grant on the grant date using the following assumptions:</w:t>
      </w:r>
    </w:p>
    <w:p>
      <w:pPr>
        <w:spacing w:after="0" w:line="170" w:lineRule="exact"/>
        <w:rPr>
          <w:sz w:val="20"/>
          <w:szCs w:val="20"/>
          <w:color w:val="auto"/>
        </w:rPr>
      </w:pPr>
    </w:p>
    <w:p>
      <w:pPr>
        <w:ind w:left="520" w:right="760"/>
        <w:spacing w:after="0" w:line="277" w:lineRule="auto"/>
        <w:rPr>
          <w:sz w:val="20"/>
          <w:szCs w:val="20"/>
          <w:color w:val="auto"/>
        </w:rPr>
      </w:pPr>
      <w:r>
        <w:rPr>
          <w:rFonts w:ascii="Arial" w:cs="Arial" w:eastAsia="Arial" w:hAnsi="Arial"/>
          <w:sz w:val="18"/>
          <w:szCs w:val="18"/>
          <w:color w:val="auto"/>
        </w:rPr>
        <w:t>Expected Term—Options granted generally vest over a period of 48 months and expire 10 years from date of grant. The Company uses the simplified method when calculating expected term due to insufficient historical information.</w:t>
      </w:r>
    </w:p>
    <w:p>
      <w:pPr>
        <w:spacing w:after="0" w:line="170" w:lineRule="exact"/>
        <w:rPr>
          <w:sz w:val="20"/>
          <w:szCs w:val="20"/>
          <w:color w:val="auto"/>
        </w:rPr>
      </w:pPr>
    </w:p>
    <w:p>
      <w:pPr>
        <w:ind w:left="520" w:right="40"/>
        <w:spacing w:after="0" w:line="342" w:lineRule="auto"/>
        <w:rPr>
          <w:sz w:val="20"/>
          <w:szCs w:val="20"/>
          <w:color w:val="auto"/>
        </w:rPr>
      </w:pPr>
      <w:r>
        <w:rPr>
          <w:rFonts w:ascii="Arial" w:cs="Arial" w:eastAsia="Arial" w:hAnsi="Arial"/>
          <w:sz w:val="16"/>
          <w:szCs w:val="16"/>
          <w:color w:val="auto"/>
        </w:rPr>
        <w:t>Expected Volatility—Due to insufficient historical information the Company uses a blended approach when calculating expected volatility. The Company uses its historic data for the periods it has been publicly-traded and a benchmark of other comparable public companies’ volatility rates.</w:t>
      </w:r>
    </w:p>
    <w:p>
      <w:pPr>
        <w:spacing w:after="0" w:line="124"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Expected Dividend Yield—The dividend yield used is zero as the Company does not have a history of paying dividends on its Common Stock and does not anticipate doing so in the foreseeable future.</w:t>
      </w:r>
    </w:p>
    <w:p>
      <w:pPr>
        <w:spacing w:after="0" w:line="170"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color w:val="auto"/>
        </w:rPr>
        <w:t>Risk-Free Interest Rate—The interest rates used are based on the implied yield available on U.S. Treasury zero-coupon issues with an equivalent remaining term equal to the expected life of the award.</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calculated the fair value of options granted under the 2021 Plan on the respective dates of grant using the following weighted average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40" w:type="dxa"/>
            <w:vAlign w:val="bottom"/>
          </w:tcPr>
          <w:p>
            <w:pPr>
              <w:spacing w:after="0"/>
              <w:rPr>
                <w:sz w:val="19"/>
                <w:szCs w:val="19"/>
                <w:color w:val="auto"/>
              </w:rPr>
            </w:pPr>
          </w:p>
        </w:tc>
        <w:tc>
          <w:tcPr>
            <w:tcW w:w="2200" w:type="dxa"/>
            <w:vAlign w:val="bottom"/>
            <w:tcBorders>
              <w:bottom w:val="single" w:sz="8" w:color="auto"/>
            </w:tcBorders>
            <w:gridSpan w:val="3"/>
          </w:tcPr>
          <w:p>
            <w:pPr>
              <w:ind w:left="1320"/>
              <w:spacing w:after="0"/>
              <w:rPr>
                <w:sz w:val="20"/>
                <w:szCs w:val="20"/>
                <w:color w:val="auto"/>
              </w:rPr>
            </w:pPr>
            <w:r>
              <w:rPr>
                <w:rFonts w:ascii="Arial" w:cs="Arial" w:eastAsia="Arial" w:hAnsi="Arial"/>
                <w:sz w:val="16"/>
                <w:szCs w:val="16"/>
                <w:b w:val="1"/>
                <w:bCs w:val="1"/>
                <w:color w:val="auto"/>
                <w:w w:val="90"/>
              </w:rPr>
              <w:t>Years ended</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7640" w:type="dxa"/>
            <w:vAlign w:val="bottom"/>
          </w:tcPr>
          <w:p>
            <w:pPr>
              <w:spacing w:after="0"/>
              <w:rPr>
                <w:sz w:val="17"/>
                <w:szCs w:val="17"/>
                <w:color w:val="auto"/>
              </w:rPr>
            </w:pPr>
          </w:p>
        </w:tc>
        <w:tc>
          <w:tcPr>
            <w:tcW w:w="2200" w:type="dxa"/>
            <w:vAlign w:val="bottom"/>
            <w:gridSpan w:val="3"/>
          </w:tcPr>
          <w:p>
            <w:pPr>
              <w:ind w:left="360"/>
              <w:spacing w:after="0"/>
              <w:rPr>
                <w:sz w:val="20"/>
                <w:szCs w:val="20"/>
                <w:color w:val="auto"/>
              </w:rPr>
            </w:pPr>
            <w:r>
              <w:rPr>
                <w:rFonts w:ascii="Arial" w:cs="Arial" w:eastAsia="Arial" w:hAnsi="Arial"/>
                <w:sz w:val="16"/>
                <w:szCs w:val="16"/>
                <w:b w:val="1"/>
                <w:bCs w:val="1"/>
                <w:color w:val="auto"/>
              </w:rPr>
              <w:t>December 31,</w:t>
            </w:r>
          </w:p>
        </w:tc>
        <w:tc>
          <w:tcPr>
            <w:tcW w:w="1300" w:type="dxa"/>
            <w:vAlign w:val="bottom"/>
          </w:tcPr>
          <w:p>
            <w:pPr>
              <w:jc w:val="right"/>
              <w:ind w:right="259"/>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7640" w:type="dxa"/>
            <w:vAlign w:val="bottom"/>
          </w:tcPr>
          <w:p>
            <w:pPr>
              <w:spacing w:after="0"/>
              <w:rPr>
                <w:sz w:val="19"/>
                <w:szCs w:val="19"/>
                <w:color w:val="auto"/>
              </w:rPr>
            </w:pPr>
          </w:p>
        </w:tc>
        <w:tc>
          <w:tcPr>
            <w:tcW w:w="16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Options</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76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880" w:type="dxa"/>
            <w:vAlign w:val="bottom"/>
            <w:gridSpan w:val="2"/>
          </w:tcPr>
          <w:p>
            <w:pPr>
              <w:jc w:val="right"/>
              <w:ind w:right="80"/>
              <w:spacing w:after="0"/>
              <w:rPr>
                <w:sz w:val="20"/>
                <w:szCs w:val="20"/>
                <w:color w:val="auto"/>
              </w:rPr>
            </w:pPr>
            <w:r>
              <w:rPr>
                <w:rFonts w:ascii="Arial" w:cs="Arial" w:eastAsia="Arial" w:hAnsi="Arial"/>
                <w:sz w:val="16"/>
                <w:szCs w:val="16"/>
                <w:color w:val="auto"/>
              </w:rPr>
              <w:t>3.19 %</w:t>
            </w:r>
          </w:p>
        </w:tc>
        <w:tc>
          <w:tcPr>
            <w:tcW w:w="3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1.19 %</w:t>
            </w: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term (in years)</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200" w:type="dxa"/>
            <w:vAlign w:val="bottom"/>
            <w:gridSpan w:val="3"/>
          </w:tcPr>
          <w:p>
            <w:pPr>
              <w:jc w:val="right"/>
              <w:ind w:right="400"/>
              <w:spacing w:after="0"/>
              <w:rPr>
                <w:sz w:val="20"/>
                <w:szCs w:val="20"/>
                <w:color w:val="auto"/>
              </w:rPr>
            </w:pPr>
            <w:r>
              <w:rPr>
                <w:rFonts w:ascii="Arial" w:cs="Arial" w:eastAsia="Arial" w:hAnsi="Arial"/>
                <w:sz w:val="16"/>
                <w:szCs w:val="16"/>
                <w:color w:val="auto"/>
              </w:rPr>
              <w:t>— %</w:t>
            </w: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 %</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880" w:type="dxa"/>
            <w:vAlign w:val="bottom"/>
            <w:gridSpan w:val="2"/>
          </w:tcPr>
          <w:p>
            <w:pPr>
              <w:jc w:val="right"/>
              <w:ind w:right="80"/>
              <w:spacing w:after="0"/>
              <w:rPr>
                <w:sz w:val="20"/>
                <w:szCs w:val="20"/>
                <w:color w:val="auto"/>
              </w:rPr>
            </w:pPr>
            <w:r>
              <w:rPr>
                <w:rFonts w:ascii="Arial" w:cs="Arial" w:eastAsia="Arial" w:hAnsi="Arial"/>
                <w:sz w:val="16"/>
                <w:szCs w:val="16"/>
                <w:color w:val="auto"/>
              </w:rPr>
              <w:t>68.52 %</w:t>
            </w:r>
          </w:p>
        </w:tc>
        <w:tc>
          <w:tcPr>
            <w:tcW w:w="3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66.56 %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5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57" w:right="29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The following summarizes the Company’s employee RSU activity for the years ended December 31, 2022 and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00" w:type="dxa"/>
            <w:vAlign w:val="bottom"/>
          </w:tcPr>
          <w:p>
            <w:pPr>
              <w:spacing w:after="0"/>
              <w:rPr>
                <w:sz w:val="19"/>
                <w:szCs w:val="19"/>
                <w:color w:val="auto"/>
              </w:rPr>
            </w:pPr>
          </w:p>
        </w:tc>
        <w:tc>
          <w:tcPr>
            <w:tcW w:w="32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Restricted Stock Units Outstanding</w:t>
            </w:r>
          </w:p>
        </w:tc>
        <w:tc>
          <w:tcPr>
            <w:tcW w:w="100" w:type="dxa"/>
            <w:vAlign w:val="bottom"/>
          </w:tcPr>
          <w:p>
            <w:pPr>
              <w:spacing w:after="0"/>
              <w:rPr>
                <w:sz w:val="19"/>
                <w:szCs w:val="19"/>
                <w:color w:val="auto"/>
              </w:rPr>
            </w:pPr>
          </w:p>
        </w:tc>
      </w:tr>
      <w:tr>
        <w:trPr>
          <w:trHeight w:val="202"/>
        </w:trPr>
        <w:tc>
          <w:tcPr>
            <w:tcW w:w="79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Weighted-Average</w:t>
            </w:r>
          </w:p>
        </w:tc>
        <w:tc>
          <w:tcPr>
            <w:tcW w:w="100" w:type="dxa"/>
            <w:vAlign w:val="bottom"/>
          </w:tcPr>
          <w:p>
            <w:pPr>
              <w:spacing w:after="0"/>
              <w:rPr>
                <w:sz w:val="17"/>
                <w:szCs w:val="17"/>
                <w:color w:val="auto"/>
              </w:rPr>
            </w:pPr>
          </w:p>
        </w:tc>
      </w:tr>
      <w:tr>
        <w:trPr>
          <w:trHeight w:val="203"/>
        </w:trPr>
        <w:tc>
          <w:tcPr>
            <w:tcW w:w="79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ind w:right="99"/>
              <w:spacing w:after="0"/>
              <w:rPr>
                <w:sz w:val="20"/>
                <w:szCs w:val="20"/>
                <w:color w:val="auto"/>
              </w:rPr>
            </w:pPr>
            <w:r>
              <w:rPr>
                <w:rFonts w:ascii="Arial" w:cs="Arial" w:eastAsia="Arial" w:hAnsi="Arial"/>
                <w:sz w:val="16"/>
                <w:szCs w:val="16"/>
                <w:b w:val="1"/>
                <w:bCs w:val="1"/>
                <w:color w:val="auto"/>
                <w:w w:val="97"/>
              </w:rPr>
              <w:t>Grant-Date Fair</w:t>
            </w:r>
          </w:p>
        </w:tc>
        <w:tc>
          <w:tcPr>
            <w:tcW w:w="100" w:type="dxa"/>
            <w:vAlign w:val="bottom"/>
          </w:tcPr>
          <w:p>
            <w:pPr>
              <w:spacing w:after="0"/>
              <w:rPr>
                <w:sz w:val="17"/>
                <w:szCs w:val="17"/>
                <w:color w:val="auto"/>
              </w:rPr>
            </w:pPr>
          </w:p>
        </w:tc>
      </w:tr>
      <w:tr>
        <w:trPr>
          <w:trHeight w:val="223"/>
        </w:trPr>
        <w:tc>
          <w:tcPr>
            <w:tcW w:w="790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Number of Shares</w:t>
            </w: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Value (1)</w:t>
            </w:r>
          </w:p>
        </w:tc>
        <w:tc>
          <w:tcPr>
            <w:tcW w:w="100" w:type="dxa"/>
            <w:vAlign w:val="bottom"/>
          </w:tcPr>
          <w:p>
            <w:pPr>
              <w:spacing w:after="0"/>
              <w:rPr>
                <w:sz w:val="19"/>
                <w:szCs w:val="19"/>
                <w:color w:val="auto"/>
              </w:rPr>
            </w:pPr>
          </w:p>
        </w:tc>
      </w:tr>
      <w:tr>
        <w:trPr>
          <w:trHeight w:val="230"/>
        </w:trPr>
        <w:tc>
          <w:tcPr>
            <w:tcW w:w="7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 December 31, 2020</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901,217</w:t>
            </w:r>
          </w:p>
        </w:tc>
        <w:tc>
          <w:tcPr>
            <w:tcW w:w="1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FF0FC"/>
          </w:tcPr>
          <w:p>
            <w:pPr>
              <w:spacing w:after="0"/>
              <w:rPr>
                <w:sz w:val="19"/>
                <w:szCs w:val="19"/>
                <w:color w:val="auto"/>
              </w:rPr>
            </w:pPr>
          </w:p>
        </w:tc>
      </w:tr>
      <w:tr>
        <w:trPr>
          <w:trHeight w:val="220"/>
        </w:trPr>
        <w:tc>
          <w:tcPr>
            <w:tcW w:w="7900" w:type="dxa"/>
            <w:vAlign w:val="bottom"/>
          </w:tcPr>
          <w:p>
            <w:pPr>
              <w:ind w:left="20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spacing w:after="0"/>
              <w:rPr>
                <w:sz w:val="20"/>
                <w:szCs w:val="20"/>
                <w:color w:val="auto"/>
              </w:rPr>
            </w:pPr>
            <w:r>
              <w:rPr>
                <w:rFonts w:ascii="Arial" w:cs="Arial" w:eastAsia="Arial" w:hAnsi="Arial"/>
                <w:sz w:val="16"/>
                <w:szCs w:val="16"/>
                <w:color w:val="auto"/>
              </w:rPr>
              <w:t>932,123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9"/>
                <w:szCs w:val="19"/>
                <w:color w:val="auto"/>
              </w:rPr>
            </w:pPr>
          </w:p>
        </w:tc>
      </w:tr>
      <w:tr>
        <w:trPr>
          <w:trHeight w:val="239"/>
        </w:trPr>
        <w:tc>
          <w:tcPr>
            <w:tcW w:w="7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Released</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(28,982 )</w:t>
            </w: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FF0FC"/>
          </w:tcPr>
          <w:p>
            <w:pPr>
              <w:spacing w:after="0"/>
              <w:rPr>
                <w:sz w:val="20"/>
                <w:szCs w:val="20"/>
                <w:color w:val="auto"/>
              </w:rPr>
            </w:pPr>
          </w:p>
        </w:tc>
      </w:tr>
      <w:tr>
        <w:trPr>
          <w:trHeight w:val="223"/>
        </w:trPr>
        <w:tc>
          <w:tcPr>
            <w:tcW w:w="7900" w:type="dxa"/>
            <w:vAlign w:val="bottom"/>
          </w:tcPr>
          <w:p>
            <w:pPr>
              <w:ind w:left="200"/>
              <w:spacing w:after="0"/>
              <w:rPr>
                <w:sz w:val="20"/>
                <w:szCs w:val="20"/>
                <w:color w:val="auto"/>
              </w:rPr>
            </w:pPr>
            <w:r>
              <w:rPr>
                <w:rFonts w:ascii="Arial" w:cs="Arial" w:eastAsia="Arial" w:hAnsi="Arial"/>
                <w:sz w:val="16"/>
                <w:szCs w:val="16"/>
                <w:color w:val="auto"/>
              </w:rPr>
              <w:t>Cancelled</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(6,884 )</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19"/>
                <w:szCs w:val="19"/>
                <w:color w:val="auto"/>
              </w:rPr>
            </w:pPr>
          </w:p>
        </w:tc>
      </w:tr>
      <w:tr>
        <w:trPr>
          <w:trHeight w:val="230"/>
        </w:trPr>
        <w:tc>
          <w:tcPr>
            <w:tcW w:w="7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 December 31, 2021</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1,797,474</w:t>
            </w:r>
          </w:p>
        </w:tc>
        <w:tc>
          <w:tcPr>
            <w:tcW w:w="1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FF0FC"/>
          </w:tcPr>
          <w:p>
            <w:pPr>
              <w:spacing w:after="0"/>
              <w:rPr>
                <w:sz w:val="19"/>
                <w:szCs w:val="19"/>
                <w:color w:val="auto"/>
              </w:rPr>
            </w:pPr>
          </w:p>
        </w:tc>
      </w:tr>
      <w:tr>
        <w:trPr>
          <w:trHeight w:val="220"/>
        </w:trPr>
        <w:tc>
          <w:tcPr>
            <w:tcW w:w="7900" w:type="dxa"/>
            <w:vAlign w:val="bottom"/>
          </w:tcPr>
          <w:p>
            <w:pPr>
              <w:ind w:left="20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spacing w:after="0"/>
              <w:rPr>
                <w:sz w:val="20"/>
                <w:szCs w:val="20"/>
                <w:color w:val="auto"/>
              </w:rPr>
            </w:pPr>
            <w:r>
              <w:rPr>
                <w:rFonts w:ascii="Arial" w:cs="Arial" w:eastAsia="Arial" w:hAnsi="Arial"/>
                <w:sz w:val="16"/>
                <w:szCs w:val="16"/>
                <w:color w:val="auto"/>
              </w:rPr>
              <w:t>3,308,432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9"/>
                <w:szCs w:val="19"/>
                <w:color w:val="auto"/>
              </w:rPr>
            </w:pPr>
          </w:p>
        </w:tc>
      </w:tr>
      <w:tr>
        <w:trPr>
          <w:trHeight w:val="239"/>
        </w:trPr>
        <w:tc>
          <w:tcPr>
            <w:tcW w:w="7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Released</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(1,128,344 )</w:t>
            </w: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FF0FC"/>
          </w:tcPr>
          <w:p>
            <w:pPr>
              <w:spacing w:after="0"/>
              <w:rPr>
                <w:sz w:val="20"/>
                <w:szCs w:val="20"/>
                <w:color w:val="auto"/>
              </w:rPr>
            </w:pPr>
          </w:p>
        </w:tc>
      </w:tr>
      <w:tr>
        <w:trPr>
          <w:trHeight w:val="223"/>
        </w:trPr>
        <w:tc>
          <w:tcPr>
            <w:tcW w:w="7900" w:type="dxa"/>
            <w:vAlign w:val="bottom"/>
          </w:tcPr>
          <w:p>
            <w:pPr>
              <w:ind w:left="200"/>
              <w:spacing w:after="0"/>
              <w:rPr>
                <w:sz w:val="20"/>
                <w:szCs w:val="20"/>
                <w:color w:val="auto"/>
              </w:rPr>
            </w:pPr>
            <w:r>
              <w:rPr>
                <w:rFonts w:ascii="Arial" w:cs="Arial" w:eastAsia="Arial" w:hAnsi="Arial"/>
                <w:sz w:val="16"/>
                <w:szCs w:val="16"/>
                <w:color w:val="auto"/>
              </w:rPr>
              <w:t>Cancelled</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(362,854 )</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9"/>
                <w:szCs w:val="19"/>
                <w:color w:val="auto"/>
              </w:rPr>
            </w:pPr>
          </w:p>
        </w:tc>
      </w:tr>
      <w:tr>
        <w:trPr>
          <w:trHeight w:val="263"/>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Outstanding – December 31, 2022</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3,614,708</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(1) Weighted average grant-date fair values have been updated to reflect the impact of the modification to the RSUs discussed below.</w:t>
      </w:r>
    </w:p>
    <w:p>
      <w:pPr>
        <w:spacing w:after="0" w:line="18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RSUs granted generally include service vesting periods of one to four years. Certain awards granted under the 2015 Plan included vesting conditions related to the completion of a qualifying liquidity event and/or requirements related to the forfeiture of cash compensation.</w:t>
      </w:r>
    </w:p>
    <w:p>
      <w:pPr>
        <w:spacing w:after="0" w:line="38" w:lineRule="exact"/>
        <w:rPr>
          <w:sz w:val="20"/>
          <w:szCs w:val="20"/>
          <w:color w:val="auto"/>
        </w:rPr>
      </w:pPr>
    </w:p>
    <w:p>
      <w:pPr>
        <w:ind w:right="600"/>
        <w:spacing w:after="0" w:line="311" w:lineRule="auto"/>
        <w:rPr>
          <w:sz w:val="20"/>
          <w:szCs w:val="20"/>
          <w:color w:val="auto"/>
        </w:rPr>
      </w:pPr>
      <w:r>
        <w:rPr>
          <w:rFonts w:ascii="Arial" w:cs="Arial" w:eastAsia="Arial" w:hAnsi="Arial"/>
          <w:sz w:val="16"/>
          <w:szCs w:val="16"/>
          <w:color w:val="auto"/>
        </w:rPr>
        <w:t>In April 2021, the Board of Directors of the Company approved a modification that updated the terms of certain awards such that the Business Combination would satisfy the liquidity event vesting condition for eight award recipients. Total incremental compensation costs resulting from the modification of these RSUs was $9.7 million, of which $8.4 million was recognized during the year ended December 31,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Company’s employee RSA activity for the years ended December 31, 2022 and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00" w:type="dxa"/>
            <w:vAlign w:val="bottom"/>
          </w:tcPr>
          <w:p>
            <w:pPr>
              <w:spacing w:after="0"/>
              <w:rPr>
                <w:sz w:val="19"/>
                <w:szCs w:val="19"/>
                <w:color w:val="auto"/>
              </w:rPr>
            </w:pPr>
          </w:p>
        </w:tc>
        <w:tc>
          <w:tcPr>
            <w:tcW w:w="34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Restricted Stock Awards Outstanding</w:t>
            </w:r>
          </w:p>
        </w:tc>
        <w:tc>
          <w:tcPr>
            <w:tcW w:w="100" w:type="dxa"/>
            <w:vAlign w:val="bottom"/>
          </w:tcPr>
          <w:p>
            <w:pPr>
              <w:spacing w:after="0"/>
              <w:rPr>
                <w:sz w:val="19"/>
                <w:szCs w:val="19"/>
                <w:color w:val="auto"/>
              </w:rPr>
            </w:pPr>
          </w:p>
        </w:tc>
      </w:tr>
      <w:tr>
        <w:trPr>
          <w:trHeight w:val="202"/>
        </w:trPr>
        <w:tc>
          <w:tcPr>
            <w:tcW w:w="7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Weighted-Average</w:t>
            </w:r>
          </w:p>
        </w:tc>
        <w:tc>
          <w:tcPr>
            <w:tcW w:w="100" w:type="dxa"/>
            <w:vAlign w:val="bottom"/>
          </w:tcPr>
          <w:p>
            <w:pPr>
              <w:spacing w:after="0"/>
              <w:rPr>
                <w:sz w:val="17"/>
                <w:szCs w:val="17"/>
                <w:color w:val="auto"/>
              </w:rPr>
            </w:pPr>
          </w:p>
        </w:tc>
      </w:tr>
      <w:tr>
        <w:trPr>
          <w:trHeight w:val="203"/>
        </w:trPr>
        <w:tc>
          <w:tcPr>
            <w:tcW w:w="7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Grant-Date Fair</w:t>
            </w:r>
          </w:p>
        </w:tc>
        <w:tc>
          <w:tcPr>
            <w:tcW w:w="100" w:type="dxa"/>
            <w:vAlign w:val="bottom"/>
          </w:tcPr>
          <w:p>
            <w:pPr>
              <w:spacing w:after="0"/>
              <w:rPr>
                <w:sz w:val="17"/>
                <w:szCs w:val="17"/>
                <w:color w:val="auto"/>
              </w:rPr>
            </w:pPr>
          </w:p>
        </w:tc>
      </w:tr>
      <w:tr>
        <w:trPr>
          <w:trHeight w:val="223"/>
        </w:trPr>
        <w:tc>
          <w:tcPr>
            <w:tcW w:w="7700" w:type="dxa"/>
            <w:vAlign w:val="bottom"/>
          </w:tcPr>
          <w:p>
            <w:pPr>
              <w:spacing w:after="0"/>
              <w:rPr>
                <w:sz w:val="19"/>
                <w:szCs w:val="19"/>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Number of Shares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 December 31, 2020</w:t>
            </w: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23"/>
        </w:trPr>
        <w:tc>
          <w:tcPr>
            <w:tcW w:w="7700" w:type="dxa"/>
            <w:vAlign w:val="bottom"/>
          </w:tcPr>
          <w:p>
            <w:pPr>
              <w:ind w:left="200"/>
              <w:spacing w:after="0"/>
              <w:rPr>
                <w:sz w:val="20"/>
                <w:szCs w:val="20"/>
                <w:color w:val="auto"/>
              </w:rPr>
            </w:pPr>
            <w:r>
              <w:rPr>
                <w:rFonts w:ascii="Arial" w:cs="Arial" w:eastAsia="Arial" w:hAnsi="Arial"/>
                <w:sz w:val="16"/>
                <w:szCs w:val="16"/>
                <w:color w:val="auto"/>
              </w:rPr>
              <w:t>Granted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5,129,222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 December 31, 2021</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5,129,222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spacing w:after="0"/>
              <w:rPr>
                <w:sz w:val="20"/>
                <w:szCs w:val="20"/>
                <w:color w:val="auto"/>
              </w:rPr>
            </w:pPr>
            <w:r>
              <w:rPr>
                <w:rFonts w:ascii="Arial" w:cs="Arial" w:eastAsia="Arial" w:hAnsi="Arial"/>
                <w:sz w:val="16"/>
                <w:szCs w:val="16"/>
                <w:color w:val="auto"/>
              </w:rPr>
              <w:t>26,865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9"/>
                <w:szCs w:val="19"/>
                <w:color w:val="auto"/>
              </w:rPr>
            </w:pPr>
          </w:p>
        </w:tc>
      </w:tr>
      <w:tr>
        <w:trPr>
          <w:trHeight w:val="233"/>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Released</w:t>
            </w: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(5,156,087 )</w:t>
            </w: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FF0FC"/>
          </w:tcPr>
          <w:p>
            <w:pPr>
              <w:spacing w:after="0"/>
              <w:rPr>
                <w:sz w:val="20"/>
                <w:szCs w:val="20"/>
                <w:color w:val="auto"/>
              </w:rPr>
            </w:pPr>
          </w:p>
        </w:tc>
      </w:tr>
      <w:tr>
        <w:trPr>
          <w:trHeight w:val="223"/>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Outstanding – December 31, 2022</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-179070</wp:posOffset>
            </wp:positionV>
            <wp:extent cx="68580" cy="179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stock-based compensation expense in the consolidated statement of operations and comprehensive loss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w w:val="99"/>
              </w:rPr>
              <w:t>For the year ended December 31,</w:t>
            </w:r>
          </w:p>
        </w:tc>
        <w:tc>
          <w:tcPr>
            <w:tcW w:w="100" w:type="dxa"/>
            <w:vAlign w:val="bottom"/>
          </w:tcPr>
          <w:p>
            <w:pPr>
              <w:spacing w:after="0"/>
              <w:rPr>
                <w:sz w:val="19"/>
                <w:szCs w:val="19"/>
                <w:color w:val="auto"/>
              </w:rPr>
            </w:pPr>
          </w:p>
        </w:tc>
      </w:tr>
      <w:tr>
        <w:trPr>
          <w:trHeight w:val="226"/>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26"/>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6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863</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FF0FC"/>
          </w:tcPr>
          <w:p>
            <w:pPr>
              <w:spacing w:after="0"/>
              <w:rPr>
                <w:sz w:val="20"/>
                <w:szCs w:val="20"/>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33,983</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41,766</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stock-based compensation expense</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35,645</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43,118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there was approximately $29.8 million of unrecognized stock-based compensation cost, which is expected to be recognized over a weighted average period of 3.1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11.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the basic and diluted net loss per share attributable to common stockholders for the twelve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6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w w:val="91"/>
              </w:rPr>
              <w:t>For the twelve months ended December 31,</w:t>
            </w:r>
          </w:p>
        </w:tc>
      </w:tr>
      <w:tr>
        <w:trPr>
          <w:trHeight w:val="227"/>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Numerator:</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rPr>
              <w:t>(157,130 )</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(81,508 )</w:t>
            </w: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Denominator:</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720" w:type="dxa"/>
            <w:vAlign w:val="bottom"/>
          </w:tcPr>
          <w:p>
            <w:pPr>
              <w:ind w:left="200"/>
              <w:spacing w:after="0"/>
              <w:rPr>
                <w:sz w:val="20"/>
                <w:szCs w:val="20"/>
                <w:color w:val="auto"/>
              </w:rPr>
            </w:pPr>
            <w:r>
              <w:rPr>
                <w:rFonts w:ascii="Arial" w:cs="Arial" w:eastAsia="Arial" w:hAnsi="Arial"/>
                <w:sz w:val="16"/>
                <w:szCs w:val="16"/>
                <w:color w:val="auto"/>
              </w:rPr>
              <w:t>Weighted average shares outstanding, basic and diluted</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146,839,273</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113,184,357</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Basic and diluted net loss per share</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(1.07 )</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(0.72 )</w:t>
            </w:r>
          </w:p>
        </w:tc>
      </w:tr>
      <w:tr>
        <w:trPr>
          <w:trHeight w:val="211"/>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Anti-dilutive securities, excluded</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67,952,326</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65,628,258</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-167005</wp:posOffset>
            </wp:positionV>
            <wp:extent cx="1243330" cy="1797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43330" cy="179705"/>
                    </a:xfrm>
                    <a:prstGeom prst="rect">
                      <a:avLst/>
                    </a:prstGeom>
                    <a:noFill/>
                  </pic:spPr>
                </pic:pic>
              </a:graphicData>
            </a:graphic>
          </wp:anchor>
        </w:drawing>
      </w:r>
    </w:p>
    <w:p>
      <w:pPr>
        <w:spacing w:after="0" w:line="22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basic and diluted net loss per share for the twelve months ended December 31, 2021 has been computed to give effect to the conversion of the Old Sarcos Class B common stock and all convertible preferred shares into Old Sarcos Class A common stock as though the conversion had occurred as of the beginning of the period or the original date of issuance, if later.</w:t>
      </w:r>
    </w:p>
    <w:p>
      <w:pPr>
        <w:spacing w:after="0" w:line="184" w:lineRule="exact"/>
        <w:rPr>
          <w:sz w:val="20"/>
          <w:szCs w:val="20"/>
          <w:color w:val="auto"/>
        </w:rPr>
      </w:pPr>
    </w:p>
    <w:p>
      <w:pPr>
        <w:jc w:val="both"/>
        <w:ind w:right="60"/>
        <w:spacing w:after="0" w:line="223" w:lineRule="exact"/>
        <w:rPr>
          <w:sz w:val="20"/>
          <w:szCs w:val="20"/>
          <w:color w:val="auto"/>
        </w:rPr>
      </w:pPr>
      <w:r>
        <w:rPr>
          <w:rFonts w:ascii="Arial" w:cs="Arial" w:eastAsia="Arial" w:hAnsi="Arial"/>
          <w:sz w:val="18"/>
          <w:szCs w:val="18"/>
          <w:color w:val="auto"/>
        </w:rPr>
        <w:t>Basic and diluted net loss per share attributable to common stockholders is the same for the twelve months ended December 31, 2022 and 2021, as the inclusion of potential shares of Common Stock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 for the periods presented.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8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Loss before provision for income taxes was $161.0 million and $81.5 million for the years ended December 31, 2022 and 2021, respectively, all of which was generated in the United States. The Company's provision for income taxes consists of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20" w:type="dxa"/>
            <w:vAlign w:val="bottom"/>
            <w:gridSpan w:val="5"/>
          </w:tcPr>
          <w:p>
            <w:pPr>
              <w:jc w:val="right"/>
              <w:ind w:right="860"/>
              <w:spacing w:after="0"/>
              <w:rPr>
                <w:sz w:val="20"/>
                <w:szCs w:val="20"/>
                <w:color w:val="auto"/>
              </w:rPr>
            </w:pPr>
            <w:r>
              <w:rPr>
                <w:rFonts w:ascii="Arial" w:cs="Arial" w:eastAsia="Arial" w:hAnsi="Arial"/>
                <w:sz w:val="16"/>
                <w:szCs w:val="16"/>
                <w:b w:val="1"/>
                <w:bCs w:val="1"/>
                <w:color w:val="auto"/>
              </w:rPr>
              <w:t>Years Ended December 31,</w:t>
            </w:r>
          </w:p>
        </w:tc>
      </w:tr>
      <w:tr>
        <w:trPr>
          <w:trHeight w:val="226"/>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26"/>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80" w:type="dxa"/>
            <w:vAlign w:val="bottom"/>
          </w:tcPr>
          <w:p>
            <w:pPr>
              <w:ind w:left="200"/>
              <w:spacing w:after="0"/>
              <w:rPr>
                <w:sz w:val="20"/>
                <w:szCs w:val="20"/>
                <w:color w:val="auto"/>
              </w:rPr>
            </w:pPr>
            <w:r>
              <w:rPr>
                <w:rFonts w:ascii="Arial" w:cs="Arial" w:eastAsia="Arial" w:hAnsi="Arial"/>
                <w:sz w:val="16"/>
                <w:szCs w:val="16"/>
                <w:color w:val="auto"/>
              </w:rPr>
              <w:t>Federal</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0"/>
        </w:trPr>
        <w:tc>
          <w:tcPr>
            <w:tcW w:w="7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State</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(3 )</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(1 )</w:t>
            </w:r>
          </w:p>
        </w:tc>
      </w:tr>
      <w:tr>
        <w:trPr>
          <w:trHeight w:val="23"/>
        </w:trPr>
        <w:tc>
          <w:tcPr>
            <w:tcW w:w="778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780" w:type="dxa"/>
            <w:vAlign w:val="bottom"/>
          </w:tcPr>
          <w:p>
            <w:pPr>
              <w:ind w:left="380"/>
              <w:spacing w:after="0"/>
              <w:rPr>
                <w:sz w:val="20"/>
                <w:szCs w:val="20"/>
                <w:color w:val="auto"/>
              </w:rPr>
            </w:pPr>
            <w:r>
              <w:rPr>
                <w:rFonts w:ascii="Arial" w:cs="Arial" w:eastAsia="Arial" w:hAnsi="Arial"/>
                <w:sz w:val="16"/>
                <w:szCs w:val="16"/>
                <w:color w:val="auto"/>
              </w:rPr>
              <w:t>Total current</w:t>
            </w:r>
          </w:p>
        </w:tc>
        <w:tc>
          <w:tcPr>
            <w:tcW w:w="3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(3 )</w:t>
            </w: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r>
      <w:tr>
        <w:trPr>
          <w:trHeight w:val="23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0"/>
              <w:spacing w:after="0"/>
              <w:rPr>
                <w:sz w:val="20"/>
                <w:szCs w:val="20"/>
                <w:color w:val="auto"/>
              </w:rPr>
            </w:pPr>
            <w:r>
              <w:rPr>
                <w:rFonts w:ascii="Arial" w:cs="Arial" w:eastAsia="Arial" w:hAnsi="Arial"/>
                <w:sz w:val="16"/>
                <w:szCs w:val="16"/>
                <w:color w:val="auto"/>
              </w:rPr>
              <w:t>Federal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9,005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16,377</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State</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3,948</w:t>
            </w:r>
          </w:p>
        </w:tc>
        <w:tc>
          <w:tcPr>
            <w:tcW w:w="100" w:type="dxa"/>
            <w:vAlign w:val="bottom"/>
            <w:shd w:val="clear" w:color="auto" w:fill="CFF0FC"/>
          </w:tcPr>
          <w:p>
            <w:pPr>
              <w:spacing w:after="0"/>
              <w:rPr>
                <w:sz w:val="20"/>
                <w:szCs w:val="20"/>
                <w:color w:val="auto"/>
              </w:rPr>
            </w:pPr>
          </w:p>
        </w:tc>
      </w:tr>
      <w:tr>
        <w:trPr>
          <w:trHeight w:val="223"/>
        </w:trPr>
        <w:tc>
          <w:tcPr>
            <w:tcW w:w="7780" w:type="dxa"/>
            <w:vAlign w:val="bottom"/>
          </w:tcPr>
          <w:p>
            <w:pPr>
              <w:ind w:left="200"/>
              <w:spacing w:after="0"/>
              <w:rPr>
                <w:sz w:val="20"/>
                <w:szCs w:val="20"/>
                <w:color w:val="auto"/>
              </w:rPr>
            </w:pPr>
            <w:r>
              <w:rPr>
                <w:rFonts w:ascii="Arial" w:cs="Arial" w:eastAsia="Arial" w:hAnsi="Arial"/>
                <w:sz w:val="16"/>
                <w:szCs w:val="16"/>
                <w:color w:val="auto"/>
              </w:rPr>
              <w:t>Change in valuation allowance</w:t>
            </w:r>
          </w:p>
        </w:tc>
        <w:tc>
          <w:tcPr>
            <w:tcW w:w="3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(7,174 )</w:t>
            </w: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(20,325 )</w:t>
            </w:r>
          </w:p>
        </w:tc>
      </w:tr>
      <w:tr>
        <w:trPr>
          <w:trHeight w:val="223"/>
        </w:trPr>
        <w:tc>
          <w:tcPr>
            <w:tcW w:w="77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deferred</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6"/>
                <w:szCs w:val="16"/>
                <w:color w:val="auto"/>
              </w:rPr>
              <w:t>Total income tax benefit (expense)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3,892</w:t>
            </w:r>
          </w:p>
        </w:tc>
        <w:tc>
          <w:tcPr>
            <w:tcW w:w="2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-1071245</wp:posOffset>
            </wp:positionV>
            <wp:extent cx="68580"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-179070</wp:posOffset>
            </wp:positionV>
            <wp:extent cx="68580" cy="1797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Company's provision for income tax differs from the amount computed by applying the statutory federal income tax rate to income before taxes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spacing w:after="0"/>
              <w:rPr>
                <w:sz w:val="19"/>
                <w:szCs w:val="19"/>
                <w:color w:val="auto"/>
              </w:rPr>
            </w:pPr>
          </w:p>
        </w:tc>
        <w:tc>
          <w:tcPr>
            <w:tcW w:w="3600" w:type="dxa"/>
            <w:vAlign w:val="bottom"/>
            <w:gridSpan w:val="5"/>
          </w:tcPr>
          <w:p>
            <w:pPr>
              <w:jc w:val="right"/>
              <w:ind w:right="940"/>
              <w:spacing w:after="0"/>
              <w:rPr>
                <w:sz w:val="20"/>
                <w:szCs w:val="20"/>
                <w:color w:val="auto"/>
              </w:rPr>
            </w:pPr>
            <w:r>
              <w:rPr>
                <w:rFonts w:ascii="Arial" w:cs="Arial" w:eastAsia="Arial" w:hAnsi="Arial"/>
                <w:sz w:val="16"/>
                <w:szCs w:val="16"/>
                <w:b w:val="1"/>
                <w:bCs w:val="1"/>
                <w:color w:val="auto"/>
              </w:rPr>
              <w:t>Years Ended December 31,</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6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7680" w:type="dxa"/>
            <w:vAlign w:val="bottom"/>
          </w:tcPr>
          <w:p>
            <w:pPr>
              <w:ind w:left="20"/>
              <w:spacing w:after="0"/>
              <w:rPr>
                <w:sz w:val="20"/>
                <w:szCs w:val="20"/>
                <w:color w:val="auto"/>
              </w:rPr>
            </w:pPr>
            <w:r>
              <w:rPr>
                <w:rFonts w:ascii="Arial" w:cs="Arial" w:eastAsia="Arial" w:hAnsi="Arial"/>
                <w:sz w:val="16"/>
                <w:szCs w:val="16"/>
                <w:color w:val="auto"/>
              </w:rPr>
              <w:t>Statutory federal income tax rate</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21.0 %</w:t>
            </w: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21.0 %</w:t>
            </w:r>
          </w:p>
        </w:tc>
      </w:tr>
      <w:tr>
        <w:trPr>
          <w:trHeight w:val="239"/>
        </w:trPr>
        <w:tc>
          <w:tcPr>
            <w:tcW w:w="7680" w:type="dxa"/>
            <w:vAlign w:val="bottom"/>
          </w:tcPr>
          <w:p>
            <w:pPr>
              <w:ind w:left="20"/>
              <w:spacing w:after="0"/>
              <w:rPr>
                <w:sz w:val="20"/>
                <w:szCs w:val="20"/>
                <w:color w:val="auto"/>
              </w:rPr>
            </w:pPr>
            <w:r>
              <w:rPr>
                <w:rFonts w:ascii="Arial" w:cs="Arial" w:eastAsia="Arial" w:hAnsi="Arial"/>
                <w:sz w:val="16"/>
                <w:szCs w:val="16"/>
                <w:color w:val="auto"/>
              </w:rPr>
              <w:t>State tax provision</w:t>
            </w:r>
          </w:p>
        </w:tc>
        <w:tc>
          <w:tcPr>
            <w:tcW w:w="162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 in valuation allowance</w:t>
            </w:r>
          </w:p>
        </w:tc>
        <w:tc>
          <w:tcPr>
            <w:tcW w:w="1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(6.9 )</w:t>
            </w: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(24.9 )</w:t>
            </w:r>
          </w:p>
        </w:tc>
        <w:tc>
          <w:tcPr>
            <w:tcW w:w="40" w:type="dxa"/>
            <w:vAlign w:val="bottom"/>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Change in valuation allowance - acquisition</w:t>
            </w:r>
          </w:p>
        </w:tc>
        <w:tc>
          <w:tcPr>
            <w:tcW w:w="162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Research credits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Change in effective tax rate</w:t>
            </w:r>
          </w:p>
        </w:tc>
        <w:tc>
          <w:tcPr>
            <w:tcW w:w="1620" w:type="dxa"/>
            <w:vAlign w:val="bottom"/>
          </w:tcPr>
          <w:p>
            <w:pPr>
              <w:jc w:val="right"/>
              <w:spacing w:after="0"/>
              <w:rPr>
                <w:sz w:val="20"/>
                <w:szCs w:val="20"/>
                <w:color w:val="auto"/>
              </w:rPr>
            </w:pPr>
            <w:r>
              <w:rPr>
                <w:rFonts w:ascii="Arial" w:cs="Arial" w:eastAsia="Arial" w:hAnsi="Arial"/>
                <w:sz w:val="16"/>
                <w:szCs w:val="16"/>
                <w:color w:val="auto"/>
              </w:rPr>
              <w:t>0.6</w:t>
            </w:r>
          </w:p>
        </w:tc>
        <w:tc>
          <w:tcPr>
            <w:tcW w:w="22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 impairment</w:t>
            </w:r>
          </w:p>
        </w:tc>
        <w:tc>
          <w:tcPr>
            <w:tcW w:w="1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(9.2 )</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Warrant revaluation</w:t>
            </w:r>
          </w:p>
        </w:tc>
        <w:tc>
          <w:tcPr>
            <w:tcW w:w="162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6"/>
                <w:szCs w:val="16"/>
                <w:color w:val="auto"/>
              </w:rPr>
              <w:t>(1.3 )</w:t>
            </w:r>
          </w:p>
        </w:tc>
        <w:tc>
          <w:tcPr>
            <w:tcW w:w="4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Disallowed executive compensation</w:t>
            </w:r>
          </w:p>
        </w:tc>
        <w:tc>
          <w:tcPr>
            <w:tcW w:w="1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(9.7 )</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Stock compensation</w:t>
            </w:r>
          </w:p>
        </w:tc>
        <w:tc>
          <w:tcPr>
            <w:tcW w:w="1620" w:type="dxa"/>
            <w:vAlign w:val="bottom"/>
          </w:tcPr>
          <w:p>
            <w:pPr>
              <w:jc w:val="right"/>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1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(0.3 )</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3"/>
        </w:trPr>
        <w:tc>
          <w:tcPr>
            <w:tcW w:w="7680" w:type="dxa"/>
            <w:vAlign w:val="bottom"/>
            <w:shd w:val="clear" w:color="auto" w:fill="CFF0FC"/>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7680" w:type="dxa"/>
            <w:vAlign w:val="bottom"/>
          </w:tcPr>
          <w:p>
            <w:pPr>
              <w:ind w:left="200"/>
              <w:spacing w:after="0"/>
              <w:rPr>
                <w:sz w:val="20"/>
                <w:szCs w:val="20"/>
                <w:color w:val="auto"/>
              </w:rPr>
            </w:pPr>
            <w:r>
              <w:rPr>
                <w:rFonts w:ascii="Arial" w:cs="Arial" w:eastAsia="Arial" w:hAnsi="Arial"/>
                <w:sz w:val="16"/>
                <w:szCs w:val="16"/>
                <w:color w:val="auto"/>
              </w:rPr>
              <w:t>Total provision for income taxes</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color w:val="auto"/>
                <w:highlight w:val="white"/>
              </w:rPr>
              <w:t>%</w:t>
            </w: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 xml:space="preserve">0.0 </w:t>
            </w:r>
            <w:r>
              <w:rPr>
                <w:rFonts w:ascii="Arial" w:cs="Arial" w:eastAsia="Arial" w:hAnsi="Arial"/>
                <w:sz w:val="16"/>
                <w:szCs w:val="16"/>
                <w:color w:val="auto"/>
                <w:highlight w:val="white"/>
              </w:rPr>
              <w:t>%</w:t>
            </w: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-1782445</wp:posOffset>
            </wp:positionV>
            <wp:extent cx="7132320" cy="1454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53" w:right="2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As of December 31, 2022 and 2021, the net deferred tax assets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656</w:t>
            </w:r>
          </w:p>
        </w:tc>
        <w:tc>
          <w:tcPr>
            <w:tcW w:w="28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 compensation</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2,969</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11,094</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Research credits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4,787</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2,486</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and experimental capitalization</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8,713</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Lease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3,626</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operating loss carryforwards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34,205</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22,393</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gross deferred tax assets</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54,990</w:t>
            </w:r>
          </w:p>
        </w:tc>
        <w:tc>
          <w:tcPr>
            <w:tcW w:w="280" w:type="dxa"/>
            <w:vAlign w:val="bottom"/>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37,023</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Less valuation allowance</w:t>
            </w: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(44,540 )</w:t>
            </w:r>
          </w:p>
        </w:tc>
        <w:tc>
          <w:tcPr>
            <w:tcW w:w="4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(35,476 )</w:t>
            </w: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deferred tax assets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10,450</w:t>
            </w:r>
          </w:p>
        </w:tc>
        <w:tc>
          <w:tcPr>
            <w:tcW w:w="2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and equipment</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(1,978 )</w:t>
            </w:r>
          </w:p>
        </w:tc>
        <w:tc>
          <w:tcPr>
            <w:tcW w:w="4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(1,547 )</w:t>
            </w: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Intangibles</w:t>
            </w: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(5,389 )</w:t>
            </w:r>
          </w:p>
        </w:tc>
        <w:tc>
          <w:tcPr>
            <w:tcW w:w="4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Right-of-use-asset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(3,083 )</w:t>
            </w: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3"/>
        </w:trPr>
        <w:tc>
          <w:tcPr>
            <w:tcW w:w="772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Total deferred tax liabilities</w:t>
            </w: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(10,450 )</w:t>
            </w:r>
          </w:p>
        </w:tc>
        <w:tc>
          <w:tcPr>
            <w:tcW w:w="4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(1,547 )</w:t>
            </w: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deferred tax assets</w:t>
            </w:r>
          </w:p>
        </w:tc>
        <w:tc>
          <w:tcPr>
            <w:tcW w:w="36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top w:val="single" w:sz="8" w:color="auto"/>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-925195</wp:posOffset>
            </wp:positionV>
            <wp:extent cx="6858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-334010</wp:posOffset>
            </wp:positionV>
            <wp:extent cx="68580" cy="1631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1631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Valuation allowances are established when necessary to reduce deferred tax assets, including temporary differences and net operating loss carryforwards, to the amount expected to be realized in the future. FASB guidance indicates that forming a conclusion that a valuation allowance is not needed is difficult when there is negative evidence such as cumulative losses in recent years. The Company had cumulative losses from continuing operations in the United States for the three-year period ended December 31, 2022. The Company considered this negative evidence along with all other available positive and negative evidence and concluded that, at December 31, 2022, it is more likely than not that the Company’s U.S. deferred tax assets will not be realized. As of December 31, 2022, a valuation allowance has been recorded on the Company’s deferred tax assets to recognize only the portion of the deferred tax asset that is more likely than not to be recognized. The Company’s total valuation allowance was $44.5 million at December 31, 2022 and $35.5 million at December 31, 2021. The Company’s valuation allowance increased $9.1 million and $20.3 million during the fiscal years ended December 31, 2022 and 2021, respectively. A reconciliation of the beginning and ending amount of the valuation allowance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26"/>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Valuation allowance at beginning of year</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35,476</w:t>
            </w:r>
          </w:p>
        </w:tc>
        <w:tc>
          <w:tcPr>
            <w:tcW w:w="76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15,151</w:t>
            </w:r>
          </w:p>
        </w:tc>
        <w:tc>
          <w:tcPr>
            <w:tcW w:w="100" w:type="dxa"/>
            <w:vAlign w:val="bottom"/>
            <w:shd w:val="clear" w:color="auto" w:fill="CFF0FC"/>
          </w:tcPr>
          <w:p>
            <w:pPr>
              <w:spacing w:after="0"/>
              <w:rPr>
                <w:sz w:val="19"/>
                <w:szCs w:val="19"/>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color w:val="auto"/>
              </w:rPr>
              <w:t>Change in valuation allowance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9,064</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20,325</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Valuation allowance at end of year</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44,540</w:t>
            </w:r>
          </w:p>
        </w:tc>
        <w:tc>
          <w:tcPr>
            <w:tcW w:w="28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35,476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the Company had cumulative federal net operating losses of approximately $141.3 million. Of these losses, $7.5 million were generated in 2015 through 2017, prior to the Tax Cuts and Jobs Act enactment, and will expire between 2035 to 2037 if not utilized. The remaining net operating losses have an indefinite carryforward period. As of December 31, 2021, the Company had cumulative federal net operating losses of approximately $90.1 million.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2022, the Company had a $6.6 million deferred tax asset related to a federal research and development credit carryforward. This credit has been offset by a liability for unrecognized tax benefits of $2.9 million. If not utilized, the credits will expire between 2034 through 2042. As of December 31, 2021, the Company had a $3.9 million deferred tax asset related to a federal research and development credit carryforward.</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2022, the Company had state net operating losses of approximately $107.8 million. Of the total state net operating losses, approximately $96.8 million is attributable to Utah. Utah law allows unused net operating losses arising in tax years beginning after December 31, 2017 to be carried forward indefinitely. Of the total $96.8 million of Utah net operating losses, $90.5 million are carried forward indefinitely, and the remaining net operating losses will expire between 2035 through 2037. Of the total state net operating losses, approximately $9.8 million is attributable to Pennsylvania. Pennsylvania net operating losses will expire between 2034 through 2042. The remaining state net operating loss carryforwards are attributable to various other states with varying expiration periods. As of December 31, 2021, the Company had cumulative state net operating losses of approximately $89.1 million. Of the total state net operating losses as of December 31, 2021, approximately $88.8 million is attributable to Utah.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2" w:name="page103"/>
    <w:bookmarkEnd w:id="102"/>
    <w:p>
      <w:pPr>
        <w:jc w:val="both"/>
        <w:spacing w:after="0" w:line="255" w:lineRule="auto"/>
        <w:rPr>
          <w:sz w:val="20"/>
          <w:szCs w:val="20"/>
          <w:color w:val="auto"/>
        </w:rPr>
      </w:pPr>
      <w:r>
        <w:rPr>
          <w:rFonts w:ascii="Arial" w:cs="Arial" w:eastAsia="Arial" w:hAnsi="Arial"/>
          <w:sz w:val="18"/>
          <w:szCs w:val="18"/>
          <w:color w:val="auto"/>
        </w:rPr>
        <w:t>As of December 31, 2022, the Company had a $2.4 million deferred tax asset related to state research and development credits carryforward. Of the total state research and development credits, approximately $2.0 million is attributable to Utah. This credit has been offset by a liability for unrecognized tax benefits of $1.0 million. If not utilized, the credits will expire beginning in 2029 through 2036. Of the total state research and development credits, approximately $0.4 million is attributable to Pennsylvania. If not utilized, the credits will expire between 2033 through 2035. As of December 31, 2021, the Company had a $1.4 million deferred tax asset related to a Utah research and development credit carryforward. This credit has been offset by a liability for unrecognized tax benefits of $0.7 million.</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ASC Topic 740-10-05 requires that the impact of a tax position be recognized in the financial statements if that position is more likely than not of being sustained on audit, based on the technical merits of the position. As of December 31, 2022, the Company had a $3.9 million liability for unrecognized tax benefits, all of which is netted against deferred tax assets for related carryforward credits. As of December 31, 2021, the Company had a $2.6 million liability for unrecognized tax benefits, all of which is netted against deferred tax assets for related carryforward credits. The Company expects no material changes to the liability for unrecognized tax benefits in the next 12 months. Interest and penalties associated with uncertain tax positions are recorded as a component of income tax expense. There would be no impact to the Company’s effective rate if the unrecognized tax benefits were recognized. A reconciliation of the beginning and ending amounts of unrecognized benefits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Years ended December 31,</w:t>
            </w:r>
          </w:p>
        </w:tc>
        <w:tc>
          <w:tcPr>
            <w:tcW w:w="100" w:type="dxa"/>
            <w:vAlign w:val="bottom"/>
          </w:tcPr>
          <w:p>
            <w:pPr>
              <w:spacing w:after="0"/>
              <w:rPr>
                <w:sz w:val="19"/>
                <w:szCs w:val="19"/>
                <w:color w:val="auto"/>
              </w:rPr>
            </w:pPr>
          </w:p>
        </w:tc>
      </w:tr>
      <w:tr>
        <w:trPr>
          <w:trHeight w:val="227"/>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26"/>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Unrecognized tax benefits at the beginning of year</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2,634</w:t>
            </w:r>
          </w:p>
        </w:tc>
        <w:tc>
          <w:tcPr>
            <w:tcW w:w="6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2,054</w:t>
            </w:r>
          </w:p>
        </w:tc>
        <w:tc>
          <w:tcPr>
            <w:tcW w:w="100" w:type="dxa"/>
            <w:vAlign w:val="bottom"/>
            <w:shd w:val="clear" w:color="auto" w:fill="CFF0FC"/>
          </w:tcPr>
          <w:p>
            <w:pPr>
              <w:spacing w:after="0"/>
              <w:rPr>
                <w:sz w:val="19"/>
                <w:szCs w:val="19"/>
                <w:color w:val="auto"/>
              </w:rPr>
            </w:pPr>
          </w:p>
        </w:tc>
      </w:tr>
      <w:tr>
        <w:trPr>
          <w:trHeight w:val="223"/>
        </w:trPr>
        <w:tc>
          <w:tcPr>
            <w:tcW w:w="774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Gross increases – current year tax positions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Borders>
              <w:bottom w:val="single" w:sz="8" w:color="CFF0FC"/>
            </w:tcBorders>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Unrecognized tax benefits at end of year</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3,898</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740" w:type="dxa"/>
            <w:vAlign w:val="bottom"/>
          </w:tcPr>
          <w:p>
            <w:pPr>
              <w:ind w:left="20"/>
              <w:spacing w:after="0"/>
              <w:rPr>
                <w:sz w:val="20"/>
                <w:szCs w:val="20"/>
                <w:color w:val="auto"/>
              </w:rPr>
            </w:pPr>
            <w:r>
              <w:rPr>
                <w:rFonts w:ascii="Arial" w:cs="Arial" w:eastAsia="Arial" w:hAnsi="Arial"/>
                <w:sz w:val="16"/>
                <w:szCs w:val="16"/>
                <w:color w:val="auto"/>
              </w:rPr>
              <w:t>Interest and penalties in year-end balance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-350520</wp:posOffset>
            </wp:positionV>
            <wp:extent cx="1243330" cy="3511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43330" cy="351155"/>
                    </a:xfrm>
                    <a:prstGeom prst="rect">
                      <a:avLst/>
                    </a:prstGeom>
                    <a:noFill/>
                  </pic:spPr>
                </pic:pic>
              </a:graphicData>
            </a:graphic>
          </wp:anchor>
        </w:drawing>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files U.S. and various state tax returns in jurisdictions with various statutes of limitation. As of December 31, 2022, the tax returns for fiscal year 2016 through fiscal year 2021 remain subject to examination. Annual tax provisions include amounts considered necessary to pay assessments that may result from examination of prior year tax returns; however, the amount ultimately paid upon resolution of issues may differ materially from the amount accrued. As of December 31, 2022, there are no income tax returns currently under audit.</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April 25, 2022, the Company acquired RE2 in a tax-free stock purchase. The acquired deferred tax liabilities of RE2 were available to offset the reversal of the Company’s preexisting deferred tax assets. As a result of the acquisition, the Company determined a portion of its preexisting tax assets were more likely than not to be realized by the combined entity, and the valuation allowance was reduced. The Company recorded a deferred tax benefit of $3.9 million related to the reduction of its valuation allowance.</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August 16, 2022, the Inflation Reduction Act (“IRA”) was signed into law by President Biden. The IRA includes a corporate minimum tax of 15% on certain large corporations with greater than $1 billion in average adjusted financial statement income and an excise tax on certain stock repurchases executed after December 31, 2022. There are no impacts to the Company in 2022, and the Company does not expect a material impact on its consolidated financial statements in the foreseeable future as a result of the IRA.</w:t>
      </w:r>
    </w:p>
    <w:p>
      <w:pPr>
        <w:spacing w:after="0" w:line="183" w:lineRule="exact"/>
        <w:rPr>
          <w:sz w:val="20"/>
          <w:szCs w:val="20"/>
          <w:color w:val="auto"/>
        </w:rPr>
      </w:pPr>
    </w:p>
    <w:p>
      <w:pPr>
        <w:ind w:right="8420" w:firstLine="8"/>
        <w:spacing w:after="0" w:line="549" w:lineRule="auto"/>
        <w:tabs>
          <w:tab w:leader="none" w:pos="27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Legal Proceedings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be involved in various claims, lawsuits, investigations and other proceedings in the normal course of business. The Company accrues a liability when management believes information available prior to the issuance of the consolidated financial statements indicates it is probable a loss has been incurred as of the date of the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 The Company has not recorded any material loss contingency related to legal proceedings in the balance sheet as of December 31, 2022 and 2021.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Indemnifications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ordinary course of business, the Company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As of December 31, 2022 and 2021, the Company has not accrued a liability for these indemnification obligations as the likelihood of incurring a material payment obligation in connection with these indemnification obligations is either not probable or not reasonably estimable due to the unique facts and circumstances involved.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Unconditional purchase commitments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4, 2021, the Company entered into an agreement with Palantir Technologies (“Palantir”). Pursuant to that agreement, the Company committed to purchase licenses to access software products and utilize services from Palantir over a six year period for a total cost to the Company of $42.0 million. As of December 31, 2022, the Company has an unconditional purchase commitment with Palantir as detailed in the table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b w:val="1"/>
                <w:bCs w:val="1"/>
                <w:color w:val="auto"/>
              </w:rPr>
              <w:t>Annual Service</w:t>
            </w:r>
          </w:p>
        </w:tc>
        <w:tc>
          <w:tcPr>
            <w:tcW w:w="100" w:type="dxa"/>
            <w:vAlign w:val="bottom"/>
          </w:tcPr>
          <w:p>
            <w:pPr>
              <w:spacing w:after="0"/>
              <w:rPr>
                <w:sz w:val="17"/>
                <w:szCs w:val="17"/>
                <w:color w:val="auto"/>
              </w:rPr>
            </w:pPr>
          </w:p>
        </w:tc>
      </w:tr>
      <w:tr>
        <w:trPr>
          <w:trHeight w:val="227"/>
        </w:trPr>
        <w:tc>
          <w:tcPr>
            <w:tcW w:w="9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Payments</w:t>
            </w:r>
          </w:p>
        </w:tc>
        <w:tc>
          <w:tcPr>
            <w:tcW w:w="100" w:type="dxa"/>
            <w:vAlign w:val="bottom"/>
          </w:tcPr>
          <w:p>
            <w:pPr>
              <w:spacing w:after="0"/>
              <w:rPr>
                <w:sz w:val="19"/>
                <w:szCs w:val="19"/>
                <w:color w:val="auto"/>
              </w:rPr>
            </w:pPr>
          </w:p>
        </w:tc>
      </w:tr>
      <w:tr>
        <w:trPr>
          <w:trHeight w:val="226"/>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100" w:type="dxa"/>
            <w:vAlign w:val="bottom"/>
            <w:shd w:val="clear" w:color="auto" w:fill="CFF0FC"/>
          </w:tcPr>
          <w:p>
            <w:pPr>
              <w:spacing w:after="0"/>
              <w:rPr>
                <w:sz w:val="19"/>
                <w:szCs w:val="19"/>
                <w:color w:val="auto"/>
              </w:rPr>
            </w:pPr>
          </w:p>
        </w:tc>
      </w:tr>
      <w:tr>
        <w:trPr>
          <w:trHeight w:val="220"/>
        </w:trPr>
        <w:tc>
          <w:tcPr>
            <w:tcW w:w="9220" w:type="dxa"/>
            <w:vAlign w:val="bottom"/>
          </w:tcPr>
          <w:p>
            <w:pPr>
              <w:ind w:left="20"/>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8,000</w:t>
            </w:r>
          </w:p>
        </w:tc>
        <w:tc>
          <w:tcPr>
            <w:tcW w:w="100" w:type="dxa"/>
            <w:vAlign w:val="bottom"/>
          </w:tcPr>
          <w:p>
            <w:pPr>
              <w:spacing w:after="0"/>
              <w:rPr>
                <w:sz w:val="19"/>
                <w:szCs w:val="19"/>
                <w:color w:val="auto"/>
              </w:rPr>
            </w:pPr>
          </w:p>
        </w:tc>
      </w:tr>
      <w:tr>
        <w:trPr>
          <w:trHeight w:val="239"/>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26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FF0FC"/>
          </w:tcPr>
          <w:p>
            <w:pPr>
              <w:spacing w:after="0"/>
              <w:rPr>
                <w:sz w:val="20"/>
                <w:szCs w:val="20"/>
                <w:color w:val="auto"/>
              </w:rPr>
            </w:pPr>
          </w:p>
        </w:tc>
      </w:tr>
      <w:tr>
        <w:trPr>
          <w:trHeight w:val="223"/>
        </w:trPr>
        <w:tc>
          <w:tcPr>
            <w:tcW w:w="9220" w:type="dxa"/>
            <w:vAlign w:val="bottom"/>
          </w:tcPr>
          <w:p>
            <w:pPr>
              <w:ind w:left="20"/>
              <w:spacing w:after="0"/>
              <w:rPr>
                <w:sz w:val="20"/>
                <w:szCs w:val="20"/>
                <w:color w:val="auto"/>
              </w:rPr>
            </w:pPr>
            <w:r>
              <w:rPr>
                <w:rFonts w:ascii="Arial" w:cs="Arial" w:eastAsia="Arial" w:hAnsi="Arial"/>
                <w:sz w:val="16"/>
                <w:szCs w:val="16"/>
                <w:color w:val="auto"/>
              </w:rPr>
              <w:t>2026</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9"/>
                <w:szCs w:val="19"/>
                <w:color w:val="auto"/>
              </w:rPr>
            </w:pPr>
          </w:p>
        </w:tc>
      </w:tr>
      <w:tr>
        <w:trPr>
          <w:trHeight w:val="263"/>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36,000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Chief Executive Officer (“CEO”) is the Chief Operating Decision Maker (“CODM”). The CODM allocates resources and makes operating decisions based on financial information presented on a consolidated basis. The CODM does not evaluate profitability below the level of the consolidated company. Accordingly, the Company has determined that it has a single reportable segment and operating segment structure.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revenue is derived primarily from U.S. customers. During the year ended December 31, 2022, the Company had $2.8 million of revenue earned from customers located outside the United States. During the year ended December 31, 2021, the Company had no material revenue earned from customers located outside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long-lived assets are maintained in the United States. All losses are attributable to operations within the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16, 2021, the Company entered into an agreement with Sparks Marketing Corp. to begin the construction of an experiential marketing mobile display to be used for demonstrations of Company products at prospective customer locations as well as other marketing and demonstration events. Negotiations of this agreement involved an account executive at Sparks Marketing Corp. who is the brother-in-law of Mr. Wolff, our former CEO and current Director. As of December 31, 2022, the Company has capitalized $0.8 million to property plant and equipment for the experiential mobile display.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defined contribution 401(k) plans covering substantially all employees as of December 31, 2022. The plans allow employees to defer up to 100% of their employment income (subject to annual contribution limits imposed by the I.R.S.) after all taxes and applicable benefit deductions. In April 2022 the Company began providing employees with 401(k) matching contributions. The Company recognized $0.9 million of expense for 401(k) matching contributions during the twelve months ended December 31,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 rules and forms. Disclosure controls and procedures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December 31, 2022, pursuant to Rule 13a-15(b) under the Exchange Act. Based upon that evaluation, our Certifying Officers concluded that our disclosure controls and procedures were effective as of December 31, 2022.</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Under the supervision of our Certifying Officers, management conducted an evaluation of the effectiveness of our internal control over financial reporting as of December 31, 2022 based on the framework set forth by the Committee of Sponsoring Organizations of the Treadway Commission (COSO) in “Internal Control-Integrated Framework.” Based on that evaluation, management has concluded that our internal control over financial reporting was effective as of December 31, 2022.</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acquired RE2, Inc., (“RE2”) on April 25, 2022. Management has excluded RE2 from its evaluation of the effectiveness of internal control over financial reporting as of December 31, 2022. The total assets and total revenue of RE2 represent approximately 15.2% and 74.1%, respectively, of the related consolidated financial statements amounts as of and for the fiscal year ended December 31,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as permitted due to our status as an emerging growth company under the JOBS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ended December 31, 2022 covered by this Report that has materially affected, or is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ind w:left="524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EXECTIVE OFFICERS AND 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required by this item with respect to our executive officers is set forth in Part I of this Annual Report on Form 10-K under the caption “Information about our Executive Officers,” and information relating to the availability of our code of conduct for executive officers and directors is set forth below. The other information required by this item is incorporated by reference to our definitive proxy statement to be filed in connection with the 2023 Annual Meeting of Stockholders no later than 120 days after December 31, 2022.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adopted a Code of Business Conduct and Ethics applicable to our directors, executive officers and employees. The Code of Business Conduct and Ethics codifies the business and ethical principles that govern all aspects of our business. The full text of our code of business conduct and ethics is posted on the investor relations page on our website at https://investor.sarcos.com/governance/documents-charters</w:t>
      </w:r>
      <w:r>
        <w:rPr>
          <w:rFonts w:ascii="Arial" w:cs="Arial" w:eastAsia="Arial" w:hAnsi="Arial"/>
          <w:sz w:val="17"/>
          <w:szCs w:val="17"/>
          <w:i w:val="1"/>
          <w:iCs w:val="1"/>
          <w:color w:val="auto"/>
        </w:rPr>
        <w:t>.</w:t>
      </w:r>
      <w:r>
        <w:rPr>
          <w:rFonts w:ascii="Arial" w:cs="Arial" w:eastAsia="Arial" w:hAnsi="Arial"/>
          <w:sz w:val="17"/>
          <w:szCs w:val="17"/>
          <w:color w:val="auto"/>
        </w:rPr>
        <w:t xml:space="preserve"> In addition, a copy of the Code of Ethics will be provided without charge upon request to us in writing at 650 South 500 West, Salt Lake City, Utah 84101 or by telephone at 888-927-7296. Any amendments to or waivers of the Code of Conduct will be disclosed on our website.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in connection with the 2023 Annual Meeting of Stockholders no later than 120 days after December 31, 2022.</w:t>
      </w:r>
    </w:p>
    <w:p>
      <w:pPr>
        <w:spacing w:after="0" w:line="12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in connection with the 2023 Annual Meeting of Stockholders no later than 120 days after December 31, 2022.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in connection with the 2023 Annual Meeting of Stockholders no later than 120 days after December 31, 2022.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in connection with the 2023 Annual Meeting of Stockholders no later than 120 days after December 31, 2022.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ind w:left="560" w:hanging="552"/>
        <w:spacing w:after="0"/>
        <w:tabs>
          <w:tab w:leader="none" w:pos="5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consolidated financial statements in Part II, Item 8 of this Annual Report on Form 10-K.</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(2) Financial Statement Schedule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financial statement schedules have been omitted because they are either not applicable or the required information is shown in the consolidated financial statements or notes thereto.</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precedes the signature page of this Annual Report on Form 10-K.</w:t>
      </w:r>
    </w:p>
    <w:p>
      <w:pPr>
        <w:spacing w:after="0" w:line="113" w:lineRule="exact"/>
        <w:rPr>
          <w:sz w:val="20"/>
          <w:szCs w:val="20"/>
          <w:color w:val="auto"/>
        </w:rPr>
      </w:pPr>
    </w:p>
    <w:p>
      <w:pPr>
        <w:ind w:left="560" w:hanging="552"/>
        <w:spacing w:after="0"/>
        <w:tabs>
          <w:tab w:leader="none" w:pos="5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Item 15(a)(3) above.</w:t>
      </w:r>
    </w:p>
    <w:p>
      <w:pPr>
        <w:spacing w:after="0" w:line="99" w:lineRule="exact"/>
        <w:rPr>
          <w:sz w:val="20"/>
          <w:szCs w:val="20"/>
          <w:color w:val="auto"/>
        </w:rPr>
      </w:pPr>
    </w:p>
    <w:p>
      <w:pPr>
        <w:ind w:right="8320" w:firstLine="8"/>
        <w:spacing w:after="0" w:line="312" w:lineRule="auto"/>
        <w:tabs>
          <w:tab w:leader="none" w:pos="56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 Schedules </w:t>
      </w:r>
      <w:r>
        <w:rPr>
          <w:rFonts w:ascii="Arial" w:cs="Arial" w:eastAsia="Arial" w:hAnsi="Arial"/>
          <w:sz w:val="17"/>
          <w:szCs w:val="17"/>
          <w:color w:val="auto"/>
        </w:rPr>
        <w:t>See Item 15(a)(2) above.</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reviewing the agreements included as exhibits to this Annual Report on Form 10-K, please remember that they are included to provide you with information regarding their terms and are not intended to provide any other factual or disclosure information about the Company or the other parties to the agreement. The agreements may contain representations and warranties that the parties made to each other as of specific dates. The assertions embodied in those representations and warranties were made solely for purposes of the applicable agreement and may be subject to important qualifications and limitations agreed to by the parties in connection with negotiating the terms of such agreement. In addition, such representations and warranties: (i) may not be accurate or complete as of any specified date; (ii) are modified and qualified in important part by the underlying disclosure schedules; (iii) may be subject to a contractual standard of materiality different from those generally applicable to investors; or (iv) may have been used for the purpose of allocating risk among the parties to the applicable agreement, rather than establishing matters as facts. Moreover, information concerning the subject matter of the representations and warranties may change after the date of the applicable agreement, which subsequent information may or may not be fully reflected in Company’s public disclosures. For the foregoing reasons, the representations and warranties should not be relied upon as statements of factual information.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20" w:type="dxa"/>
            <w:vAlign w:val="bottom"/>
            <w:gridSpan w:val="16"/>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920" w:type="dxa"/>
            <w:vAlign w:val="bottom"/>
            <w:tcBorders>
              <w:bottom w:val="single" w:sz="8" w:color="auto"/>
            </w:tcBorders>
            <w:gridSpan w:val="16"/>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ind w:left="20"/>
              <w:spacing w:after="0" w:line="169"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tcBorders>
              <w:bottom w:val="single" w:sz="8" w:color="0000FF"/>
            </w:tcBorders>
            <w:gridSpan w:val="11"/>
          </w:tcPr>
          <w:p>
            <w:pPr>
              <w:spacing w:after="0" w:line="169" w:lineRule="exact"/>
              <w:rPr>
                <w:rFonts w:ascii="Arial" w:cs="Arial" w:eastAsia="Arial" w:hAnsi="Arial"/>
                <w:sz w:val="18"/>
                <w:szCs w:val="18"/>
                <w:color w:val="0000FF"/>
                <w:w w:val="90"/>
              </w:rPr>
            </w:pPr>
            <w:hyperlink r:id="rId295">
              <w:r>
                <w:rPr>
                  <w:rFonts w:ascii="Arial" w:cs="Arial" w:eastAsia="Arial" w:hAnsi="Arial"/>
                  <w:sz w:val="18"/>
                  <w:szCs w:val="18"/>
                  <w:color w:val="0000FF"/>
                  <w:w w:val="90"/>
                </w:rPr>
                <w:t>Agreement and Plan of Merger, dated as of April 5, 2021, by and among the Company, Rotor Merger Sub Corp. and Old Sarcos</w:t>
              </w:r>
            </w:hyperlink>
          </w:p>
        </w:tc>
        <w:tc>
          <w:tcPr>
            <w:tcW w:w="720" w:type="dxa"/>
            <w:vAlign w:val="bottom"/>
            <w:gridSpan w:val="9"/>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20"/>
          </w:tcPr>
          <w:p>
            <w:pPr>
              <w:spacing w:after="0" w:line="196" w:lineRule="exact"/>
              <w:rPr>
                <w:rFonts w:ascii="Arial" w:cs="Arial" w:eastAsia="Arial" w:hAnsi="Arial"/>
                <w:sz w:val="18"/>
                <w:szCs w:val="18"/>
                <w:color w:val="0000FF"/>
              </w:rPr>
            </w:pPr>
            <w:hyperlink r:id="rId295">
              <w:r>
                <w:rPr>
                  <w:rFonts w:ascii="Arial" w:cs="Arial" w:eastAsia="Arial" w:hAnsi="Arial"/>
                  <w:sz w:val="18"/>
                  <w:szCs w:val="18"/>
                  <w:color w:val="0000FF"/>
                </w:rPr>
                <w:t>(incorporated by reference to the Company’s Current Report on Form 8-K filed with the SEC on April 6, 2021).</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296">
              <w:r>
                <w:rPr>
                  <w:rFonts w:ascii="Arial" w:cs="Arial" w:eastAsia="Arial" w:hAnsi="Arial"/>
                  <w:sz w:val="18"/>
                  <w:szCs w:val="18"/>
                  <w:color w:val="0000FF"/>
                  <w:w w:val="90"/>
                </w:rPr>
                <w:t>Amendment No. 1 to Merger Agreement, dated as of August 28, 2021, by and among the Company, Rotor Merger Sub Corp. and Old</w:t>
              </w:r>
            </w:hyperlink>
          </w:p>
        </w:tc>
        <w:tc>
          <w:tcPr>
            <w:tcW w:w="32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296">
              <w:r>
                <w:rPr>
                  <w:rFonts w:ascii="Arial" w:cs="Arial" w:eastAsia="Arial" w:hAnsi="Arial"/>
                  <w:sz w:val="18"/>
                  <w:szCs w:val="18"/>
                  <w:color w:val="0000FF"/>
                  <w:w w:val="90"/>
                </w:rPr>
                <w:t>Sarcos (incorporated by reference to the Company’s Current Report on Form 8-K filed with the SEC on August 30, 2021).</w:t>
              </w:r>
            </w:hyperlink>
          </w:p>
        </w:tc>
        <w:tc>
          <w:tcPr>
            <w:tcW w:w="20" w:type="dxa"/>
            <w:vAlign w:val="bottom"/>
            <w:tcBorders>
              <w:bottom w:val="single" w:sz="8" w:color="0000EE"/>
            </w:tcBorders>
          </w:tcPr>
          <w:p>
            <w:pPr>
              <w:spacing w:after="0"/>
              <w:rPr>
                <w:sz w:val="17"/>
                <w:szCs w:val="17"/>
                <w:color w:val="auto"/>
              </w:rPr>
            </w:pPr>
          </w:p>
        </w:tc>
        <w:tc>
          <w:tcPr>
            <w:tcW w:w="1140" w:type="dxa"/>
            <w:vAlign w:val="bottom"/>
            <w:gridSpan w:val="1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297">
              <w:r>
                <w:rPr>
                  <w:rFonts w:ascii="Arial" w:cs="Arial" w:eastAsia="Arial" w:hAnsi="Arial"/>
                  <w:sz w:val="18"/>
                  <w:szCs w:val="18"/>
                  <w:color w:val="0000FF"/>
                  <w:w w:val="91"/>
                </w:rPr>
                <w:t>Merger Agreement, dated March 27, 2022, by and among the Company, Spiral Merger Sub I, Inc., Spiral Merger Sub II, LLC, RE2, Inc.</w:t>
              </w:r>
            </w:hyperlink>
          </w:p>
        </w:tc>
        <w:tc>
          <w:tcPr>
            <w:tcW w:w="12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297">
              <w:r>
                <w:rPr>
                  <w:rFonts w:ascii="Arial" w:cs="Arial" w:eastAsia="Arial" w:hAnsi="Arial"/>
                  <w:sz w:val="18"/>
                  <w:szCs w:val="18"/>
                  <w:color w:val="0000FF"/>
                  <w:w w:val="90"/>
                </w:rPr>
                <w:t>and Draper Triangle Ventures III, LP, solely in its capacity as the agent for and on behalf of the shareholders of RE2 (incorporated by</w:t>
              </w:r>
            </w:hyperlink>
          </w:p>
        </w:tc>
        <w:tc>
          <w:tcPr>
            <w:tcW w:w="340" w:type="dxa"/>
            <w:vAlign w:val="bottom"/>
            <w:gridSpan w:val="5"/>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20"/>
          </w:tcPr>
          <w:p>
            <w:pPr>
              <w:spacing w:after="0" w:line="196" w:lineRule="exact"/>
              <w:rPr>
                <w:rFonts w:ascii="Arial" w:cs="Arial" w:eastAsia="Arial" w:hAnsi="Arial"/>
                <w:sz w:val="18"/>
                <w:szCs w:val="18"/>
                <w:color w:val="0000FF"/>
              </w:rPr>
            </w:pPr>
            <w:hyperlink r:id="rId297">
              <w:r>
                <w:rPr>
                  <w:rFonts w:ascii="Arial" w:cs="Arial" w:eastAsia="Arial" w:hAnsi="Arial"/>
                  <w:sz w:val="18"/>
                  <w:szCs w:val="18"/>
                  <w:color w:val="0000FF"/>
                </w:rPr>
                <w:t>reference to the Company’s Current Report on Form 8-K filed with the SEC on March 29, 2022).</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298">
              <w:r>
                <w:rPr>
                  <w:rFonts w:ascii="Arial" w:cs="Arial" w:eastAsia="Arial" w:hAnsi="Arial"/>
                  <w:sz w:val="18"/>
                  <w:szCs w:val="18"/>
                  <w:color w:val="0000FF"/>
                  <w:w w:val="90"/>
                </w:rPr>
                <w:t>Second Amended and Restated Certificate of Incorporation of Sarcos Technology and Robotics Corporation (incorporated by reference to</w:t>
              </w:r>
            </w:hyperlink>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298">
              <w:r>
                <w:rPr>
                  <w:rFonts w:ascii="Arial" w:cs="Arial" w:eastAsia="Arial" w:hAnsi="Arial"/>
                  <w:sz w:val="18"/>
                  <w:szCs w:val="18"/>
                  <w:color w:val="0000FF"/>
                  <w:w w:val="90"/>
                </w:rPr>
                <w:t>the Company’s Current Report on Form 8-K filed on September 30, 2021).</w:t>
              </w:r>
            </w:hyperlink>
          </w:p>
        </w:tc>
        <w:tc>
          <w:tcPr>
            <w:tcW w:w="20" w:type="dxa"/>
            <w:vAlign w:val="bottom"/>
            <w:tcBorders>
              <w:bottom w:val="single" w:sz="8" w:color="0000EE"/>
            </w:tcBorders>
          </w:tcPr>
          <w:p>
            <w:pPr>
              <w:spacing w:after="0"/>
              <w:rPr>
                <w:sz w:val="17"/>
                <w:szCs w:val="17"/>
                <w:color w:val="auto"/>
              </w:rPr>
            </w:pPr>
          </w:p>
        </w:tc>
        <w:tc>
          <w:tcPr>
            <w:tcW w:w="4560" w:type="dxa"/>
            <w:vAlign w:val="bottom"/>
            <w:gridSpan w:val="14"/>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299">
              <w:r>
                <w:rPr>
                  <w:rFonts w:ascii="Arial" w:cs="Arial" w:eastAsia="Arial" w:hAnsi="Arial"/>
                  <w:sz w:val="18"/>
                  <w:szCs w:val="18"/>
                  <w:color w:val="0000FF"/>
                  <w:w w:val="90"/>
                </w:rPr>
                <w:t>Amended and Restated Bylaws of Sarcos Technology and Robotics Corporation (incorporated by reference to the Company’s Current</w:t>
              </w:r>
            </w:hyperlink>
          </w:p>
        </w:tc>
        <w:tc>
          <w:tcPr>
            <w:tcW w:w="30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299">
              <w:r>
                <w:rPr>
                  <w:rFonts w:ascii="Arial" w:cs="Arial" w:eastAsia="Arial" w:hAnsi="Arial"/>
                  <w:sz w:val="18"/>
                  <w:szCs w:val="18"/>
                  <w:color w:val="0000FF"/>
                  <w:w w:val="91"/>
                </w:rPr>
                <w:t>Report on Form 8-K filed on November 8, 2022).</w:t>
              </w:r>
            </w:hyperlink>
          </w:p>
        </w:tc>
        <w:tc>
          <w:tcPr>
            <w:tcW w:w="20" w:type="dxa"/>
            <w:vAlign w:val="bottom"/>
            <w:tcBorders>
              <w:bottom w:val="single" w:sz="8" w:color="0000EE"/>
            </w:tcBorders>
          </w:tcPr>
          <w:p>
            <w:pPr>
              <w:spacing w:after="0"/>
              <w:rPr>
                <w:sz w:val="17"/>
                <w:szCs w:val="17"/>
                <w:color w:val="auto"/>
              </w:rPr>
            </w:pPr>
          </w:p>
        </w:tc>
        <w:tc>
          <w:tcPr>
            <w:tcW w:w="6380" w:type="dxa"/>
            <w:vAlign w:val="bottom"/>
            <w:gridSpan w:val="18"/>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300">
              <w:r>
                <w:rPr>
                  <w:rFonts w:ascii="Arial" w:cs="Arial" w:eastAsia="Arial" w:hAnsi="Arial"/>
                  <w:sz w:val="18"/>
                  <w:szCs w:val="18"/>
                  <w:color w:val="0000FF"/>
                  <w:w w:val="90"/>
                </w:rPr>
                <w:t>Warrant Agreement between Continental Transfer &amp; Trust Company and the Registrant (incorporated by reference to the Company’s</w:t>
              </w:r>
            </w:hyperlink>
          </w:p>
        </w:tc>
        <w:tc>
          <w:tcPr>
            <w:tcW w:w="36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300">
              <w:r>
                <w:rPr>
                  <w:rFonts w:ascii="Arial" w:cs="Arial" w:eastAsia="Arial" w:hAnsi="Arial"/>
                  <w:sz w:val="18"/>
                  <w:szCs w:val="18"/>
                  <w:color w:val="0000FF"/>
                  <w:w w:val="91"/>
                </w:rPr>
                <w:t>Form S-1/A filed with the SEC on December 30, 2020).</w:t>
              </w:r>
            </w:hyperlink>
          </w:p>
        </w:tc>
        <w:tc>
          <w:tcPr>
            <w:tcW w:w="20" w:type="dxa"/>
            <w:vAlign w:val="bottom"/>
            <w:tcBorders>
              <w:bottom w:val="single" w:sz="8" w:color="0000EE"/>
            </w:tcBorders>
          </w:tcPr>
          <w:p>
            <w:pPr>
              <w:spacing w:after="0"/>
              <w:rPr>
                <w:sz w:val="17"/>
                <w:szCs w:val="17"/>
                <w:color w:val="auto"/>
              </w:rPr>
            </w:pPr>
          </w:p>
        </w:tc>
        <w:tc>
          <w:tcPr>
            <w:tcW w:w="5920" w:type="dxa"/>
            <w:vAlign w:val="bottom"/>
            <w:gridSpan w:val="16"/>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20"/>
          </w:tcPr>
          <w:p>
            <w:pPr>
              <w:spacing w:after="0" w:line="196" w:lineRule="exact"/>
              <w:rPr>
                <w:rFonts w:ascii="Arial" w:cs="Arial" w:eastAsia="Arial" w:hAnsi="Arial"/>
                <w:sz w:val="18"/>
                <w:szCs w:val="18"/>
                <w:color w:val="0000FF"/>
                <w:w w:val="95"/>
              </w:rPr>
            </w:pPr>
            <w:hyperlink r:id="rId301">
              <w:r>
                <w:rPr>
                  <w:rFonts w:ascii="Arial" w:cs="Arial" w:eastAsia="Arial" w:hAnsi="Arial"/>
                  <w:sz w:val="18"/>
                  <w:szCs w:val="18"/>
                  <w:color w:val="0000FF"/>
                  <w:w w:val="95"/>
                </w:rPr>
                <w:t>Specimen Warrant Certificate (incorporated by reference to the Company’s Form S-1/A filed with the SEC on December 30, 2020).</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80" w:type="dxa"/>
            <w:vAlign w:val="bottom"/>
            <w:tcBorders>
              <w:right w:val="single" w:sz="8" w:color="0000EE"/>
            </w:tcBorders>
            <w:gridSpan w:val="1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20"/>
          </w:tcPr>
          <w:p>
            <w:pPr>
              <w:spacing w:after="0" w:line="196" w:lineRule="exact"/>
              <w:rPr>
                <w:rFonts w:ascii="Arial" w:cs="Arial" w:eastAsia="Arial" w:hAnsi="Arial"/>
                <w:sz w:val="18"/>
                <w:szCs w:val="18"/>
                <w:color w:val="0000FF"/>
                <w:w w:val="94"/>
              </w:rPr>
            </w:pPr>
            <w:hyperlink r:id="rId302">
              <w:r>
                <w:rPr>
                  <w:rFonts w:ascii="Arial" w:cs="Arial" w:eastAsia="Arial" w:hAnsi="Arial"/>
                  <w:sz w:val="18"/>
                  <w:szCs w:val="18"/>
                  <w:color w:val="0000FF"/>
                  <w:w w:val="94"/>
                </w:rPr>
                <w:t>Specimen Stock Certificate (incorporated by reference to the Company’s Current Report on Form 8-K filed on September 30, 2021).</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5380" w:type="dxa"/>
            <w:vAlign w:val="bottom"/>
            <w:tcBorders>
              <w:top w:val="single" w:sz="8" w:color="0000FF"/>
            </w:tcBorders>
            <w:gridSpan w:val="5"/>
          </w:tcPr>
          <w:p>
            <w:pPr>
              <w:jc w:val="right"/>
              <w:ind w:right="488"/>
              <w:spacing w:after="0"/>
              <w:rPr>
                <w:sz w:val="20"/>
                <w:szCs w:val="20"/>
                <w:color w:val="auto"/>
              </w:rPr>
            </w:pPr>
            <w:r>
              <w:rPr>
                <w:rFonts w:ascii="Arial" w:cs="Arial" w:eastAsia="Arial" w:hAnsi="Arial"/>
                <w:sz w:val="18"/>
                <w:szCs w:val="18"/>
                <w:color w:val="auto"/>
              </w:rPr>
              <w:t>106</w:t>
            </w:r>
          </w:p>
        </w:tc>
        <w:tc>
          <w:tcPr>
            <w:tcW w:w="20" w:type="dxa"/>
            <w:vAlign w:val="bottom"/>
            <w:tcBorders>
              <w:top w:val="single" w:sz="8" w:color="0000FF"/>
            </w:tcBorders>
          </w:tcPr>
          <w:p>
            <w:pPr>
              <w:spacing w:after="0"/>
              <w:rPr>
                <w:sz w:val="24"/>
                <w:szCs w:val="24"/>
                <w:color w:val="auto"/>
              </w:rPr>
            </w:pPr>
          </w:p>
        </w:tc>
        <w:tc>
          <w:tcPr>
            <w:tcW w:w="160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920" w:type="dxa"/>
            <w:vAlign w:val="bottom"/>
          </w:tcPr>
          <w:p>
            <w:pPr>
              <w:ind w:left="20"/>
              <w:spacing w:after="0"/>
              <w:rPr>
                <w:sz w:val="20"/>
                <w:szCs w:val="20"/>
                <w:color w:val="auto"/>
              </w:rPr>
            </w:pPr>
            <w:r>
              <w:rPr>
                <w:rFonts w:ascii="Arial" w:cs="Arial" w:eastAsia="Arial" w:hAnsi="Arial"/>
                <w:sz w:val="18"/>
                <w:szCs w:val="18"/>
                <w:color w:val="auto"/>
              </w:rPr>
              <w:t>4.4</w:t>
            </w:r>
          </w:p>
        </w:tc>
        <w:tc>
          <w:tcPr>
            <w:tcW w:w="9840" w:type="dxa"/>
            <w:vAlign w:val="bottom"/>
            <w:tcBorders>
              <w:bottom w:val="single" w:sz="8" w:color="0000FF"/>
            </w:tcBorders>
            <w:gridSpan w:val="39"/>
          </w:tcPr>
          <w:p>
            <w:pPr>
              <w:spacing w:after="0"/>
              <w:rPr>
                <w:rFonts w:ascii="Arial" w:cs="Arial" w:eastAsia="Arial" w:hAnsi="Arial"/>
                <w:sz w:val="18"/>
                <w:szCs w:val="18"/>
                <w:color w:val="0000FF"/>
                <w:w w:val="91"/>
              </w:rPr>
            </w:pPr>
            <w:hyperlink r:id="rId305">
              <w:r>
                <w:rPr>
                  <w:rFonts w:ascii="Arial" w:cs="Arial" w:eastAsia="Arial" w:hAnsi="Arial"/>
                  <w:sz w:val="18"/>
                  <w:szCs w:val="18"/>
                  <w:color w:val="0000FF"/>
                  <w:w w:val="91"/>
                </w:rPr>
                <w:t>Registration Rights Agreement, dated March 27, 2022, by and among the Company and Draper Triangle Ventures III, LP, in its capacity</w:t>
              </w:r>
            </w:hyperlink>
          </w:p>
        </w:tc>
        <w:tc>
          <w:tcPr>
            <w:tcW w:w="48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920" w:type="dxa"/>
            <w:vAlign w:val="bottom"/>
            <w:tcBorders>
              <w:bottom w:val="single" w:sz="8" w:color="0000FF"/>
            </w:tcBorders>
            <w:gridSpan w:val="43"/>
          </w:tcPr>
          <w:p>
            <w:pPr>
              <w:spacing w:after="0" w:line="196" w:lineRule="exact"/>
              <w:rPr>
                <w:rFonts w:ascii="Arial" w:cs="Arial" w:eastAsia="Arial" w:hAnsi="Arial"/>
                <w:sz w:val="18"/>
                <w:szCs w:val="18"/>
                <w:color w:val="0000FF"/>
                <w:w w:val="91"/>
              </w:rPr>
            </w:pPr>
            <w:hyperlink r:id="rId305">
              <w:r>
                <w:rPr>
                  <w:rFonts w:ascii="Arial" w:cs="Arial" w:eastAsia="Arial" w:hAnsi="Arial"/>
                  <w:sz w:val="18"/>
                  <w:szCs w:val="18"/>
                  <w:color w:val="0000FF"/>
                  <w:w w:val="91"/>
                </w:rPr>
                <w:t>as the agent for and on behalf of the shareholders of RE2 (incorporated by reference to the Company’s Current Report on Form 8-K filed</w:t>
              </w:r>
            </w:hyperlink>
          </w:p>
        </w:tc>
        <w:tc>
          <w:tcPr>
            <w:tcW w:w="40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48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305">
              <w:r>
                <w:rPr>
                  <w:rFonts w:ascii="Arial" w:cs="Arial" w:eastAsia="Arial" w:hAnsi="Arial"/>
                  <w:sz w:val="18"/>
                  <w:szCs w:val="18"/>
                  <w:color w:val="0000FF"/>
                  <w:w w:val="90"/>
                </w:rPr>
                <w:t>on March 29, 2022).</w:t>
              </w:r>
            </w:hyperlink>
          </w:p>
        </w:tc>
        <w:tc>
          <w:tcPr>
            <w:tcW w:w="20" w:type="dxa"/>
            <w:vAlign w:val="bottom"/>
            <w:tcBorders>
              <w:bottom w:val="single" w:sz="8" w:color="0000EE"/>
            </w:tcBorders>
          </w:tcPr>
          <w:p>
            <w:pPr>
              <w:spacing w:after="0"/>
              <w:rPr>
                <w:sz w:val="17"/>
                <w:szCs w:val="17"/>
                <w:color w:val="auto"/>
              </w:rPr>
            </w:pPr>
          </w:p>
        </w:tc>
        <w:tc>
          <w:tcPr>
            <w:tcW w:w="8820" w:type="dxa"/>
            <w:vAlign w:val="bottom"/>
            <w:gridSpan w:val="37"/>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4.5*</w:t>
            </w:r>
          </w:p>
        </w:tc>
        <w:tc>
          <w:tcPr>
            <w:tcW w:w="10320" w:type="dxa"/>
            <w:vAlign w:val="bottom"/>
            <w:gridSpan w:val="45"/>
          </w:tcPr>
          <w:p>
            <w:pPr>
              <w:spacing w:after="0" w:line="196" w:lineRule="exact"/>
              <w:rPr>
                <w:sz w:val="20"/>
                <w:szCs w:val="20"/>
                <w:color w:val="auto"/>
              </w:rPr>
            </w:pPr>
            <w:r>
              <w:rPr>
                <w:rFonts w:ascii="Arial" w:cs="Arial" w:eastAsia="Arial" w:hAnsi="Arial"/>
                <w:sz w:val="18"/>
                <w:szCs w:val="18"/>
                <w:color w:val="0000FF"/>
              </w:rPr>
              <w:t>Description of Company’s Securities.</w:t>
            </w:r>
          </w:p>
        </w:tc>
      </w:tr>
      <w:tr>
        <w:trPr>
          <w:trHeight w:val="20"/>
        </w:trPr>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9880" w:type="dxa"/>
            <w:vAlign w:val="bottom"/>
            <w:tcBorders>
              <w:bottom w:val="single" w:sz="8" w:color="0000FF"/>
            </w:tcBorders>
            <w:gridSpan w:val="41"/>
          </w:tcPr>
          <w:p>
            <w:pPr>
              <w:spacing w:after="0" w:line="196" w:lineRule="exact"/>
              <w:rPr>
                <w:rFonts w:ascii="Arial" w:cs="Arial" w:eastAsia="Arial" w:hAnsi="Arial"/>
                <w:sz w:val="18"/>
                <w:szCs w:val="18"/>
                <w:color w:val="0000FF"/>
                <w:w w:val="92"/>
              </w:rPr>
            </w:pPr>
            <w:hyperlink r:id="rId306">
              <w:r>
                <w:rPr>
                  <w:rFonts w:ascii="Arial" w:cs="Arial" w:eastAsia="Arial" w:hAnsi="Arial"/>
                  <w:sz w:val="18"/>
                  <w:szCs w:val="18"/>
                  <w:color w:val="0000FF"/>
                  <w:w w:val="92"/>
                </w:rPr>
                <w:t>Letter Agreement between Rotor, Rotor Sponsor LLC, and Riverview LLC (incorporated by reference to the Company’s Form 8-K filed</w:t>
              </w:r>
            </w:hyperlink>
          </w:p>
        </w:tc>
        <w:tc>
          <w:tcPr>
            <w:tcW w:w="44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45"/>
          </w:tcPr>
          <w:p>
            <w:pPr>
              <w:spacing w:after="0" w:line="196" w:lineRule="exact"/>
              <w:rPr>
                <w:rFonts w:ascii="Arial" w:cs="Arial" w:eastAsia="Arial" w:hAnsi="Arial"/>
                <w:sz w:val="18"/>
                <w:szCs w:val="18"/>
                <w:color w:val="0000FF"/>
              </w:rPr>
            </w:pPr>
            <w:hyperlink r:id="rId306">
              <w:r>
                <w:rPr>
                  <w:rFonts w:ascii="Arial" w:cs="Arial" w:eastAsia="Arial" w:hAnsi="Arial"/>
                  <w:sz w:val="18"/>
                  <w:szCs w:val="18"/>
                  <w:color w:val="0000FF"/>
                </w:rPr>
                <w:t>January 20, 2021).</w:t>
              </w:r>
            </w:hyperlink>
          </w:p>
        </w:tc>
      </w:tr>
      <w:tr>
        <w:trPr>
          <w:trHeight w:val="20"/>
        </w:trPr>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10.2</w:t>
            </w:r>
          </w:p>
        </w:tc>
        <w:tc>
          <w:tcPr>
            <w:tcW w:w="920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307">
              <w:r>
                <w:rPr>
                  <w:rFonts w:ascii="Arial" w:cs="Arial" w:eastAsia="Arial" w:hAnsi="Arial"/>
                  <w:sz w:val="18"/>
                  <w:szCs w:val="18"/>
                  <w:color w:val="0000FF"/>
                  <w:w w:val="91"/>
                </w:rPr>
                <w:t>Form of Letter Agreement between the Company, Rotor Sponsor LLC and Black Rock Funds (incorporated by reference to the</w:t>
              </w:r>
            </w:hyperlink>
          </w:p>
        </w:tc>
        <w:tc>
          <w:tcPr>
            <w:tcW w:w="1120" w:type="dxa"/>
            <w:vAlign w:val="bottom"/>
            <w:gridSpan w:val="1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45"/>
          </w:tcPr>
          <w:p>
            <w:pPr>
              <w:spacing w:after="0" w:line="196" w:lineRule="exact"/>
              <w:rPr>
                <w:rFonts w:ascii="Arial" w:cs="Arial" w:eastAsia="Arial" w:hAnsi="Arial"/>
                <w:sz w:val="18"/>
                <w:szCs w:val="18"/>
                <w:color w:val="0000FF"/>
              </w:rPr>
            </w:pPr>
            <w:hyperlink r:id="rId307">
              <w:r>
                <w:rPr>
                  <w:rFonts w:ascii="Arial" w:cs="Arial" w:eastAsia="Arial" w:hAnsi="Arial"/>
                  <w:sz w:val="18"/>
                  <w:szCs w:val="18"/>
                  <w:color w:val="0000FF"/>
                </w:rPr>
                <w:t>Company’s Form 8-K filed on January 20, 2021).</w:t>
              </w:r>
            </w:hyperlink>
          </w:p>
        </w:tc>
      </w:tr>
      <w:tr>
        <w:trPr>
          <w:trHeight w:val="20"/>
        </w:trPr>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56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10.3</w:t>
            </w:r>
          </w:p>
        </w:tc>
        <w:tc>
          <w:tcPr>
            <w:tcW w:w="10320" w:type="dxa"/>
            <w:vAlign w:val="bottom"/>
            <w:gridSpan w:val="45"/>
          </w:tcPr>
          <w:p>
            <w:pPr>
              <w:spacing w:after="0" w:line="196" w:lineRule="exact"/>
              <w:rPr>
                <w:rFonts w:ascii="Arial" w:cs="Arial" w:eastAsia="Arial" w:hAnsi="Arial"/>
                <w:sz w:val="18"/>
                <w:szCs w:val="18"/>
                <w:color w:val="0000FF"/>
                <w:w w:val="96"/>
              </w:rPr>
            </w:pPr>
            <w:hyperlink r:id="rId308">
              <w:r>
                <w:rPr>
                  <w:rFonts w:ascii="Arial" w:cs="Arial" w:eastAsia="Arial" w:hAnsi="Arial"/>
                  <w:sz w:val="18"/>
                  <w:szCs w:val="18"/>
                  <w:color w:val="0000FF"/>
                  <w:w w:val="96"/>
                </w:rPr>
                <w:t>Form of Subscription Agreement (incorporated by reference to the Company’s Current Report on Form 8-K filed with the SEC on April</w:t>
              </w:r>
            </w:hyperlink>
          </w:p>
        </w:tc>
      </w:tr>
      <w:tr>
        <w:trPr>
          <w:trHeight w:val="196"/>
        </w:trPr>
        <w:tc>
          <w:tcPr>
            <w:tcW w:w="920" w:type="dxa"/>
            <w:vAlign w:val="bottom"/>
          </w:tcPr>
          <w:p>
            <w:pPr>
              <w:spacing w:after="0"/>
              <w:rPr>
                <w:sz w:val="17"/>
                <w:szCs w:val="17"/>
                <w:color w:val="auto"/>
              </w:rPr>
            </w:pPr>
          </w:p>
        </w:tc>
        <w:tc>
          <w:tcPr>
            <w:tcW w:w="660" w:type="dxa"/>
            <w:vAlign w:val="bottom"/>
            <w:tcBorders>
              <w:top w:val="single" w:sz="8" w:color="0000FF"/>
            </w:tcBorders>
            <w:gridSpan w:val="3"/>
          </w:tcPr>
          <w:p>
            <w:pPr>
              <w:spacing w:after="0" w:line="196" w:lineRule="exact"/>
              <w:rPr>
                <w:rFonts w:ascii="Arial" w:cs="Arial" w:eastAsia="Arial" w:hAnsi="Arial"/>
                <w:sz w:val="18"/>
                <w:szCs w:val="18"/>
                <w:color w:val="0000FF"/>
                <w:w w:val="87"/>
              </w:rPr>
            </w:pPr>
            <w:hyperlink r:id="rId308">
              <w:r>
                <w:rPr>
                  <w:rFonts w:ascii="Arial" w:cs="Arial" w:eastAsia="Arial" w:hAnsi="Arial"/>
                  <w:sz w:val="18"/>
                  <w:szCs w:val="18"/>
                  <w:color w:val="0000FF"/>
                  <w:w w:val="87"/>
                </w:rPr>
                <w:t>6, 2021).</w:t>
              </w:r>
            </w:hyperlink>
          </w:p>
        </w:tc>
        <w:tc>
          <w:tcPr>
            <w:tcW w:w="6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10.4</w:t>
            </w:r>
          </w:p>
        </w:tc>
        <w:tc>
          <w:tcPr>
            <w:tcW w:w="956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309">
              <w:r>
                <w:rPr>
                  <w:rFonts w:ascii="Arial" w:cs="Arial" w:eastAsia="Arial" w:hAnsi="Arial"/>
                  <w:sz w:val="18"/>
                  <w:szCs w:val="18"/>
                  <w:color w:val="0000FF"/>
                  <w:w w:val="90"/>
                </w:rPr>
                <w:t>Form of Lock-up Agreement, by and among the Company, Sarcos, and Sarcos Holders (incorporated by reference to the Company’s</w:t>
              </w:r>
            </w:hyperlink>
          </w:p>
        </w:tc>
        <w:tc>
          <w:tcPr>
            <w:tcW w:w="760" w:type="dxa"/>
            <w:vAlign w:val="bottom"/>
            <w:gridSpan w:val="1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800" w:type="dxa"/>
            <w:vAlign w:val="bottom"/>
            <w:tcBorders>
              <w:bottom w:val="single" w:sz="8" w:color="0000FF"/>
            </w:tcBorders>
            <w:gridSpan w:val="14"/>
          </w:tcPr>
          <w:p>
            <w:pPr>
              <w:spacing w:after="0" w:line="196" w:lineRule="exact"/>
              <w:rPr>
                <w:rFonts w:ascii="Arial" w:cs="Arial" w:eastAsia="Arial" w:hAnsi="Arial"/>
                <w:sz w:val="18"/>
                <w:szCs w:val="18"/>
                <w:color w:val="0000FF"/>
                <w:w w:val="93"/>
              </w:rPr>
            </w:pPr>
            <w:hyperlink r:id="rId309">
              <w:r>
                <w:rPr>
                  <w:rFonts w:ascii="Arial" w:cs="Arial" w:eastAsia="Arial" w:hAnsi="Arial"/>
                  <w:sz w:val="18"/>
                  <w:szCs w:val="18"/>
                  <w:color w:val="0000FF"/>
                  <w:w w:val="93"/>
                </w:rPr>
                <w:t>Current Report on Form 8-K filed with the SEC on April 6, 2021).</w:t>
              </w:r>
            </w:hyperlink>
          </w:p>
        </w:tc>
        <w:tc>
          <w:tcPr>
            <w:tcW w:w="20" w:type="dxa"/>
            <w:vAlign w:val="bottom"/>
            <w:tcBorders>
              <w:bottom w:val="single" w:sz="8" w:color="0000EE"/>
            </w:tcBorders>
          </w:tcPr>
          <w:p>
            <w:pPr>
              <w:spacing w:after="0"/>
              <w:rPr>
                <w:sz w:val="17"/>
                <w:szCs w:val="17"/>
                <w:color w:val="auto"/>
              </w:rPr>
            </w:pPr>
          </w:p>
        </w:tc>
        <w:tc>
          <w:tcPr>
            <w:tcW w:w="5500" w:type="dxa"/>
            <w:vAlign w:val="bottom"/>
            <w:gridSpan w:val="30"/>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10.5</w:t>
            </w:r>
          </w:p>
        </w:tc>
        <w:tc>
          <w:tcPr>
            <w:tcW w:w="9780" w:type="dxa"/>
            <w:vAlign w:val="bottom"/>
            <w:tcBorders>
              <w:bottom w:val="single" w:sz="8" w:color="0000FF"/>
            </w:tcBorders>
            <w:gridSpan w:val="37"/>
          </w:tcPr>
          <w:p>
            <w:pPr>
              <w:spacing w:after="0" w:line="196" w:lineRule="exact"/>
              <w:rPr>
                <w:rFonts w:ascii="Arial" w:cs="Arial" w:eastAsia="Arial" w:hAnsi="Arial"/>
                <w:sz w:val="18"/>
                <w:szCs w:val="18"/>
                <w:color w:val="0000FF"/>
                <w:w w:val="90"/>
              </w:rPr>
            </w:pPr>
            <w:hyperlink r:id="rId310">
              <w:r>
                <w:rPr>
                  <w:rFonts w:ascii="Arial" w:cs="Arial" w:eastAsia="Arial" w:hAnsi="Arial"/>
                  <w:sz w:val="18"/>
                  <w:szCs w:val="18"/>
                  <w:color w:val="0000FF"/>
                  <w:w w:val="90"/>
                </w:rPr>
                <w:t>Form of Lock-up Agreement, by and among the Company, Sarcos, and certain stockholders of Sarcos (incorporated by reference to the</w:t>
              </w:r>
            </w:hyperlink>
          </w:p>
        </w:tc>
        <w:tc>
          <w:tcPr>
            <w:tcW w:w="54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660" w:type="dxa"/>
            <w:vAlign w:val="bottom"/>
            <w:tcBorders>
              <w:bottom w:val="single" w:sz="8" w:color="0000FF"/>
            </w:tcBorders>
            <w:gridSpan w:val="21"/>
          </w:tcPr>
          <w:p>
            <w:pPr>
              <w:spacing w:after="0" w:line="196" w:lineRule="exact"/>
              <w:rPr>
                <w:rFonts w:ascii="Arial" w:cs="Arial" w:eastAsia="Arial" w:hAnsi="Arial"/>
                <w:sz w:val="18"/>
                <w:szCs w:val="18"/>
                <w:color w:val="0000FF"/>
                <w:w w:val="92"/>
              </w:rPr>
            </w:pPr>
            <w:hyperlink r:id="rId310">
              <w:r>
                <w:rPr>
                  <w:rFonts w:ascii="Arial" w:cs="Arial" w:eastAsia="Arial" w:hAnsi="Arial"/>
                  <w:sz w:val="18"/>
                  <w:szCs w:val="18"/>
                  <w:color w:val="0000FF"/>
                  <w:w w:val="92"/>
                </w:rPr>
                <w:t>Company’s Current Report on Form 8-K filed with the SEC on April 6, 2021).</w:t>
              </w:r>
            </w:hyperlink>
          </w:p>
        </w:tc>
        <w:tc>
          <w:tcPr>
            <w:tcW w:w="4660" w:type="dxa"/>
            <w:vAlign w:val="bottom"/>
            <w:gridSpan w:val="24"/>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10.6</w:t>
            </w:r>
          </w:p>
        </w:tc>
        <w:tc>
          <w:tcPr>
            <w:tcW w:w="9960" w:type="dxa"/>
            <w:vAlign w:val="bottom"/>
            <w:tcBorders>
              <w:bottom w:val="single" w:sz="8" w:color="0000FF"/>
            </w:tcBorders>
            <w:gridSpan w:val="44"/>
          </w:tcPr>
          <w:p>
            <w:pPr>
              <w:spacing w:after="0" w:line="196" w:lineRule="exact"/>
              <w:rPr>
                <w:rFonts w:ascii="Arial" w:cs="Arial" w:eastAsia="Arial" w:hAnsi="Arial"/>
                <w:sz w:val="18"/>
                <w:szCs w:val="18"/>
                <w:color w:val="0000FF"/>
                <w:w w:val="91"/>
              </w:rPr>
            </w:pPr>
            <w:hyperlink r:id="rId311">
              <w:r>
                <w:rPr>
                  <w:rFonts w:ascii="Arial" w:cs="Arial" w:eastAsia="Arial" w:hAnsi="Arial"/>
                  <w:sz w:val="18"/>
                  <w:szCs w:val="18"/>
                  <w:color w:val="0000FF"/>
                  <w:w w:val="91"/>
                </w:rPr>
                <w:t>Form of Lock-up Agreement with RE2 employee securityholders (incorporated by reference to the Company’s Current Report on Form 8-</w:t>
              </w:r>
            </w:hyperlink>
          </w:p>
        </w:tc>
        <w:tc>
          <w:tcPr>
            <w:tcW w:w="3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45"/>
          </w:tcPr>
          <w:p>
            <w:pPr>
              <w:spacing w:after="0" w:line="196" w:lineRule="exact"/>
              <w:rPr>
                <w:rFonts w:ascii="Arial" w:cs="Arial" w:eastAsia="Arial" w:hAnsi="Arial"/>
                <w:sz w:val="18"/>
                <w:szCs w:val="18"/>
                <w:color w:val="0000FF"/>
              </w:rPr>
            </w:pPr>
            <w:hyperlink r:id="rId311">
              <w:r>
                <w:rPr>
                  <w:rFonts w:ascii="Arial" w:cs="Arial" w:eastAsia="Arial" w:hAnsi="Arial"/>
                  <w:sz w:val="18"/>
                  <w:szCs w:val="18"/>
                  <w:color w:val="0000FF"/>
                </w:rPr>
                <w:t>K filed on March 29, 2022).</w:t>
              </w:r>
            </w:hyperlink>
          </w:p>
        </w:tc>
      </w:tr>
      <w:tr>
        <w:trPr>
          <w:trHeight w:val="20"/>
        </w:trPr>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10.7</w:t>
            </w:r>
          </w:p>
        </w:tc>
        <w:tc>
          <w:tcPr>
            <w:tcW w:w="10320" w:type="dxa"/>
            <w:vAlign w:val="bottom"/>
            <w:gridSpan w:val="45"/>
          </w:tcPr>
          <w:p>
            <w:pPr>
              <w:spacing w:after="0" w:line="196" w:lineRule="exact"/>
              <w:rPr>
                <w:rFonts w:ascii="Arial" w:cs="Arial" w:eastAsia="Arial" w:hAnsi="Arial"/>
                <w:sz w:val="18"/>
                <w:szCs w:val="18"/>
                <w:color w:val="0000FF"/>
                <w:w w:val="99"/>
              </w:rPr>
            </w:pPr>
            <w:hyperlink r:id="rId312">
              <w:r>
                <w:rPr>
                  <w:rFonts w:ascii="Arial" w:cs="Arial" w:eastAsia="Arial" w:hAnsi="Arial"/>
                  <w:sz w:val="18"/>
                  <w:szCs w:val="18"/>
                  <w:color w:val="0000FF"/>
                  <w:w w:val="99"/>
                </w:rPr>
                <w:t>Form of Waiver Agreement (incorporated by reference to the Company’s Current Report on Form 8-K filed with the SEC on April 6,</w:t>
              </w:r>
            </w:hyperlink>
          </w:p>
        </w:tc>
      </w:tr>
      <w:tr>
        <w:trPr>
          <w:trHeight w:val="196"/>
        </w:trPr>
        <w:tc>
          <w:tcPr>
            <w:tcW w:w="92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312">
              <w:r>
                <w:rPr>
                  <w:rFonts w:ascii="Arial" w:cs="Arial" w:eastAsia="Arial" w:hAnsi="Arial"/>
                  <w:sz w:val="18"/>
                  <w:szCs w:val="18"/>
                  <w:color w:val="0000FF"/>
                  <w:w w:val="90"/>
                </w:rPr>
                <w:t>2021).</w:t>
              </w:r>
            </w:hyperlink>
          </w:p>
        </w:tc>
        <w:tc>
          <w:tcPr>
            <w:tcW w:w="20" w:type="dxa"/>
            <w:vAlign w:val="bottom"/>
            <w:tcBorders>
              <w:top w:val="single" w:sz="8" w:color="0000FF"/>
              <w:bottom w:val="single" w:sz="8" w:color="0000EE"/>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10.8</w:t>
            </w:r>
          </w:p>
        </w:tc>
        <w:tc>
          <w:tcPr>
            <w:tcW w:w="910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313">
              <w:r>
                <w:rPr>
                  <w:rFonts w:ascii="Arial" w:cs="Arial" w:eastAsia="Arial" w:hAnsi="Arial"/>
                  <w:sz w:val="18"/>
                  <w:szCs w:val="18"/>
                  <w:color w:val="0000FF"/>
                  <w:w w:val="90"/>
                </w:rPr>
                <w:t>Form of Registration Rights Agreement, by and among the Company, Rotor Sponsor LLC, and certain stockholders of Sarcos</w:t>
              </w:r>
            </w:hyperlink>
          </w:p>
        </w:tc>
        <w:tc>
          <w:tcPr>
            <w:tcW w:w="1220" w:type="dxa"/>
            <w:vAlign w:val="bottom"/>
            <w:gridSpan w:val="19"/>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45"/>
          </w:tcPr>
          <w:p>
            <w:pPr>
              <w:spacing w:after="0" w:line="196" w:lineRule="exact"/>
              <w:rPr>
                <w:rFonts w:ascii="Arial" w:cs="Arial" w:eastAsia="Arial" w:hAnsi="Arial"/>
                <w:sz w:val="18"/>
                <w:szCs w:val="18"/>
                <w:color w:val="0000FF"/>
              </w:rPr>
            </w:pPr>
            <w:hyperlink r:id="rId313">
              <w:r>
                <w:rPr>
                  <w:rFonts w:ascii="Arial" w:cs="Arial" w:eastAsia="Arial" w:hAnsi="Arial"/>
                  <w:sz w:val="18"/>
                  <w:szCs w:val="18"/>
                  <w:color w:val="0000FF"/>
                </w:rPr>
                <w:t>(incorporated by reference to the Company’s Current Report on Form 8-K filed on April 6, 2021).</w:t>
              </w:r>
            </w:hyperlink>
          </w:p>
        </w:tc>
      </w:tr>
      <w:tr>
        <w:trPr>
          <w:trHeight w:val="20"/>
        </w:trPr>
        <w:tc>
          <w:tcPr>
            <w:tcW w:w="9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EE"/>
            </w:tcBorders>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10.9</w:t>
            </w:r>
          </w:p>
        </w:tc>
        <w:tc>
          <w:tcPr>
            <w:tcW w:w="9960" w:type="dxa"/>
            <w:vAlign w:val="bottom"/>
            <w:tcBorders>
              <w:bottom w:val="single" w:sz="8" w:color="0000FF"/>
            </w:tcBorders>
            <w:gridSpan w:val="44"/>
          </w:tcPr>
          <w:p>
            <w:pPr>
              <w:spacing w:after="0" w:line="196" w:lineRule="exact"/>
              <w:rPr>
                <w:rFonts w:ascii="Arial" w:cs="Arial" w:eastAsia="Arial" w:hAnsi="Arial"/>
                <w:sz w:val="18"/>
                <w:szCs w:val="18"/>
                <w:color w:val="0000FF"/>
                <w:w w:val="90"/>
              </w:rPr>
            </w:pPr>
            <w:hyperlink r:id="rId314">
              <w:r>
                <w:rPr>
                  <w:rFonts w:ascii="Arial" w:cs="Arial" w:eastAsia="Arial" w:hAnsi="Arial"/>
                  <w:sz w:val="18"/>
                  <w:szCs w:val="18"/>
                  <w:color w:val="0000FF"/>
                  <w:w w:val="90"/>
                </w:rPr>
                <w:t>Registration Rights Agreement, dated January 14, 2021, by and among the Company, Rotor Sponsor LLC, and certain stockholders of the</w:t>
              </w:r>
            </w:hyperlink>
          </w:p>
        </w:tc>
        <w:tc>
          <w:tcPr>
            <w:tcW w:w="3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08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314">
              <w:r>
                <w:rPr>
                  <w:rFonts w:ascii="Arial" w:cs="Arial" w:eastAsia="Arial" w:hAnsi="Arial"/>
                  <w:sz w:val="18"/>
                  <w:szCs w:val="18"/>
                  <w:color w:val="0000FF"/>
                  <w:w w:val="91"/>
                </w:rPr>
                <w:t>Company (incorporated by reference to the Company’s Current Report on Form 8-K filed on January 20, 2021).</w:t>
              </w:r>
            </w:hyperlink>
          </w:p>
        </w:tc>
        <w:tc>
          <w:tcPr>
            <w:tcW w:w="2240" w:type="dxa"/>
            <w:vAlign w:val="bottom"/>
            <w:gridSpan w:val="20"/>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10.10+</w:t>
            </w:r>
          </w:p>
        </w:tc>
        <w:tc>
          <w:tcPr>
            <w:tcW w:w="924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315">
              <w:r>
                <w:rPr>
                  <w:rFonts w:ascii="Arial" w:cs="Arial" w:eastAsia="Arial" w:hAnsi="Arial"/>
                  <w:sz w:val="18"/>
                  <w:szCs w:val="18"/>
                  <w:color w:val="0000FF"/>
                  <w:w w:val="90"/>
                </w:rPr>
                <w:t>Sarcos Technology and Robotics Corporation 2021 Equity Incentive Plan, forms of agreement (incorporated by reference to the</w:t>
              </w:r>
            </w:hyperlink>
          </w:p>
        </w:tc>
        <w:tc>
          <w:tcPr>
            <w:tcW w:w="1080" w:type="dxa"/>
            <w:vAlign w:val="bottom"/>
            <w:gridSpan w:val="1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1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315">
              <w:r>
                <w:rPr>
                  <w:rFonts w:ascii="Arial" w:cs="Arial" w:eastAsia="Arial" w:hAnsi="Arial"/>
                  <w:sz w:val="18"/>
                  <w:szCs w:val="18"/>
                  <w:color w:val="0000FF"/>
                  <w:w w:val="91"/>
                </w:rPr>
                <w:t>Company’s Current Report on Form 8-K filed on September 30, 2021).</w:t>
              </w:r>
            </w:hyperlink>
          </w:p>
        </w:tc>
        <w:tc>
          <w:tcPr>
            <w:tcW w:w="5180" w:type="dxa"/>
            <w:vAlign w:val="bottom"/>
            <w:gridSpan w:val="28"/>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10.11+</w:t>
            </w:r>
          </w:p>
        </w:tc>
        <w:tc>
          <w:tcPr>
            <w:tcW w:w="9900" w:type="dxa"/>
            <w:vAlign w:val="bottom"/>
            <w:tcBorders>
              <w:bottom w:val="single" w:sz="8" w:color="0000FF"/>
            </w:tcBorders>
            <w:gridSpan w:val="42"/>
          </w:tcPr>
          <w:p>
            <w:pPr>
              <w:spacing w:after="0" w:line="196" w:lineRule="exact"/>
              <w:rPr>
                <w:rFonts w:ascii="Arial" w:cs="Arial" w:eastAsia="Arial" w:hAnsi="Arial"/>
                <w:sz w:val="18"/>
                <w:szCs w:val="18"/>
                <w:color w:val="0000FF"/>
                <w:w w:val="90"/>
              </w:rPr>
            </w:pPr>
            <w:hyperlink r:id="rId316">
              <w:r>
                <w:rPr>
                  <w:rFonts w:ascii="Arial" w:cs="Arial" w:eastAsia="Arial" w:hAnsi="Arial"/>
                  <w:sz w:val="18"/>
                  <w:szCs w:val="18"/>
                  <w:color w:val="0000FF"/>
                  <w:w w:val="90"/>
                </w:rPr>
                <w:t>Sarcos Technology and Robotics Corporation 2021 Employee Stock Purchase Plan (incorporated by reference to the Company’s Current</w:t>
              </w:r>
            </w:hyperlink>
          </w:p>
        </w:tc>
        <w:tc>
          <w:tcPr>
            <w:tcW w:w="42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316">
              <w:r>
                <w:rPr>
                  <w:rFonts w:ascii="Arial" w:cs="Arial" w:eastAsia="Arial" w:hAnsi="Arial"/>
                  <w:sz w:val="18"/>
                  <w:szCs w:val="18"/>
                  <w:color w:val="0000FF"/>
                  <w:w w:val="91"/>
                </w:rPr>
                <w:t>Report on Form 8-K filed on September 30, 2021).</w:t>
              </w:r>
            </w:hyperlink>
          </w:p>
        </w:tc>
        <w:tc>
          <w:tcPr>
            <w:tcW w:w="20" w:type="dxa"/>
            <w:vAlign w:val="bottom"/>
            <w:tcBorders>
              <w:bottom w:val="single" w:sz="8" w:color="0000EE"/>
            </w:tcBorders>
          </w:tcPr>
          <w:p>
            <w:pPr>
              <w:spacing w:after="0"/>
              <w:rPr>
                <w:sz w:val="17"/>
                <w:szCs w:val="17"/>
                <w:color w:val="auto"/>
              </w:rPr>
            </w:pPr>
          </w:p>
        </w:tc>
        <w:tc>
          <w:tcPr>
            <w:tcW w:w="6620" w:type="dxa"/>
            <w:vAlign w:val="bottom"/>
            <w:gridSpan w:val="32"/>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10.12+</w:t>
            </w:r>
          </w:p>
        </w:tc>
        <w:tc>
          <w:tcPr>
            <w:tcW w:w="944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317">
              <w:r>
                <w:rPr>
                  <w:rFonts w:ascii="Arial" w:cs="Arial" w:eastAsia="Arial" w:hAnsi="Arial"/>
                  <w:sz w:val="18"/>
                  <w:szCs w:val="18"/>
                  <w:color w:val="0000FF"/>
                  <w:w w:val="91"/>
                </w:rPr>
                <w:t>Sarcos Technology and Robotics Corporation Outside Director Compensation Policy (incorporated by reference to the Company’s</w:t>
              </w:r>
            </w:hyperlink>
          </w:p>
        </w:tc>
        <w:tc>
          <w:tcPr>
            <w:tcW w:w="880" w:type="dxa"/>
            <w:vAlign w:val="bottom"/>
            <w:gridSpan w:val="1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45"/>
          </w:tcPr>
          <w:p>
            <w:pPr>
              <w:spacing w:after="0" w:line="196" w:lineRule="exact"/>
              <w:rPr>
                <w:rFonts w:ascii="Arial" w:cs="Arial" w:eastAsia="Arial" w:hAnsi="Arial"/>
                <w:sz w:val="18"/>
                <w:szCs w:val="18"/>
                <w:color w:val="0000FF"/>
              </w:rPr>
            </w:pPr>
            <w:hyperlink r:id="rId317">
              <w:r>
                <w:rPr>
                  <w:rFonts w:ascii="Arial" w:cs="Arial" w:eastAsia="Arial" w:hAnsi="Arial"/>
                  <w:sz w:val="18"/>
                  <w:szCs w:val="18"/>
                  <w:color w:val="0000FF"/>
                </w:rPr>
                <w:t>registration statement on Form S-1 filed with the SEC on October 15, 2021).</w:t>
              </w:r>
            </w:hyperlink>
          </w:p>
        </w:tc>
      </w:tr>
      <w:tr>
        <w:trPr>
          <w:trHeight w:val="20"/>
        </w:trPr>
        <w:tc>
          <w:tcPr>
            <w:tcW w:w="9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580" w:type="dxa"/>
            <w:vAlign w:val="bottom"/>
            <w:tcBorders>
              <w:right w:val="single" w:sz="8" w:color="0000FF"/>
            </w:tcBorders>
            <w:gridSpan w:val="10"/>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10.13+</w:t>
            </w:r>
          </w:p>
        </w:tc>
        <w:tc>
          <w:tcPr>
            <w:tcW w:w="944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318">
              <w:r>
                <w:rPr>
                  <w:rFonts w:ascii="Arial" w:cs="Arial" w:eastAsia="Arial" w:hAnsi="Arial"/>
                  <w:sz w:val="18"/>
                  <w:szCs w:val="18"/>
                  <w:color w:val="0000FF"/>
                  <w:w w:val="91"/>
                </w:rPr>
                <w:t>Employment Agreement by and between the Company and Kristi Martindale, effective as of September 24, 2021 (incorporated by</w:t>
              </w:r>
            </w:hyperlink>
          </w:p>
        </w:tc>
        <w:tc>
          <w:tcPr>
            <w:tcW w:w="880" w:type="dxa"/>
            <w:vAlign w:val="bottom"/>
            <w:gridSpan w:val="1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3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318">
              <w:r>
                <w:rPr>
                  <w:rFonts w:ascii="Arial" w:cs="Arial" w:eastAsia="Arial" w:hAnsi="Arial"/>
                  <w:sz w:val="18"/>
                  <w:szCs w:val="18"/>
                  <w:color w:val="0000FF"/>
                  <w:w w:val="90"/>
                </w:rPr>
                <w:t>reference to the Company’s Current Report on Form 8-K filed on September 30, 2021).</w:t>
              </w:r>
            </w:hyperlink>
          </w:p>
        </w:tc>
        <w:tc>
          <w:tcPr>
            <w:tcW w:w="20" w:type="dxa"/>
            <w:vAlign w:val="bottom"/>
            <w:tcBorders>
              <w:bottom w:val="single" w:sz="8" w:color="0000EE"/>
            </w:tcBorders>
          </w:tcPr>
          <w:p>
            <w:pPr>
              <w:spacing w:after="0"/>
              <w:rPr>
                <w:sz w:val="17"/>
                <w:szCs w:val="17"/>
                <w:color w:val="auto"/>
              </w:rPr>
            </w:pPr>
          </w:p>
        </w:tc>
        <w:tc>
          <w:tcPr>
            <w:tcW w:w="4000" w:type="dxa"/>
            <w:vAlign w:val="bottom"/>
            <w:gridSpan w:val="22"/>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10.14+</w:t>
            </w:r>
          </w:p>
        </w:tc>
        <w:tc>
          <w:tcPr>
            <w:tcW w:w="9860" w:type="dxa"/>
            <w:vAlign w:val="bottom"/>
            <w:tcBorders>
              <w:bottom w:val="single" w:sz="8" w:color="0000FF"/>
            </w:tcBorders>
            <w:gridSpan w:val="40"/>
          </w:tcPr>
          <w:p>
            <w:pPr>
              <w:spacing w:after="0" w:line="196" w:lineRule="exact"/>
              <w:rPr>
                <w:rFonts w:ascii="Arial" w:cs="Arial" w:eastAsia="Arial" w:hAnsi="Arial"/>
                <w:sz w:val="18"/>
                <w:szCs w:val="18"/>
                <w:color w:val="0000FF"/>
                <w:w w:val="91"/>
              </w:rPr>
            </w:pPr>
            <w:hyperlink r:id="rId319">
              <w:r>
                <w:rPr>
                  <w:rFonts w:ascii="Arial" w:cs="Arial" w:eastAsia="Arial" w:hAnsi="Arial"/>
                  <w:sz w:val="18"/>
                  <w:szCs w:val="18"/>
                  <w:color w:val="0000FF"/>
                  <w:w w:val="91"/>
                </w:rPr>
                <w:t>Employment Agreement by and between the Company and Kiva Allgood, effective as of December 13, 2021 (incorporated by reference</w:t>
              </w:r>
            </w:hyperlink>
          </w:p>
        </w:tc>
        <w:tc>
          <w:tcPr>
            <w:tcW w:w="46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45"/>
          </w:tcPr>
          <w:p>
            <w:pPr>
              <w:spacing w:after="0" w:line="196" w:lineRule="exact"/>
              <w:rPr>
                <w:rFonts w:ascii="Arial" w:cs="Arial" w:eastAsia="Arial" w:hAnsi="Arial"/>
                <w:sz w:val="18"/>
                <w:szCs w:val="18"/>
                <w:color w:val="0000FF"/>
              </w:rPr>
            </w:pPr>
            <w:hyperlink r:id="rId319">
              <w:r>
                <w:rPr>
                  <w:rFonts w:ascii="Arial" w:cs="Arial" w:eastAsia="Arial" w:hAnsi="Arial"/>
                  <w:sz w:val="18"/>
                  <w:szCs w:val="18"/>
                  <w:color w:val="0000FF"/>
                </w:rPr>
                <w:t>to the Company’s Current Report on Form 8-K filed on December 9, 2021).</w:t>
              </w:r>
            </w:hyperlink>
          </w:p>
        </w:tc>
      </w:tr>
      <w:tr>
        <w:trPr>
          <w:trHeight w:val="20"/>
        </w:trPr>
        <w:tc>
          <w:tcPr>
            <w:tcW w:w="9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580" w:type="dxa"/>
            <w:vAlign w:val="bottom"/>
            <w:tcBorders>
              <w:right w:val="single" w:sz="8" w:color="0000FF"/>
            </w:tcBorders>
            <w:gridSpan w:val="10"/>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10.15+</w:t>
            </w:r>
          </w:p>
        </w:tc>
        <w:tc>
          <w:tcPr>
            <w:tcW w:w="9960" w:type="dxa"/>
            <w:vAlign w:val="bottom"/>
            <w:tcBorders>
              <w:bottom w:val="single" w:sz="8" w:color="0000FF"/>
            </w:tcBorders>
            <w:gridSpan w:val="44"/>
          </w:tcPr>
          <w:p>
            <w:pPr>
              <w:spacing w:after="0" w:line="196" w:lineRule="exact"/>
              <w:rPr>
                <w:rFonts w:ascii="Arial" w:cs="Arial" w:eastAsia="Arial" w:hAnsi="Arial"/>
                <w:sz w:val="18"/>
                <w:szCs w:val="18"/>
                <w:color w:val="0000FF"/>
                <w:w w:val="90"/>
              </w:rPr>
            </w:pPr>
            <w:hyperlink r:id="rId320">
              <w:r>
                <w:rPr>
                  <w:rFonts w:ascii="Arial" w:cs="Arial" w:eastAsia="Arial" w:hAnsi="Arial"/>
                  <w:sz w:val="18"/>
                  <w:szCs w:val="18"/>
                  <w:color w:val="0000FF"/>
                  <w:w w:val="90"/>
                </w:rPr>
                <w:t>Promotion Agreement, dated February 24, 2022, between Denis Garagic and the Company, effective as of January 29, 2022 (incorporated</w:t>
              </w:r>
            </w:hyperlink>
          </w:p>
        </w:tc>
        <w:tc>
          <w:tcPr>
            <w:tcW w:w="3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45"/>
          </w:tcPr>
          <w:p>
            <w:pPr>
              <w:spacing w:after="0" w:line="196" w:lineRule="exact"/>
              <w:rPr>
                <w:rFonts w:ascii="Arial" w:cs="Arial" w:eastAsia="Arial" w:hAnsi="Arial"/>
                <w:sz w:val="18"/>
                <w:szCs w:val="18"/>
                <w:color w:val="0000FF"/>
              </w:rPr>
            </w:pPr>
            <w:hyperlink r:id="rId320">
              <w:r>
                <w:rPr>
                  <w:rFonts w:ascii="Arial" w:cs="Arial" w:eastAsia="Arial" w:hAnsi="Arial"/>
                  <w:sz w:val="18"/>
                  <w:szCs w:val="18"/>
                  <w:color w:val="0000FF"/>
                </w:rPr>
                <w:t>by reference to the Company's Quarterly Report on Form 10-Q filed on May 11, 2022).</w:t>
              </w:r>
            </w:hyperlink>
          </w:p>
        </w:tc>
      </w:tr>
      <w:tr>
        <w:trPr>
          <w:trHeight w:val="20"/>
        </w:trPr>
        <w:tc>
          <w:tcPr>
            <w:tcW w:w="9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580" w:type="dxa"/>
            <w:vAlign w:val="bottom"/>
            <w:tcBorders>
              <w:right w:val="single" w:sz="8" w:color="0000FF"/>
            </w:tcBorders>
            <w:gridSpan w:val="10"/>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10.16+</w:t>
            </w:r>
          </w:p>
        </w:tc>
        <w:tc>
          <w:tcPr>
            <w:tcW w:w="9880" w:type="dxa"/>
            <w:vAlign w:val="bottom"/>
            <w:tcBorders>
              <w:bottom w:val="single" w:sz="8" w:color="0000FF"/>
            </w:tcBorders>
            <w:gridSpan w:val="41"/>
          </w:tcPr>
          <w:p>
            <w:pPr>
              <w:spacing w:after="0" w:line="196" w:lineRule="exact"/>
              <w:rPr>
                <w:rFonts w:ascii="Arial" w:cs="Arial" w:eastAsia="Arial" w:hAnsi="Arial"/>
                <w:sz w:val="18"/>
                <w:szCs w:val="18"/>
                <w:color w:val="0000FF"/>
                <w:w w:val="89"/>
              </w:rPr>
            </w:pPr>
            <w:hyperlink r:id="rId321">
              <w:r>
                <w:rPr>
                  <w:rFonts w:ascii="Arial" w:cs="Arial" w:eastAsia="Arial" w:hAnsi="Arial"/>
                  <w:sz w:val="18"/>
                  <w:szCs w:val="18"/>
                  <w:color w:val="0000FF"/>
                  <w:w w:val="89"/>
                </w:rPr>
                <w:t>Employment Agreement, dated March 27, 2022, between Jorgen Pedersen, Sarcos Corp. and the Company (incorporated by reference to</w:t>
              </w:r>
            </w:hyperlink>
          </w:p>
        </w:tc>
        <w:tc>
          <w:tcPr>
            <w:tcW w:w="44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45"/>
          </w:tcPr>
          <w:p>
            <w:pPr>
              <w:spacing w:after="0" w:line="196" w:lineRule="exact"/>
              <w:rPr>
                <w:rFonts w:ascii="Arial" w:cs="Arial" w:eastAsia="Arial" w:hAnsi="Arial"/>
                <w:sz w:val="18"/>
                <w:szCs w:val="18"/>
                <w:color w:val="0000FF"/>
              </w:rPr>
            </w:pPr>
            <w:hyperlink r:id="rId321">
              <w:r>
                <w:rPr>
                  <w:rFonts w:ascii="Arial" w:cs="Arial" w:eastAsia="Arial" w:hAnsi="Arial"/>
                  <w:sz w:val="18"/>
                  <w:szCs w:val="18"/>
                  <w:color w:val="0000FF"/>
                </w:rPr>
                <w:t>the Company’s Current Report on Form 8-K filed on April 27, 2022.)</w:t>
              </w:r>
            </w:hyperlink>
          </w:p>
        </w:tc>
      </w:tr>
      <w:tr>
        <w:trPr>
          <w:trHeight w:val="20"/>
        </w:trPr>
        <w:tc>
          <w:tcPr>
            <w:tcW w:w="9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580" w:type="dxa"/>
            <w:vAlign w:val="bottom"/>
            <w:tcBorders>
              <w:right w:val="single" w:sz="8" w:color="0000EE"/>
            </w:tcBorders>
            <w:gridSpan w:val="10"/>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10.17+</w:t>
            </w:r>
          </w:p>
        </w:tc>
        <w:tc>
          <w:tcPr>
            <w:tcW w:w="9660" w:type="dxa"/>
            <w:vAlign w:val="bottom"/>
            <w:tcBorders>
              <w:bottom w:val="single" w:sz="8" w:color="0000FF"/>
            </w:tcBorders>
            <w:gridSpan w:val="33"/>
          </w:tcPr>
          <w:p>
            <w:pPr>
              <w:spacing w:after="0" w:line="196" w:lineRule="exact"/>
              <w:rPr>
                <w:rFonts w:ascii="Arial" w:cs="Arial" w:eastAsia="Arial" w:hAnsi="Arial"/>
                <w:sz w:val="18"/>
                <w:szCs w:val="18"/>
                <w:color w:val="0000FF"/>
                <w:w w:val="90"/>
              </w:rPr>
            </w:pPr>
            <w:hyperlink r:id="rId322">
              <w:r>
                <w:rPr>
                  <w:rFonts w:ascii="Arial" w:cs="Arial" w:eastAsia="Arial" w:hAnsi="Arial"/>
                  <w:sz w:val="18"/>
                  <w:szCs w:val="18"/>
                  <w:color w:val="0000FF"/>
                  <w:w w:val="90"/>
                </w:rPr>
                <w:t>Noncompetition and Nonsolicitation Agreement, dated March 27, 2022, between Jorgen Pedersen and the Company (incorporated by</w:t>
              </w:r>
            </w:hyperlink>
          </w:p>
        </w:tc>
        <w:tc>
          <w:tcPr>
            <w:tcW w:w="660" w:type="dxa"/>
            <w:vAlign w:val="bottom"/>
            <w:gridSpan w:val="1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45"/>
          </w:tcPr>
          <w:p>
            <w:pPr>
              <w:spacing w:after="0" w:line="196" w:lineRule="exact"/>
              <w:rPr>
                <w:rFonts w:ascii="Arial" w:cs="Arial" w:eastAsia="Arial" w:hAnsi="Arial"/>
                <w:sz w:val="18"/>
                <w:szCs w:val="18"/>
                <w:color w:val="0000FF"/>
              </w:rPr>
            </w:pPr>
            <w:hyperlink r:id="rId322">
              <w:r>
                <w:rPr>
                  <w:rFonts w:ascii="Arial" w:cs="Arial" w:eastAsia="Arial" w:hAnsi="Arial"/>
                  <w:sz w:val="18"/>
                  <w:szCs w:val="18"/>
                  <w:color w:val="0000FF"/>
                </w:rPr>
                <w:t>reference to Exhibit 10.2 to the Company’s Current Report on Form 8-K filed on April 27, 2022).</w:t>
              </w:r>
            </w:hyperlink>
          </w:p>
        </w:tc>
      </w:tr>
      <w:tr>
        <w:trPr>
          <w:trHeight w:val="20"/>
        </w:trPr>
        <w:tc>
          <w:tcPr>
            <w:tcW w:w="9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780" w:type="dxa"/>
            <w:vAlign w:val="bottom"/>
            <w:tcBorders>
              <w:right w:val="single" w:sz="8" w:color="0000FF"/>
            </w:tcBorders>
            <w:gridSpan w:val="1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EE"/>
            </w:tcBorders>
            <w:gridSpan w:val="4"/>
            <w:shd w:val="clear" w:color="auto" w:fill="0000FF"/>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10.18+</w:t>
            </w:r>
          </w:p>
        </w:tc>
        <w:tc>
          <w:tcPr>
            <w:tcW w:w="9800" w:type="dxa"/>
            <w:vAlign w:val="bottom"/>
            <w:tcBorders>
              <w:bottom w:val="single" w:sz="8" w:color="0000FF"/>
            </w:tcBorders>
            <w:gridSpan w:val="38"/>
          </w:tcPr>
          <w:p>
            <w:pPr>
              <w:spacing w:after="0" w:line="196" w:lineRule="exact"/>
              <w:rPr>
                <w:rFonts w:ascii="Arial" w:cs="Arial" w:eastAsia="Arial" w:hAnsi="Arial"/>
                <w:sz w:val="18"/>
                <w:szCs w:val="18"/>
                <w:color w:val="0000FF"/>
                <w:w w:val="90"/>
              </w:rPr>
            </w:pPr>
            <w:hyperlink r:id="rId323">
              <w:r>
                <w:rPr>
                  <w:rFonts w:ascii="Arial" w:cs="Arial" w:eastAsia="Arial" w:hAnsi="Arial"/>
                  <w:sz w:val="18"/>
                  <w:szCs w:val="18"/>
                  <w:color w:val="0000FF"/>
                  <w:w w:val="90"/>
                </w:rPr>
                <w:t>Redemption Rights Agreement, dated April 25, 2022, between Jorgen Pedersen and the Company (incorporated by reference to Exhibit</w:t>
              </w:r>
            </w:hyperlink>
          </w:p>
        </w:tc>
        <w:tc>
          <w:tcPr>
            <w:tcW w:w="52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56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323">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3</w:t>
              </w:r>
              <w:r>
                <w:rPr>
                  <w:rFonts w:ascii="Arial" w:cs="Arial" w:eastAsia="Arial" w:hAnsi="Arial"/>
                  <w:sz w:val="18"/>
                  <w:szCs w:val="18"/>
                  <w:color w:val="0000FF"/>
                  <w:w w:val="92"/>
                </w:rPr>
                <w:t xml:space="preserve"> to the Company’s Current Report on Form 8-K filed on April 27, 2022).</w:t>
              </w:r>
            </w:hyperlink>
          </w:p>
        </w:tc>
        <w:tc>
          <w:tcPr>
            <w:tcW w:w="4760" w:type="dxa"/>
            <w:vAlign w:val="bottom"/>
            <w:gridSpan w:val="25"/>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10.19+</w:t>
            </w:r>
          </w:p>
        </w:tc>
        <w:tc>
          <w:tcPr>
            <w:tcW w:w="9760" w:type="dxa"/>
            <w:vAlign w:val="bottom"/>
            <w:tcBorders>
              <w:bottom w:val="single" w:sz="8" w:color="0000FF"/>
            </w:tcBorders>
            <w:gridSpan w:val="36"/>
          </w:tcPr>
          <w:p>
            <w:pPr>
              <w:spacing w:after="0" w:line="196" w:lineRule="exact"/>
              <w:rPr>
                <w:rFonts w:ascii="Arial" w:cs="Arial" w:eastAsia="Arial" w:hAnsi="Arial"/>
                <w:sz w:val="18"/>
                <w:szCs w:val="18"/>
                <w:color w:val="0000FF"/>
                <w:w w:val="90"/>
              </w:rPr>
            </w:pPr>
            <w:hyperlink r:id="rId324">
              <w:r>
                <w:rPr>
                  <w:rFonts w:ascii="Arial" w:cs="Arial" w:eastAsia="Arial" w:hAnsi="Arial"/>
                  <w:sz w:val="18"/>
                  <w:szCs w:val="18"/>
                  <w:color w:val="0000FF"/>
                  <w:w w:val="90"/>
                </w:rPr>
                <w:t>Employment Agreement, dated October 9, 2022, among Andrew Hamer, Sarcos Corp., and the Company (incorporated by reference to</w:t>
              </w:r>
            </w:hyperlink>
          </w:p>
        </w:tc>
        <w:tc>
          <w:tcPr>
            <w:tcW w:w="560" w:type="dxa"/>
            <w:vAlign w:val="bottom"/>
            <w:gridSpan w:val="9"/>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45"/>
          </w:tcPr>
          <w:p>
            <w:pPr>
              <w:spacing w:after="0" w:line="196" w:lineRule="exact"/>
              <w:rPr>
                <w:rFonts w:ascii="Arial" w:cs="Arial" w:eastAsia="Arial" w:hAnsi="Arial"/>
                <w:sz w:val="18"/>
                <w:szCs w:val="18"/>
                <w:color w:val="0000FF"/>
              </w:rPr>
            </w:pPr>
            <w:hyperlink r:id="rId324">
              <w:r>
                <w:rPr>
                  <w:rFonts w:ascii="Arial" w:cs="Arial" w:eastAsia="Arial" w:hAnsi="Arial"/>
                  <w:sz w:val="18"/>
                  <w:szCs w:val="18"/>
                  <w:color w:val="0000FF"/>
                </w:rPr>
                <w:t>the Company’s Current Report on Form 8-K filed on October 11, 2022).</w:t>
              </w:r>
            </w:hyperlink>
          </w:p>
        </w:tc>
      </w:tr>
      <w:tr>
        <w:trPr>
          <w:trHeight w:val="20"/>
        </w:trPr>
        <w:tc>
          <w:tcPr>
            <w:tcW w:w="9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780" w:type="dxa"/>
            <w:vAlign w:val="bottom"/>
            <w:tcBorders>
              <w:right w:val="single" w:sz="8" w:color="0000EE"/>
            </w:tcBorders>
            <w:gridSpan w:val="12"/>
            <w:shd w:val="clear" w:color="auto" w:fill="0000FF"/>
          </w:tcPr>
          <w:p>
            <w:pPr>
              <w:spacing w:after="0" w:line="20" w:lineRule="exact"/>
              <w:rPr>
                <w:sz w:val="1"/>
                <w:szCs w:val="1"/>
                <w:color w:val="auto"/>
              </w:rPr>
            </w:pPr>
          </w:p>
        </w:tc>
        <w:tc>
          <w:tcPr>
            <w:tcW w:w="4380" w:type="dxa"/>
            <w:vAlign w:val="bottom"/>
            <w:gridSpan w:val="1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10.20+</w:t>
            </w:r>
          </w:p>
        </w:tc>
        <w:tc>
          <w:tcPr>
            <w:tcW w:w="10320" w:type="dxa"/>
            <w:vAlign w:val="bottom"/>
            <w:gridSpan w:val="45"/>
          </w:tcPr>
          <w:p>
            <w:pPr>
              <w:spacing w:after="0" w:line="196" w:lineRule="exact"/>
              <w:rPr>
                <w:rFonts w:ascii="Arial" w:cs="Arial" w:eastAsia="Arial" w:hAnsi="Arial"/>
                <w:sz w:val="18"/>
                <w:szCs w:val="18"/>
                <w:color w:val="0000FF"/>
                <w:w w:val="97"/>
              </w:rPr>
            </w:pPr>
            <w:hyperlink r:id="rId325">
              <w:r>
                <w:rPr>
                  <w:rFonts w:ascii="Arial" w:cs="Arial" w:eastAsia="Arial" w:hAnsi="Arial"/>
                  <w:sz w:val="18"/>
                  <w:szCs w:val="18"/>
                  <w:color w:val="0000FF"/>
                  <w:w w:val="97"/>
                </w:rPr>
                <w:t>Form of Indemnification Agreement (incorporated by reference to the Company’s Current Report on Form 8-K filed on September 30,</w:t>
              </w:r>
            </w:hyperlink>
          </w:p>
        </w:tc>
      </w:tr>
      <w:tr>
        <w:trPr>
          <w:trHeight w:val="196"/>
        </w:trPr>
        <w:tc>
          <w:tcPr>
            <w:tcW w:w="92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325">
              <w:r>
                <w:rPr>
                  <w:rFonts w:ascii="Arial" w:cs="Arial" w:eastAsia="Arial" w:hAnsi="Arial"/>
                  <w:sz w:val="18"/>
                  <w:szCs w:val="18"/>
                  <w:color w:val="0000FF"/>
                  <w:w w:val="90"/>
                </w:rPr>
                <w:t>2021).</w:t>
              </w:r>
            </w:hyperlink>
          </w:p>
        </w:tc>
        <w:tc>
          <w:tcPr>
            <w:tcW w:w="20" w:type="dxa"/>
            <w:vAlign w:val="bottom"/>
            <w:tcBorders>
              <w:top w:val="single" w:sz="8" w:color="0000FF"/>
              <w:bottom w:val="single" w:sz="8" w:color="0000EE"/>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10.21+</w:t>
            </w:r>
          </w:p>
        </w:tc>
        <w:tc>
          <w:tcPr>
            <w:tcW w:w="10320" w:type="dxa"/>
            <w:vAlign w:val="bottom"/>
            <w:gridSpan w:val="45"/>
          </w:tcPr>
          <w:p>
            <w:pPr>
              <w:spacing w:after="0" w:line="196" w:lineRule="exact"/>
              <w:rPr>
                <w:rFonts w:ascii="Arial" w:cs="Arial" w:eastAsia="Arial" w:hAnsi="Arial"/>
                <w:sz w:val="18"/>
                <w:szCs w:val="18"/>
                <w:color w:val="0000FF"/>
                <w:w w:val="98"/>
              </w:rPr>
            </w:pPr>
            <w:hyperlink r:id="rId326">
              <w:r>
                <w:rPr>
                  <w:rFonts w:ascii="Arial" w:cs="Arial" w:eastAsia="Arial" w:hAnsi="Arial"/>
                  <w:sz w:val="18"/>
                  <w:szCs w:val="18"/>
                  <w:color w:val="0000FF"/>
                  <w:w w:val="98"/>
                </w:rPr>
                <w:t>Sarcos 2015 Equity Incentive Plan (incorporated by reference to the Company’s Current Report on Form 8-K filed on September 30,</w:t>
              </w:r>
            </w:hyperlink>
          </w:p>
        </w:tc>
      </w:tr>
      <w:tr>
        <w:trPr>
          <w:trHeight w:val="196"/>
        </w:trPr>
        <w:tc>
          <w:tcPr>
            <w:tcW w:w="92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326">
              <w:r>
                <w:rPr>
                  <w:rFonts w:ascii="Arial" w:cs="Arial" w:eastAsia="Arial" w:hAnsi="Arial"/>
                  <w:sz w:val="18"/>
                  <w:szCs w:val="18"/>
                  <w:color w:val="0000FF"/>
                  <w:w w:val="90"/>
                </w:rPr>
                <w:t>2021).</w:t>
              </w:r>
            </w:hyperlink>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16.1</w:t>
            </w:r>
          </w:p>
        </w:tc>
        <w:tc>
          <w:tcPr>
            <w:tcW w:w="9700" w:type="dxa"/>
            <w:vAlign w:val="bottom"/>
            <w:tcBorders>
              <w:bottom w:val="single" w:sz="8" w:color="0000FF"/>
            </w:tcBorders>
            <w:gridSpan w:val="34"/>
          </w:tcPr>
          <w:p>
            <w:pPr>
              <w:spacing w:after="0" w:line="196" w:lineRule="exact"/>
              <w:rPr>
                <w:rFonts w:ascii="Arial" w:cs="Arial" w:eastAsia="Arial" w:hAnsi="Arial"/>
                <w:sz w:val="18"/>
                <w:szCs w:val="18"/>
                <w:color w:val="0000FF"/>
                <w:w w:val="92"/>
              </w:rPr>
            </w:pPr>
            <w:hyperlink r:id="rId327">
              <w:r>
                <w:rPr>
                  <w:rFonts w:ascii="Arial" w:cs="Arial" w:eastAsia="Arial" w:hAnsi="Arial"/>
                  <w:sz w:val="18"/>
                  <w:szCs w:val="18"/>
                  <w:color w:val="0000FF"/>
                  <w:w w:val="92"/>
                </w:rPr>
                <w:t>Letter Regarding Change in Certifying Accountant (incorporated by reference to the Company’s Current Report on Form 8-K filed on</w:t>
              </w:r>
            </w:hyperlink>
          </w:p>
        </w:tc>
        <w:tc>
          <w:tcPr>
            <w:tcW w:w="62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327">
              <w:r>
                <w:rPr>
                  <w:rFonts w:ascii="Arial" w:cs="Arial" w:eastAsia="Arial" w:hAnsi="Arial"/>
                  <w:sz w:val="18"/>
                  <w:szCs w:val="18"/>
                  <w:color w:val="0000FF"/>
                  <w:w w:val="90"/>
                </w:rPr>
                <w:t>August 12, 2021)</w:t>
              </w:r>
            </w:hyperlink>
          </w:p>
        </w:tc>
        <w:tc>
          <w:tcPr>
            <w:tcW w:w="9060" w:type="dxa"/>
            <w:vAlign w:val="bottom"/>
            <w:gridSpan w:val="41"/>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21.1*</w:t>
            </w:r>
          </w:p>
        </w:tc>
        <w:tc>
          <w:tcPr>
            <w:tcW w:w="10320" w:type="dxa"/>
            <w:vAlign w:val="bottom"/>
            <w:gridSpan w:val="45"/>
          </w:tcPr>
          <w:p>
            <w:pPr>
              <w:spacing w:after="0" w:line="196" w:lineRule="exact"/>
              <w:rPr>
                <w:sz w:val="20"/>
                <w:szCs w:val="20"/>
                <w:color w:val="auto"/>
              </w:rPr>
            </w:pPr>
            <w:r>
              <w:rPr>
                <w:rFonts w:ascii="Arial" w:cs="Arial" w:eastAsia="Arial" w:hAnsi="Arial"/>
                <w:sz w:val="18"/>
                <w:szCs w:val="18"/>
                <w:color w:val="0000FF"/>
              </w:rPr>
              <w:t>List of Subsidiaries.</w:t>
            </w:r>
          </w:p>
        </w:tc>
      </w:tr>
      <w:tr>
        <w:trPr>
          <w:trHeight w:val="453"/>
        </w:trPr>
        <w:tc>
          <w:tcPr>
            <w:tcW w:w="920" w:type="dxa"/>
            <w:vAlign w:val="bottom"/>
          </w:tcPr>
          <w:p>
            <w:pPr>
              <w:spacing w:after="0"/>
              <w:rPr>
                <w:sz w:val="24"/>
                <w:szCs w:val="24"/>
                <w:color w:val="auto"/>
              </w:rPr>
            </w:pPr>
          </w:p>
        </w:tc>
        <w:tc>
          <w:tcPr>
            <w:tcW w:w="1440" w:type="dxa"/>
            <w:vAlign w:val="bottom"/>
            <w:tcBorders>
              <w:top w:val="single" w:sz="8" w:color="0000FF"/>
            </w:tcBorders>
            <w:gridSpan w:val="6"/>
          </w:tcPr>
          <w:p>
            <w:pPr>
              <w:spacing w:after="0"/>
              <w:rPr>
                <w:sz w:val="24"/>
                <w:szCs w:val="24"/>
                <w:color w:val="auto"/>
              </w:rPr>
            </w:pPr>
          </w:p>
        </w:tc>
        <w:tc>
          <w:tcPr>
            <w:tcW w:w="3580" w:type="dxa"/>
            <w:vAlign w:val="bottom"/>
            <w:gridSpan w:val="10"/>
          </w:tcPr>
          <w:p>
            <w:pPr>
              <w:jc w:val="right"/>
              <w:ind w:right="18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9" w:name="page110"/>
    <w:bookmarkEnd w:id="109"/>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9840" w:type="dxa"/>
            <w:vAlign w:val="bottom"/>
            <w:gridSpan w:val="9"/>
          </w:tcPr>
          <w:p>
            <w:pPr>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20"/>
        </w:trPr>
        <w:tc>
          <w:tcPr>
            <w:tcW w:w="9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2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966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1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9840" w:type="dxa"/>
            <w:vAlign w:val="bottom"/>
            <w:gridSpan w:val="9"/>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9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80" w:type="dxa"/>
            <w:vAlign w:val="bottom"/>
            <w:tcBorders>
              <w:right w:val="single" w:sz="8" w:color="0000EE"/>
            </w:tcBorders>
            <w:gridSpan w:val="2"/>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964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200" w:type="dxa"/>
            <w:vAlign w:val="bottom"/>
            <w:gridSpan w:val="2"/>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9840" w:type="dxa"/>
            <w:vAlign w:val="bottom"/>
            <w:gridSpan w:val="9"/>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9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80" w:type="dxa"/>
            <w:vAlign w:val="bottom"/>
            <w:tcBorders>
              <w:right w:val="single" w:sz="8" w:color="0000EE"/>
            </w:tcBorders>
            <w:gridSpan w:val="2"/>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962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0"/>
              </w:rPr>
              <w:t>Certification of Principal Executive Officer Pursuant to 18 U.S.C. Section 1350, as Adopted Pursuant to Section 906 of the Sarbanes-</w:t>
            </w:r>
          </w:p>
        </w:tc>
        <w:tc>
          <w:tcPr>
            <w:tcW w:w="220" w:type="dxa"/>
            <w:vAlign w:val="bottom"/>
            <w:gridSpan w:val="3"/>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4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3"/>
              </w:rPr>
              <w:t>Oxley Act of 2002.</w:t>
            </w:r>
          </w:p>
        </w:tc>
        <w:tc>
          <w:tcPr>
            <w:tcW w:w="20" w:type="dxa"/>
            <w:vAlign w:val="bottom"/>
            <w:tcBorders>
              <w:bottom w:val="single" w:sz="8" w:color="0000EE"/>
            </w:tcBorders>
          </w:tcPr>
          <w:p>
            <w:pPr>
              <w:spacing w:after="0"/>
              <w:rPr>
                <w:sz w:val="17"/>
                <w:szCs w:val="17"/>
                <w:color w:val="auto"/>
              </w:rPr>
            </w:pPr>
          </w:p>
        </w:tc>
        <w:tc>
          <w:tcPr>
            <w:tcW w:w="8420" w:type="dxa"/>
            <w:vAlign w:val="bottom"/>
            <w:gridSpan w:val="7"/>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9840" w:type="dxa"/>
            <w:vAlign w:val="bottom"/>
            <w:gridSpan w:val="9"/>
          </w:tcPr>
          <w:p>
            <w:pPr>
              <w:spacing w:after="0" w:line="196" w:lineRule="exact"/>
              <w:rPr>
                <w:sz w:val="20"/>
                <w:szCs w:val="20"/>
                <w:color w:val="auto"/>
              </w:rPr>
            </w:pPr>
            <w:r>
              <w:rPr>
                <w:rFonts w:ascii="Arial" w:cs="Arial" w:eastAsia="Arial" w:hAnsi="Arial"/>
                <w:sz w:val="18"/>
                <w:szCs w:val="18"/>
                <w:color w:val="0000FF"/>
                <w:w w:val="93"/>
              </w:rPr>
              <w:t>Certification of Principal Financial Officer Pursuant to 18 U.S.C. Section 1350, as Adopted Pursuant to Section 906 of the Sarbanes-</w:t>
            </w:r>
          </w:p>
        </w:tc>
      </w:tr>
      <w:tr>
        <w:trPr>
          <w:trHeight w:val="196"/>
        </w:trPr>
        <w:tc>
          <w:tcPr>
            <w:tcW w:w="90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3"/>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8140" w:type="dxa"/>
            <w:vAlign w:val="bottom"/>
            <w:tcBorders>
              <w:top w:val="single" w:sz="8" w:color="0000FF"/>
            </w:tcBorders>
            <w:gridSpan w:val="3"/>
          </w:tcPr>
          <w:p>
            <w:pPr>
              <w:spacing w:after="0"/>
              <w:rPr>
                <w:sz w:val="17"/>
                <w:szCs w:val="17"/>
                <w:color w:val="auto"/>
              </w:rPr>
            </w:pPr>
          </w:p>
        </w:tc>
        <w:tc>
          <w:tcPr>
            <w:tcW w:w="280" w:type="dxa"/>
            <w:vAlign w:val="bottom"/>
            <w:gridSpan w:val="4"/>
          </w:tcPr>
          <w:p>
            <w:pPr>
              <w:spacing w:after="0"/>
              <w:rPr>
                <w:sz w:val="17"/>
                <w:szCs w:val="17"/>
                <w:color w:val="auto"/>
              </w:rPr>
            </w:pP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gridSpan w:val="9"/>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16"/>
        </w:trPr>
        <w:tc>
          <w:tcPr>
            <w:tcW w:w="900" w:type="dxa"/>
            <w:vAlign w:val="bottom"/>
          </w:tcPr>
          <w:p>
            <w:pPr>
              <w:spacing w:after="0"/>
              <w:rPr>
                <w:sz w:val="18"/>
                <w:szCs w:val="18"/>
                <w:color w:val="auto"/>
              </w:rPr>
            </w:pPr>
          </w:p>
        </w:tc>
        <w:tc>
          <w:tcPr>
            <w:tcW w:w="984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right="4440" w:firstLine="21"/>
        <w:spacing w:after="0" w:line="453" w:lineRule="auto"/>
        <w:tabs>
          <w:tab w:leader="none" w:pos="917"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ind w:left="240" w:hanging="232"/>
        <w:spacing w:after="0"/>
        <w:tabs>
          <w:tab w:leader="none" w:pos="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14230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117" w:lineRule="exact"/>
        <w:rPr>
          <w:sz w:val="20"/>
          <w:szCs w:val="20"/>
          <w:color w:val="auto"/>
        </w:rPr>
      </w:pPr>
    </w:p>
    <w:p>
      <w:pPr>
        <w:ind w:firstLine="8"/>
        <w:spacing w:after="0" w:line="277" w:lineRule="auto"/>
        <w:tabs>
          <w:tab w:leader="none" w:pos="1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Schedules and exhibits to this Exhibit omitted pursuant to Regulation S-K Item 601(b)(2). The Registrant agrees to furnish supplementally a copy of any omitted schedule or exhibit to the SEC upon request.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4" w:right="4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11" w:name="page112"/>
    <w:bookmarkEnd w:id="111"/>
    <w:p>
      <w:pPr>
        <w:jc w:val="center"/>
        <w:spacing w:after="0"/>
        <w:rPr>
          <w:sz w:val="20"/>
          <w:szCs w:val="20"/>
          <w:color w:val="auto"/>
        </w:rPr>
      </w:pPr>
      <w:r>
        <w:rPr>
          <w:rFonts w:ascii="Arial" w:cs="Arial" w:eastAsia="Arial" w:hAnsi="Arial"/>
          <w:sz w:val="16"/>
          <w:szCs w:val="16"/>
          <w:b w:val="1"/>
          <w:bCs w:val="1"/>
          <w:color w:val="auto"/>
        </w:rPr>
        <w:t>SIGNATURES</w:t>
      </w:r>
    </w:p>
    <w:p>
      <w:pPr>
        <w:spacing w:after="0" w:line="23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6"/>
          <w:szCs w:val="16"/>
          <w:b w:val="1"/>
          <w:bCs w:val="1"/>
          <w:color w:val="auto"/>
        </w:rPr>
        <w:t>.</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7680" w:type="dxa"/>
            <w:vAlign w:val="bottom"/>
            <w:gridSpan w:val="2"/>
          </w:tcPr>
          <w:p>
            <w:pPr>
              <w:ind w:left="2140"/>
              <w:spacing w:after="0"/>
              <w:rPr>
                <w:sz w:val="20"/>
                <w:szCs w:val="20"/>
                <w:color w:val="auto"/>
              </w:rPr>
            </w:pPr>
            <w:r>
              <w:rPr>
                <w:rFonts w:ascii="Arial" w:cs="Arial" w:eastAsia="Arial" w:hAnsi="Arial"/>
                <w:sz w:val="16"/>
                <w:szCs w:val="16"/>
                <w:b w:val="1"/>
                <w:bCs w:val="1"/>
                <w:color w:val="auto"/>
              </w:rPr>
              <w:t>SARCOS TECHNOLOGY AND ROBOTICS CORPORATION</w:t>
            </w:r>
          </w:p>
        </w:tc>
      </w:tr>
      <w:tr>
        <w:trPr>
          <w:trHeight w:val="435"/>
        </w:trPr>
        <w:tc>
          <w:tcPr>
            <w:tcW w:w="3540" w:type="dxa"/>
            <w:vAlign w:val="bottom"/>
          </w:tcPr>
          <w:p>
            <w:pPr>
              <w:spacing w:after="0"/>
              <w:rPr>
                <w:sz w:val="20"/>
                <w:szCs w:val="20"/>
                <w:color w:val="auto"/>
              </w:rPr>
            </w:pPr>
            <w:r>
              <w:rPr>
                <w:rFonts w:ascii="Arial" w:cs="Arial" w:eastAsia="Arial" w:hAnsi="Arial"/>
                <w:sz w:val="16"/>
                <w:szCs w:val="16"/>
                <w:color w:val="auto"/>
              </w:rPr>
              <w:t>Date: March 16, 2023</w:t>
            </w:r>
          </w:p>
        </w:tc>
        <w:tc>
          <w:tcPr>
            <w:tcW w:w="7680" w:type="dxa"/>
            <w:vAlign w:val="bottom"/>
            <w:gridSpan w:val="2"/>
          </w:tcPr>
          <w:p>
            <w:pPr>
              <w:ind w:left="2140"/>
              <w:spacing w:after="0"/>
              <w:rPr>
                <w:sz w:val="20"/>
                <w:szCs w:val="20"/>
                <w:color w:val="auto"/>
              </w:rPr>
            </w:pPr>
            <w:r>
              <w:rPr>
                <w:rFonts w:ascii="Arial" w:cs="Arial" w:eastAsia="Arial" w:hAnsi="Arial"/>
                <w:sz w:val="16"/>
                <w:szCs w:val="16"/>
                <w:color w:val="auto"/>
              </w:rPr>
              <w:t>By: /s/ Kiva A. Allgood</w:t>
            </w:r>
          </w:p>
        </w:tc>
      </w:tr>
      <w:tr>
        <w:trPr>
          <w:trHeight w:val="207"/>
        </w:trPr>
        <w:tc>
          <w:tcPr>
            <w:tcW w:w="35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Kiva A. Allgood</w:t>
            </w:r>
          </w:p>
        </w:tc>
      </w:tr>
      <w:tr>
        <w:trPr>
          <w:trHeight w:val="216"/>
        </w:trPr>
        <w:tc>
          <w:tcPr>
            <w:tcW w:w="3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6"/>
                <w:szCs w:val="16"/>
                <w:color w:val="auto"/>
              </w:rPr>
              <w:t>President and Chief Executive Officer (</w:t>
            </w:r>
            <w:r>
              <w:rPr>
                <w:rFonts w:ascii="Arial" w:cs="Arial" w:eastAsia="Arial" w:hAnsi="Arial"/>
                <w:sz w:val="16"/>
                <w:szCs w:val="16"/>
                <w:i w:val="1"/>
                <w:iCs w:val="1"/>
                <w:color w:val="auto"/>
              </w:rPr>
              <w:t>Principal Executive Officer</w:t>
            </w:r>
            <w:r>
              <w:rPr>
                <w:rFonts w:ascii="Arial" w:cs="Arial" w:eastAsia="Arial" w:hAnsi="Arial"/>
                <w:sz w:val="16"/>
                <w:szCs w:val="16"/>
                <w:color w:val="auto"/>
              </w:rPr>
              <w:t>)</w:t>
            </w:r>
          </w:p>
        </w:tc>
      </w:tr>
      <w:tr>
        <w:trPr>
          <w:trHeight w:val="438"/>
        </w:trPr>
        <w:tc>
          <w:tcPr>
            <w:tcW w:w="3540" w:type="dxa"/>
            <w:vAlign w:val="bottom"/>
          </w:tcPr>
          <w:p>
            <w:pPr>
              <w:spacing w:after="0"/>
              <w:rPr>
                <w:sz w:val="20"/>
                <w:szCs w:val="20"/>
                <w:color w:val="auto"/>
              </w:rPr>
            </w:pPr>
            <w:r>
              <w:rPr>
                <w:rFonts w:ascii="Arial" w:cs="Arial" w:eastAsia="Arial" w:hAnsi="Arial"/>
                <w:sz w:val="16"/>
                <w:szCs w:val="16"/>
                <w:color w:val="auto"/>
              </w:rPr>
              <w:t>Date: March 16, 2023</w:t>
            </w:r>
          </w:p>
        </w:tc>
        <w:tc>
          <w:tcPr>
            <w:tcW w:w="7680" w:type="dxa"/>
            <w:vAlign w:val="bottom"/>
            <w:gridSpan w:val="2"/>
          </w:tcPr>
          <w:p>
            <w:pPr>
              <w:ind w:left="2140"/>
              <w:spacing w:after="0"/>
              <w:rPr>
                <w:sz w:val="20"/>
                <w:szCs w:val="20"/>
                <w:color w:val="auto"/>
              </w:rPr>
            </w:pPr>
            <w:r>
              <w:rPr>
                <w:rFonts w:ascii="Arial" w:cs="Arial" w:eastAsia="Arial" w:hAnsi="Arial"/>
                <w:sz w:val="16"/>
                <w:szCs w:val="16"/>
                <w:color w:val="auto"/>
              </w:rPr>
              <w:t>By: /s/ Andrew Hamer</w:t>
            </w:r>
          </w:p>
        </w:tc>
      </w:tr>
      <w:tr>
        <w:trPr>
          <w:trHeight w:val="204"/>
        </w:trPr>
        <w:tc>
          <w:tcPr>
            <w:tcW w:w="35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Andrew Hamer</w:t>
            </w:r>
          </w:p>
        </w:tc>
      </w:tr>
      <w:tr>
        <w:trPr>
          <w:trHeight w:val="216"/>
        </w:trPr>
        <w:tc>
          <w:tcPr>
            <w:tcW w:w="3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6"/>
                <w:szCs w:val="16"/>
                <w:color w:val="auto"/>
              </w:rPr>
              <w:t>Chief Financial Officer (</w:t>
            </w:r>
            <w:r>
              <w:rPr>
                <w:rFonts w:ascii="Arial" w:cs="Arial" w:eastAsia="Arial" w:hAnsi="Arial"/>
                <w:sz w:val="16"/>
                <w:szCs w:val="16"/>
                <w:i w:val="1"/>
                <w:iCs w:val="1"/>
                <w:color w:val="auto"/>
              </w:rPr>
              <w:t>Principal Financial and Accounting Officer</w:t>
            </w:r>
            <w:r>
              <w:rPr>
                <w:rFonts w:ascii="Arial" w:cs="Arial" w:eastAsia="Arial" w:hAnsi="Arial"/>
                <w:sz w:val="16"/>
                <w:szCs w:val="16"/>
                <w:color w:val="auto"/>
              </w:rPr>
              <w:t>)</w:t>
            </w: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9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Kiva A. Allgood and Andrew Hamer,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280" w:type="dxa"/>
            <w:vAlign w:val="bottom"/>
          </w:tcPr>
          <w:p>
            <w:pPr>
              <w:spacing w:after="0"/>
              <w:rPr>
                <w:sz w:val="18"/>
                <w:szCs w:val="18"/>
                <w:color w:val="auto"/>
              </w:rPr>
            </w:pPr>
          </w:p>
        </w:tc>
        <w:tc>
          <w:tcPr>
            <w:tcW w:w="4760" w:type="dxa"/>
            <w:vAlign w:val="bottom"/>
            <w:tcBorders>
              <w:bottom w:val="single" w:sz="8" w:color="auto"/>
            </w:tcBorders>
          </w:tcPr>
          <w:p>
            <w:pPr>
              <w:ind w:left="2220"/>
              <w:spacing w:after="0"/>
              <w:rPr>
                <w:sz w:val="20"/>
                <w:szCs w:val="20"/>
                <w:color w:val="auto"/>
              </w:rPr>
            </w:pPr>
            <w:r>
              <w:rPr>
                <w:rFonts w:ascii="Arial" w:cs="Arial" w:eastAsia="Arial" w:hAnsi="Arial"/>
                <w:sz w:val="16"/>
                <w:szCs w:val="16"/>
                <w:b w:val="1"/>
                <w:bCs w:val="1"/>
                <w:color w:val="auto"/>
              </w:rPr>
              <w:t>Title</w:t>
            </w:r>
          </w:p>
        </w:tc>
        <w:tc>
          <w:tcPr>
            <w:tcW w:w="280" w:type="dxa"/>
            <w:vAlign w:val="bottom"/>
          </w:tcPr>
          <w:p>
            <w:pPr>
              <w:spacing w:after="0"/>
              <w:rPr>
                <w:sz w:val="18"/>
                <w:szCs w:val="18"/>
                <w:color w:val="auto"/>
              </w:rPr>
            </w:pPr>
          </w:p>
        </w:tc>
        <w:tc>
          <w:tcPr>
            <w:tcW w:w="2300" w:type="dxa"/>
            <w:vAlign w:val="bottom"/>
            <w:tcBorders>
              <w:bottom w:val="single" w:sz="8" w:color="auto"/>
            </w:tcBorders>
          </w:tcPr>
          <w:p>
            <w:pPr>
              <w:ind w:left="980"/>
              <w:spacing w:after="0"/>
              <w:rPr>
                <w:sz w:val="20"/>
                <w:szCs w:val="20"/>
                <w:color w:val="auto"/>
              </w:rPr>
            </w:pPr>
            <w:r>
              <w:rPr>
                <w:rFonts w:ascii="Arial" w:cs="Arial" w:eastAsia="Arial" w:hAnsi="Arial"/>
                <w:sz w:val="16"/>
                <w:szCs w:val="16"/>
                <w:b w:val="1"/>
                <w:bCs w:val="1"/>
                <w:color w:val="auto"/>
              </w:rPr>
              <w:t>Date</w:t>
            </w:r>
          </w:p>
        </w:tc>
      </w:tr>
      <w:tr>
        <w:trPr>
          <w:trHeight w:val="423"/>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Kiva A. Allgood</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President, Chief Executive Officer and 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16, 2023</w:t>
            </w:r>
          </w:p>
        </w:tc>
      </w:tr>
      <w:tr>
        <w:trPr>
          <w:trHeight w:val="210"/>
        </w:trPr>
        <w:tc>
          <w:tcPr>
            <w:tcW w:w="3620" w:type="dxa"/>
            <w:vAlign w:val="bottom"/>
          </w:tcPr>
          <w:p>
            <w:pPr>
              <w:jc w:val="center"/>
              <w:spacing w:after="0"/>
              <w:rPr>
                <w:sz w:val="20"/>
                <w:szCs w:val="20"/>
                <w:color w:val="auto"/>
              </w:rPr>
            </w:pPr>
            <w:r>
              <w:rPr>
                <w:rFonts w:ascii="Arial" w:cs="Arial" w:eastAsia="Arial" w:hAnsi="Arial"/>
                <w:sz w:val="16"/>
                <w:szCs w:val="16"/>
                <w:color w:val="auto"/>
              </w:rPr>
              <w:t>Kiva A. Allgood</w:t>
            </w:r>
          </w:p>
        </w:tc>
        <w:tc>
          <w:tcPr>
            <w:tcW w:w="2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Executive Officer</w:t>
            </w: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432"/>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Andrew Hamer</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16, 2023</w:t>
            </w:r>
          </w:p>
        </w:tc>
      </w:tr>
      <w:tr>
        <w:trPr>
          <w:trHeight w:val="209"/>
        </w:trPr>
        <w:tc>
          <w:tcPr>
            <w:tcW w:w="3620" w:type="dxa"/>
            <w:vAlign w:val="bottom"/>
          </w:tcPr>
          <w:p>
            <w:pPr>
              <w:jc w:val="center"/>
              <w:spacing w:after="0"/>
              <w:rPr>
                <w:sz w:val="20"/>
                <w:szCs w:val="20"/>
                <w:color w:val="auto"/>
              </w:rPr>
            </w:pPr>
            <w:r>
              <w:rPr>
                <w:rFonts w:ascii="Arial" w:cs="Arial" w:eastAsia="Arial" w:hAnsi="Arial"/>
                <w:sz w:val="16"/>
                <w:szCs w:val="16"/>
                <w:color w:val="auto"/>
                <w:w w:val="95"/>
              </w:rPr>
              <w:t>Andrew Hamer</w:t>
            </w:r>
          </w:p>
        </w:tc>
        <w:tc>
          <w:tcPr>
            <w:tcW w:w="2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Financial and Accounting Officer</w:t>
            </w: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435"/>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Dennis Weibling</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Chairman of the Board</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16, 2023</w:t>
            </w:r>
          </w:p>
        </w:tc>
      </w:tr>
      <w:tr>
        <w:trPr>
          <w:trHeight w:val="206"/>
        </w:trPr>
        <w:tc>
          <w:tcPr>
            <w:tcW w:w="3620" w:type="dxa"/>
            <w:vAlign w:val="bottom"/>
          </w:tcPr>
          <w:p>
            <w:pPr>
              <w:jc w:val="center"/>
              <w:spacing w:after="0"/>
              <w:rPr>
                <w:sz w:val="20"/>
                <w:szCs w:val="20"/>
                <w:color w:val="auto"/>
              </w:rPr>
            </w:pPr>
            <w:r>
              <w:rPr>
                <w:rFonts w:ascii="Arial" w:cs="Arial" w:eastAsia="Arial" w:hAnsi="Arial"/>
                <w:sz w:val="16"/>
                <w:szCs w:val="16"/>
                <w:color w:val="auto"/>
                <w:w w:val="95"/>
              </w:rPr>
              <w:t>Dennis Weibling</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35"/>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Priya Balasubramaniam</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16, 2023</w:t>
            </w:r>
          </w:p>
        </w:tc>
      </w:tr>
      <w:tr>
        <w:trPr>
          <w:trHeight w:val="207"/>
        </w:trPr>
        <w:tc>
          <w:tcPr>
            <w:tcW w:w="3620" w:type="dxa"/>
            <w:vAlign w:val="bottom"/>
          </w:tcPr>
          <w:p>
            <w:pPr>
              <w:jc w:val="center"/>
              <w:spacing w:after="0"/>
              <w:rPr>
                <w:sz w:val="20"/>
                <w:szCs w:val="20"/>
                <w:color w:val="auto"/>
              </w:rPr>
            </w:pPr>
            <w:r>
              <w:rPr>
                <w:rFonts w:ascii="Arial" w:cs="Arial" w:eastAsia="Arial" w:hAnsi="Arial"/>
                <w:sz w:val="16"/>
                <w:szCs w:val="16"/>
                <w:color w:val="auto"/>
                <w:w w:val="90"/>
              </w:rPr>
              <w:t>Priya Balasubramaniam</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35"/>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Brian D. Finn</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16, 2023</w:t>
            </w:r>
          </w:p>
        </w:tc>
      </w:tr>
      <w:tr>
        <w:trPr>
          <w:trHeight w:val="207"/>
        </w:trPr>
        <w:tc>
          <w:tcPr>
            <w:tcW w:w="3620" w:type="dxa"/>
            <w:vAlign w:val="bottom"/>
          </w:tcPr>
          <w:p>
            <w:pPr>
              <w:jc w:val="center"/>
              <w:spacing w:after="0"/>
              <w:rPr>
                <w:sz w:val="20"/>
                <w:szCs w:val="20"/>
                <w:color w:val="auto"/>
              </w:rPr>
            </w:pPr>
            <w:r>
              <w:rPr>
                <w:rFonts w:ascii="Arial" w:cs="Arial" w:eastAsia="Arial" w:hAnsi="Arial"/>
                <w:sz w:val="16"/>
                <w:szCs w:val="16"/>
                <w:color w:val="auto"/>
                <w:w w:val="96"/>
              </w:rPr>
              <w:t>Brian D. Finn</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35"/>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Peter Klein</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16, 2023</w:t>
            </w:r>
          </w:p>
        </w:tc>
      </w:tr>
      <w:tr>
        <w:trPr>
          <w:trHeight w:val="206"/>
        </w:trPr>
        <w:tc>
          <w:tcPr>
            <w:tcW w:w="3620" w:type="dxa"/>
            <w:vAlign w:val="bottom"/>
          </w:tcPr>
          <w:p>
            <w:pPr>
              <w:jc w:val="center"/>
              <w:spacing w:after="0"/>
              <w:rPr>
                <w:sz w:val="20"/>
                <w:szCs w:val="20"/>
                <w:color w:val="auto"/>
              </w:rPr>
            </w:pPr>
            <w:r>
              <w:rPr>
                <w:rFonts w:ascii="Arial" w:cs="Arial" w:eastAsia="Arial" w:hAnsi="Arial"/>
                <w:sz w:val="16"/>
                <w:szCs w:val="16"/>
                <w:color w:val="auto"/>
                <w:w w:val="94"/>
              </w:rPr>
              <w:t>Peter Klein</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35"/>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Matthew Shigenobu Muta</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16, 2023</w:t>
            </w:r>
          </w:p>
        </w:tc>
      </w:tr>
      <w:tr>
        <w:trPr>
          <w:trHeight w:val="206"/>
        </w:trPr>
        <w:tc>
          <w:tcPr>
            <w:tcW w:w="3620" w:type="dxa"/>
            <w:vAlign w:val="bottom"/>
          </w:tcPr>
          <w:p>
            <w:pPr>
              <w:jc w:val="center"/>
              <w:spacing w:after="0"/>
              <w:rPr>
                <w:sz w:val="20"/>
                <w:szCs w:val="20"/>
                <w:color w:val="auto"/>
              </w:rPr>
            </w:pPr>
            <w:r>
              <w:rPr>
                <w:rFonts w:ascii="Arial" w:cs="Arial" w:eastAsia="Arial" w:hAnsi="Arial"/>
                <w:sz w:val="16"/>
                <w:szCs w:val="16"/>
                <w:color w:val="auto"/>
                <w:w w:val="93"/>
              </w:rPr>
              <w:t>Matthew Shigenobu Muta</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35"/>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Eric T. Olson</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16, 2023</w:t>
            </w:r>
          </w:p>
        </w:tc>
      </w:tr>
      <w:tr>
        <w:trPr>
          <w:trHeight w:val="206"/>
        </w:trPr>
        <w:tc>
          <w:tcPr>
            <w:tcW w:w="3620" w:type="dxa"/>
            <w:vAlign w:val="bottom"/>
          </w:tcPr>
          <w:p>
            <w:pPr>
              <w:jc w:val="center"/>
              <w:spacing w:after="0"/>
              <w:rPr>
                <w:sz w:val="20"/>
                <w:szCs w:val="20"/>
                <w:color w:val="auto"/>
              </w:rPr>
            </w:pPr>
            <w:r>
              <w:rPr>
                <w:rFonts w:ascii="Arial" w:cs="Arial" w:eastAsia="Arial" w:hAnsi="Arial"/>
                <w:sz w:val="16"/>
                <w:szCs w:val="16"/>
                <w:color w:val="auto"/>
                <w:w w:val="92"/>
              </w:rPr>
              <w:t>Eric T. Olson</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3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/s/ Laura J. Peterson</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16, 2023</w:t>
            </w:r>
          </w:p>
        </w:tc>
      </w:tr>
      <w:tr>
        <w:trPr>
          <w:trHeight w:val="203"/>
        </w:trPr>
        <w:tc>
          <w:tcPr>
            <w:tcW w:w="3620" w:type="dxa"/>
            <w:vAlign w:val="bottom"/>
          </w:tcPr>
          <w:p>
            <w:pPr>
              <w:jc w:val="center"/>
              <w:spacing w:after="0"/>
              <w:rPr>
                <w:sz w:val="20"/>
                <w:szCs w:val="20"/>
                <w:color w:val="auto"/>
              </w:rPr>
            </w:pPr>
            <w:r>
              <w:rPr>
                <w:rFonts w:ascii="Arial" w:cs="Arial" w:eastAsia="Arial" w:hAnsi="Arial"/>
                <w:sz w:val="16"/>
                <w:szCs w:val="16"/>
                <w:color w:val="auto"/>
                <w:w w:val="90"/>
              </w:rPr>
              <w:t>Laura J. Peterson</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3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Benjamin G. Wolff</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March 16, 2023</w:t>
            </w:r>
          </w:p>
        </w:tc>
      </w:tr>
      <w:tr>
        <w:trPr>
          <w:trHeight w:val="203"/>
        </w:trPr>
        <w:tc>
          <w:tcPr>
            <w:tcW w:w="3620" w:type="dxa"/>
            <w:vAlign w:val="bottom"/>
          </w:tcPr>
          <w:p>
            <w:pPr>
              <w:jc w:val="center"/>
              <w:spacing w:after="0"/>
              <w:rPr>
                <w:sz w:val="20"/>
                <w:szCs w:val="20"/>
                <w:color w:val="auto"/>
              </w:rPr>
            </w:pPr>
            <w:r>
              <w:rPr>
                <w:rFonts w:ascii="Arial" w:cs="Arial" w:eastAsia="Arial" w:hAnsi="Arial"/>
                <w:sz w:val="16"/>
                <w:szCs w:val="16"/>
                <w:color w:val="auto"/>
                <w:w w:val="94"/>
              </w:rPr>
              <w:t>Benjamin G. Wolff</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4.5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February 15, 2023, Sarcos Technology &amp; Robotics Corporation (“we,” “our,” “us” or the “Company”) had the following two classes of securities registered under Section 12 of the Securities Exchange Act of 1934, as amended (the “Exchange Act”): (i) Common Stock, par value $0.0001 per share, and (ii) redeemable warrants, each warrant exercisable for one Common Stock share at an exercise price of $11.50.</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sets forth a summary of the material terms of our securities, including certain provisions of Delaware law and the material provisions of the Second Amended and Restated Certificate of Incorporation (the “Charter) and the Amended and Restated Bylaws (the “Bylaws”). This summary is not intended to be a complete summary of the rights and preferences of such securities. The full texts of the Charter and Bylaws are attached as exhibits to our Annual Report on Form 10-K. We urge you to read our Charter and Bylaws in their entirety, as well as the applicable provisions of Delaware law, for a complete description of the rights and preferences of the Company’s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Charter authorizes the issuance of 1,000,000,000 shares of capital stock, of which</w:t>
      </w:r>
    </w:p>
    <w:p>
      <w:pPr>
        <w:spacing w:after="0" w:line="185" w:lineRule="exact"/>
        <w:rPr>
          <w:sz w:val="20"/>
          <w:szCs w:val="20"/>
          <w:color w:val="auto"/>
        </w:rPr>
      </w:pPr>
    </w:p>
    <w:p>
      <w:pPr>
        <w:ind w:left="1300" w:right="120" w:hanging="419"/>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990,000,000 shares are designated as the shares of common stock, par value $0.0001 per share, of the Company (“Common Stock”), par value $0.0001 per share, and</w:t>
      </w:r>
    </w:p>
    <w:p>
      <w:pPr>
        <w:spacing w:after="0" w:line="129" w:lineRule="exact"/>
        <w:rPr>
          <w:rFonts w:ascii="Arial" w:cs="Arial" w:eastAsia="Arial" w:hAnsi="Arial"/>
          <w:sz w:val="18"/>
          <w:szCs w:val="18"/>
          <w:color w:val="auto"/>
        </w:rPr>
      </w:pPr>
    </w:p>
    <w:p>
      <w:pPr>
        <w:ind w:left="1300" w:hanging="419"/>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10,000,000 shares are designated as preferred stock, par value $0.0001 per share.</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February 15, 2023, there were approximately 154,253,091 shares of Common Stock outstanding, held of record by approximately 275 holders of Common Stock, no shares of preferred stock outstanding and approximately 20,549,453 warrants outstanding held of record by approximately 31 holders of warrants. Such numbers do not include DTC participants or beneficial owners holding shares through nominee names.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Subject to preferences that may be applicable to then-outstanding preferred stock, holders of Common Stock are entitled to receive dividends, if any, as may be declared from time to time by our board out of legally available funds. See “</w:t>
      </w:r>
      <w:r>
        <w:rPr>
          <w:rFonts w:ascii="Arial" w:cs="Arial" w:eastAsia="Arial" w:hAnsi="Arial"/>
          <w:sz w:val="17"/>
          <w:szCs w:val="17"/>
          <w:i w:val="1"/>
          <w:iCs w:val="1"/>
          <w:color w:val="auto"/>
        </w:rPr>
        <w:t>Item 5. Market for Registrant’s Common Equity, Related Stockholder</w:t>
      </w:r>
      <w:r>
        <w:rPr>
          <w:rFonts w:ascii="Arial" w:cs="Arial" w:eastAsia="Arial" w:hAnsi="Arial"/>
          <w:sz w:val="17"/>
          <w:szCs w:val="17"/>
          <w:color w:val="auto"/>
        </w:rPr>
        <w:t xml:space="preserve"> </w:t>
      </w:r>
      <w:r>
        <w:rPr>
          <w:rFonts w:ascii="Arial" w:cs="Arial" w:eastAsia="Arial" w:hAnsi="Arial"/>
          <w:sz w:val="17"/>
          <w:szCs w:val="17"/>
          <w:i w:val="1"/>
          <w:iCs w:val="1"/>
          <w:color w:val="auto"/>
        </w:rPr>
        <w:t>Matters and Issuer Purchasers of Equity Securities</w:t>
      </w:r>
      <w:r>
        <w:rPr>
          <w:rFonts w:ascii="Arial" w:cs="Arial" w:eastAsia="Arial" w:hAnsi="Arial"/>
          <w:sz w:val="17"/>
          <w:szCs w:val="17"/>
          <w:color w:val="auto"/>
        </w:rPr>
        <w:t>” of our Annual Report on Form 10-K for more information.</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On January 14, 2021, Rotor Acquisition Corp. (“Rotor”), our predecessor company prior to the closing of the business combination (the “Closing”),effected a stock dividend of 0.2 shares for each outstanding share of Class B common stock (the “Founder Shares”, which, for the avoidance of doubt, were converted into Common Stock of the Company at Closing), resulting in an aggregate of 6,900,000 Founder Shares outstanding, in order to maintain the number of Founder Shares at 20% of the issued and outstanding shares of our Common Stock upon the consummation of Rotor’s initial public offering (the “IPO”).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Other Rights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Holders of Common Stock are not entitled to preemptive rights and are not subject to redemption or sinking fund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the holders of Common Stock possess or will possess, as applicable, all voting power for the election of our directors and all other matters requiring stockholder action and are entitled or will be entitled, as applicable, to</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vote per share on matters to be voted on by stockholders. Subject to certain limited exceptions, the holders of Common Stock shall at all times vote together as one class on all matters submitted to a vote of the holders of Common Stock.</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stockholders do not have the ability to cumulate votes for the election of directors. As a result, the holders of a plurality of the voting power of the shares present in person or represented by proxy at the meeting and entitled to vote on the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the meeting and entitled to vote on the subject matter shall be the act of the stockholders, except as otherwise required by law, the Charter, the Bylaws, or the rules of the stock exchange on which the Company’s securities are listed. The holders of a majority of the voting power of the capital stock of the Company issued and outstanding and entitled to vote, present in person or represented by proxy, shall constitute a quorum for the transaction of business at all meetings of the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Board has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in control of the Company or other corporate action. As of February 15, 2023, there are no shares of preferred stock outstanding, and we have no present plan to issue any shares of preferred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whole warrant entitles the registered holder to purchase one share of our Common Stock at a price of $11.50 per share, subject to adjustment as discussed below, at any time commencing on January 20, 2022, provided that we have an effective registration statement under the Securities Act of 1933, as amended (the “Securities Act”) covering the shares of the Common Stock issuable upon exercise of the warrants and a current prospectus relating to them is available (or we permit holders to exercise their warrants on a cashless basis under the circumstances specified in the warrant agreement entered into between Continental Stock Transfer &amp; Trust Company and Rotor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our Common Stock. This means only a whole warrant may be exercised at a given time by a warrant holder. The warrants will expire five years after the Closing, or September 24, 2026, at 5:00 p.m., New York City time, or earlier upon redemption or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5" w:name="page116"/>
    <w:bookmarkEnd w:id="115"/>
    <w:p>
      <w:pPr>
        <w:jc w:val="both"/>
        <w:spacing w:after="0" w:line="269" w:lineRule="auto"/>
        <w:rPr>
          <w:sz w:val="20"/>
          <w:szCs w:val="20"/>
          <w:color w:val="auto"/>
        </w:rPr>
      </w:pPr>
      <w:r>
        <w:rPr>
          <w:rFonts w:ascii="Arial" w:cs="Arial" w:eastAsia="Arial" w:hAnsi="Arial"/>
          <w:sz w:val="17"/>
          <w:szCs w:val="17"/>
          <w:color w:val="auto"/>
        </w:rPr>
        <w:t>We will not be obligated to deliver any Common Stock pursuant to the exercise of a warrant and will have no obligation to settle such warrant exercise unless a registration statement under the Securities Act with respect to the shares of our Common Stock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share of our Common Stock upon exercise of a warrant unless the share of our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in the IPO of a unit containing such warrant will have paid the full purchase price for the unit solely for the share of our Common Stock underlying such unit.</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agreed that as soon as practicable, but in no event later than twenty business days after the Closing, we will use our commercially reasonable efforts to file with the SEC a registration statement for the registration, under the Securities Act, of the shares of our Common Stock issuable upon exercise of the warrants. We will use our commercially reasonable efforts to cause the same to become effective and to maintain the effectiveness of such registration statement, and a current prospectus relating thereto, until the expiration or redemption of the warrants in accordance with the provisions of the Warrant Agreement. If a registration statement covering the issuance of the shares of our Common Stock issuable upon exercise of the warrants is not effective by the 60th business day after the Closing,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In addition, if our Common Stock is at the time of any exercise of a warrant not listed on a national securities exchange such that they satisfy the definition of a “covered security” under Section 18(b)(1) of the Securities Act, we may, at our option, require holders of our warrants included in the units issued in the IPO each of which is exercisable for one share of Common Stock, in accordance with its terms following the Closing (the “Public Warrants”) who exercise their warrants to do so on a “cashless basis” in accordance with Section 3(a)(9) of the Securities Act and, in the event we elect to do so, we will not be required to file or maintain in effect a registration statement, but we will use our commercially reasonable efforts to register or qualify the shares under applicable blue sky laws to the extent an exemption is not available. In such event, each holder would pay the exercise price by surrendering each such warrant for that number of shares of our Common Stock equal to the lesser of (A) the quotient obtained by dividing (x) the product of the number of shares of our Common Stock underlying the warrants, multiplied the excess of the “fair market value” less the exercise price of the warrants by (y) the fair market value and (B) 0.361. The “fair market value” shall mean the volume weighted average price of the shares of our Common Stock for the 10 trading days ending on the trading day prior to the date on which the notice of exercise is received by Continental Stock Transfer &amp; Trust Company (the “Warrant Agent”).</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Warrants When the Price per Share of Our Common Stock Equals or Exceeds $18.00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198" w:lineRule="exact"/>
        <w:rPr>
          <w:sz w:val="20"/>
          <w:szCs w:val="20"/>
          <w:color w:val="auto"/>
        </w:rPr>
      </w:pPr>
    </w:p>
    <w:p>
      <w:pPr>
        <w:ind w:left="1300" w:hanging="419"/>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11" w:lineRule="exact"/>
        <w:rPr>
          <w:rFonts w:ascii="Arial" w:cs="Arial" w:eastAsia="Arial" w:hAnsi="Arial"/>
          <w:sz w:val="18"/>
          <w:szCs w:val="18"/>
          <w:color w:val="auto"/>
        </w:rPr>
      </w:pPr>
    </w:p>
    <w:p>
      <w:pPr>
        <w:ind w:left="1300" w:hanging="419"/>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11" w:lineRule="exact"/>
        <w:rPr>
          <w:rFonts w:ascii="Arial" w:cs="Arial" w:eastAsia="Arial" w:hAnsi="Arial"/>
          <w:sz w:val="18"/>
          <w:szCs w:val="18"/>
          <w:color w:val="auto"/>
        </w:rPr>
      </w:pPr>
    </w:p>
    <w:p>
      <w:pPr>
        <w:ind w:left="1300" w:hanging="419"/>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w:t>
      </w:r>
      <w:r>
        <w:rPr>
          <w:rFonts w:ascii="Arial" w:cs="Arial" w:eastAsia="Arial" w:hAnsi="Arial"/>
          <w:sz w:val="18"/>
          <w:szCs w:val="18"/>
          <w:i w:val="1"/>
          <w:iCs w:val="1"/>
          <w:color w:val="auto"/>
        </w:rPr>
        <w:t>30-day redemption period</w:t>
      </w:r>
      <w:r>
        <w:rPr>
          <w:rFonts w:ascii="Arial" w:cs="Arial" w:eastAsia="Arial" w:hAnsi="Arial"/>
          <w:sz w:val="18"/>
          <w:szCs w:val="18"/>
          <w:color w:val="auto"/>
        </w:rPr>
        <w:t>”) to each Warrant holder; and</w:t>
      </w:r>
    </w:p>
    <w:p>
      <w:pPr>
        <w:spacing w:after="0" w:line="211" w:lineRule="exact"/>
        <w:rPr>
          <w:rFonts w:ascii="Arial" w:cs="Arial" w:eastAsia="Arial" w:hAnsi="Arial"/>
          <w:sz w:val="18"/>
          <w:szCs w:val="18"/>
          <w:color w:val="auto"/>
        </w:rPr>
      </w:pPr>
    </w:p>
    <w:p>
      <w:pPr>
        <w:jc w:val="both"/>
        <w:ind w:left="1300" w:right="120" w:hanging="419"/>
        <w:spacing w:after="0" w:line="259"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shares of our Common Stock for any 20 trading days within a 30-trading day period commencing after the Warrants become exercisable and ending three business days before we send the notice of redemption to the Warrant holders (which we refer to as the “</w:t>
      </w:r>
      <w:r>
        <w:rPr>
          <w:rFonts w:ascii="Arial" w:cs="Arial" w:eastAsia="Arial" w:hAnsi="Arial"/>
          <w:sz w:val="18"/>
          <w:szCs w:val="18"/>
          <w:i w:val="1"/>
          <w:iCs w:val="1"/>
          <w:color w:val="auto"/>
        </w:rPr>
        <w:t>Reference Value</w:t>
      </w:r>
      <w:r>
        <w:rPr>
          <w:rFonts w:ascii="Arial" w:cs="Arial" w:eastAsia="Arial" w:hAnsi="Arial"/>
          <w:sz w:val="18"/>
          <w:szCs w:val="18"/>
          <w:color w:val="auto"/>
        </w:rPr>
        <w:t>”) equals or exceeds $18.00 per share (as adjusted for stock splits, stock dividends, reorganizations, recapitalizations and the like).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6" w:name="page117"/>
    <w:bookmarkEnd w:id="116"/>
    <w:p>
      <w:pPr>
        <w:jc w:val="both"/>
        <w:spacing w:after="0" w:line="259" w:lineRule="auto"/>
        <w:rPr>
          <w:sz w:val="20"/>
          <w:szCs w:val="20"/>
          <w:color w:val="auto"/>
        </w:rPr>
      </w:pPr>
      <w:r>
        <w:rPr>
          <w:rFonts w:ascii="Arial" w:cs="Arial" w:eastAsia="Arial" w:hAnsi="Arial"/>
          <w:sz w:val="18"/>
          <w:szCs w:val="18"/>
          <w:color w:val="auto"/>
        </w:rPr>
        <w:t>If and when the warrants become redeemable by us, we may exercise our redemption right even if we are unable to register or qualify the underlying securities for sale under all applicable state securities laws. However, we will not redeem the warrants unless an effective registration statement under the Securities Act covering the shares of our Common Stock issuable upon exercise of the warrants is effective and a current prospectus relating to those shares of our Common Stock is available throughout the 30-day redemption period.</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established the last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shares of our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Warrants When the Price per Share of Our Common Stock Equals or Exceeds $10.00</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warrants issued to Rotor Sponsor, LLC, a Delaware limited liability company (the “Sponsor”) and the certain funds managed by BlackRock and Riverview Group LLC and its affiliates that subscribed for warrants in a private placement concurrent with the IPO (the “Private Placement Warrants”) if we do not utilize this redemption provision):</w:t>
      </w:r>
    </w:p>
    <w:p>
      <w:pPr>
        <w:spacing w:after="0" w:line="160" w:lineRule="exact"/>
        <w:rPr>
          <w:sz w:val="20"/>
          <w:szCs w:val="20"/>
          <w:color w:val="auto"/>
        </w:rPr>
      </w:pPr>
    </w:p>
    <w:p>
      <w:pPr>
        <w:ind w:left="1300" w:hanging="419"/>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11" w:lineRule="exact"/>
        <w:rPr>
          <w:rFonts w:ascii="Arial" w:cs="Arial" w:eastAsia="Arial" w:hAnsi="Arial"/>
          <w:sz w:val="18"/>
          <w:szCs w:val="18"/>
          <w:color w:val="auto"/>
        </w:rPr>
      </w:pPr>
    </w:p>
    <w:p>
      <w:pPr>
        <w:jc w:val="both"/>
        <w:ind w:left="1300" w:right="120" w:hanging="419"/>
        <w:spacing w:after="0" w:line="263"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our Common Stock (as defined below);</w:t>
      </w:r>
    </w:p>
    <w:p>
      <w:pPr>
        <w:spacing w:after="0" w:line="143" w:lineRule="exact"/>
        <w:rPr>
          <w:rFonts w:ascii="Arial" w:cs="Arial" w:eastAsia="Arial" w:hAnsi="Arial"/>
          <w:sz w:val="18"/>
          <w:szCs w:val="18"/>
          <w:color w:val="auto"/>
        </w:rPr>
      </w:pPr>
    </w:p>
    <w:p>
      <w:pPr>
        <w:ind w:left="1300" w:right="120" w:hanging="419"/>
        <w:spacing w:after="0" w:line="277"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aand only if, the Reference Value (as defined above) equals or exceeds $10.00 per share (as adjusted for stock splits, stock dividends, reorganizations, recapitalizations and the like); and</w:t>
      </w:r>
    </w:p>
    <w:p>
      <w:pPr>
        <w:spacing w:after="0" w:line="129" w:lineRule="exact"/>
        <w:rPr>
          <w:rFonts w:ascii="Arial" w:cs="Arial" w:eastAsia="Arial" w:hAnsi="Arial"/>
          <w:sz w:val="18"/>
          <w:szCs w:val="18"/>
          <w:color w:val="auto"/>
        </w:rPr>
      </w:pPr>
    </w:p>
    <w:p>
      <w:pPr>
        <w:jc w:val="both"/>
        <w:ind w:left="1300" w:right="120" w:hanging="419"/>
        <w:spacing w:after="0" w:line="311" w:lineRule="auto"/>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Reference Value is less than $18.00 per share (as adjusted for stock splits, stock dividends, reorganizations, recapitalizations and the like) the Private Placement Warrants must also be concurrently called for redemption on the same terms (except as described above with respect to a holder’s ability to cashless exercise its warrants) as the outstanding Public Warrants, as described above.</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numbers in the table below represent the number of shares of our Common Stock that a warrant holder will receive upon exercise in connection with a redemption by us pursuant to this redemption feature, based on the “fair market value” of our Common Stock on the corresponding redemption date (assuming holders elect to exercise their warrants and such warrants are not redeemed for $0.10 per warrant), determined based on the volume-weighted average price of our Common Stock as reported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5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stock prices set forth in the column headings of the table below will be adjusted as of any date on which the number of shares issuable upon exercise of a warrant or the exercise price of the warrant is adjusted as set forth under the heading “</w:t>
      </w:r>
      <w:r>
        <w:rPr>
          <w:rFonts w:ascii="Arial" w:cs="Arial" w:eastAsia="Arial" w:hAnsi="Arial"/>
          <w:sz w:val="16"/>
          <w:szCs w:val="16"/>
          <w:i w:val="1"/>
          <w:iCs w:val="1"/>
          <w:color w:val="auto"/>
        </w:rPr>
        <w:t>-Anti-dilution Adjustments</w:t>
      </w:r>
      <w:r>
        <w:rPr>
          <w:rFonts w:ascii="Arial" w:cs="Arial" w:eastAsia="Arial" w:hAnsi="Arial"/>
          <w:sz w:val="16"/>
          <w:szCs w:val="16"/>
          <w:color w:val="auto"/>
        </w:rPr>
        <w:t>” below. If the number of shares issuable upon exercise of a warrant is adjusted, the adjusted stock prices in the column headings will equal the stock prices immediately prior to such adjustment, multiplied by a fraction, the numerator of which is the exercise price of the warrant after such adjustment and the denominator of which is the exercise price of the warrant immediately after to such adjustment. In such an event, the number of shares in the table below shall be adjusted by multiplying such share amounts by a fraction, the numerator of which is the number of shares deliverable upon exercise of a warrant immediately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such adjustment and the denominator of which is the number of shares deliverable upon exercise of a warrant as so adjusted.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Redemption Date (period to</w:t>
            </w: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7"/>
          </w:tcPr>
          <w:p>
            <w:pPr>
              <w:jc w:val="right"/>
              <w:ind w:right="297"/>
              <w:spacing w:after="0"/>
              <w:rPr>
                <w:sz w:val="20"/>
                <w:szCs w:val="20"/>
                <w:color w:val="auto"/>
              </w:rPr>
            </w:pPr>
            <w:r>
              <w:rPr>
                <w:rFonts w:ascii="Arial" w:cs="Arial" w:eastAsia="Arial" w:hAnsi="Arial"/>
                <w:sz w:val="13"/>
                <w:szCs w:val="13"/>
                <w:b w:val="1"/>
                <w:bCs w:val="1"/>
                <w:color w:val="auto"/>
                <w:w w:val="88"/>
              </w:rPr>
              <w:t>Fair Market Value of Our Common stock</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26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60" w:type="dxa"/>
            <w:vAlign w:val="bottom"/>
            <w:gridSpan w:val="2"/>
          </w:tcPr>
          <w:p>
            <w:pPr>
              <w:ind w:left="20"/>
              <w:spacing w:after="0"/>
              <w:rPr>
                <w:sz w:val="20"/>
                <w:szCs w:val="20"/>
                <w:color w:val="auto"/>
              </w:rPr>
            </w:pPr>
            <w:r>
              <w:rPr>
                <w:rFonts w:ascii="Arial" w:cs="Arial" w:eastAsia="Arial" w:hAnsi="Arial"/>
                <w:sz w:val="13"/>
                <w:szCs w:val="13"/>
                <w:b w:val="1"/>
                <w:bCs w:val="1"/>
                <w:color w:val="auto"/>
              </w:rPr>
              <w:t>expiration of warrants)</w:t>
            </w:r>
          </w:p>
        </w:tc>
        <w:tc>
          <w:tcPr>
            <w:tcW w:w="920" w:type="dxa"/>
            <w:vAlign w:val="bottom"/>
          </w:tcPr>
          <w:p>
            <w:pPr>
              <w:jc w:val="right"/>
              <w:ind w:right="197"/>
              <w:spacing w:after="0"/>
              <w:rPr>
                <w:sz w:val="20"/>
                <w:szCs w:val="20"/>
                <w:color w:val="auto"/>
              </w:rPr>
            </w:pPr>
            <w:r>
              <w:rPr>
                <w:rFonts w:ascii="Arial" w:cs="Arial" w:eastAsia="Arial" w:hAnsi="Arial"/>
                <w:sz w:val="13"/>
                <w:szCs w:val="13"/>
                <w:b w:val="1"/>
                <w:bCs w:val="1"/>
                <w:color w:val="auto"/>
              </w:rPr>
              <w:t>≤$10.00</w:t>
            </w:r>
          </w:p>
        </w:tc>
        <w:tc>
          <w:tcPr>
            <w:tcW w:w="4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rPr>
              <w:t>11.00</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77"/>
              <w:spacing w:after="0"/>
              <w:rPr>
                <w:sz w:val="20"/>
                <w:szCs w:val="20"/>
                <w:color w:val="auto"/>
              </w:rPr>
            </w:pPr>
            <w:r>
              <w:rPr>
                <w:rFonts w:ascii="Arial" w:cs="Arial" w:eastAsia="Arial" w:hAnsi="Arial"/>
                <w:sz w:val="13"/>
                <w:szCs w:val="13"/>
                <w:b w:val="1"/>
                <w:bCs w:val="1"/>
                <w:color w:val="auto"/>
              </w:rPr>
              <w:t>12.00</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b w:val="1"/>
                <w:bCs w:val="1"/>
                <w:color w:val="auto"/>
              </w:rPr>
              <w:t>13.00</w:t>
            </w:r>
          </w:p>
        </w:tc>
        <w:tc>
          <w:tcPr>
            <w:tcW w:w="4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b w:val="1"/>
                <w:bCs w:val="1"/>
                <w:color w:val="auto"/>
              </w:rPr>
              <w:t>14.00</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jc w:val="right"/>
              <w:ind w:right="17"/>
              <w:spacing w:after="0"/>
              <w:rPr>
                <w:sz w:val="20"/>
                <w:szCs w:val="20"/>
                <w:color w:val="auto"/>
              </w:rPr>
            </w:pPr>
            <w:r>
              <w:rPr>
                <w:rFonts w:ascii="Arial" w:cs="Arial" w:eastAsia="Arial" w:hAnsi="Arial"/>
                <w:sz w:val="13"/>
                <w:szCs w:val="13"/>
                <w:b w:val="1"/>
                <w:bCs w:val="1"/>
                <w:color w:val="auto"/>
              </w:rPr>
              <w:t>15.00</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jc w:val="right"/>
              <w:ind w:right="17"/>
              <w:spacing w:after="0"/>
              <w:rPr>
                <w:sz w:val="20"/>
                <w:szCs w:val="20"/>
                <w:color w:val="auto"/>
              </w:rPr>
            </w:pPr>
            <w:r>
              <w:rPr>
                <w:rFonts w:ascii="Arial" w:cs="Arial" w:eastAsia="Arial" w:hAnsi="Arial"/>
                <w:sz w:val="13"/>
                <w:szCs w:val="13"/>
                <w:b w:val="1"/>
                <w:bCs w:val="1"/>
                <w:color w:val="auto"/>
              </w:rPr>
              <w:t>16.00</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jc w:val="right"/>
              <w:ind w:right="37"/>
              <w:spacing w:after="0"/>
              <w:rPr>
                <w:sz w:val="20"/>
                <w:szCs w:val="20"/>
                <w:color w:val="auto"/>
              </w:rPr>
            </w:pPr>
            <w:r>
              <w:rPr>
                <w:rFonts w:ascii="Arial" w:cs="Arial" w:eastAsia="Arial" w:hAnsi="Arial"/>
                <w:sz w:val="13"/>
                <w:szCs w:val="13"/>
                <w:b w:val="1"/>
                <w:bCs w:val="1"/>
                <w:color w:val="auto"/>
              </w:rPr>
              <w:t>17.00</w:t>
            </w:r>
          </w:p>
        </w:tc>
        <w:tc>
          <w:tcPr>
            <w:tcW w:w="220" w:type="dxa"/>
            <w:vAlign w:val="bottom"/>
          </w:tcPr>
          <w:p>
            <w:pPr>
              <w:spacing w:after="0"/>
              <w:rPr>
                <w:sz w:val="13"/>
                <w:szCs w:val="13"/>
                <w:color w:val="auto"/>
              </w:rPr>
            </w:pPr>
          </w:p>
        </w:tc>
        <w:tc>
          <w:tcPr>
            <w:tcW w:w="1000" w:type="dxa"/>
            <w:vAlign w:val="bottom"/>
          </w:tcPr>
          <w:p>
            <w:pPr>
              <w:jc w:val="right"/>
              <w:ind w:right="237"/>
              <w:spacing w:after="0"/>
              <w:rPr>
                <w:sz w:val="20"/>
                <w:szCs w:val="20"/>
                <w:color w:val="auto"/>
              </w:rPr>
            </w:pPr>
            <w:r>
              <w:rPr>
                <w:rFonts w:ascii="Arial" w:cs="Arial" w:eastAsia="Arial" w:hAnsi="Arial"/>
                <w:sz w:val="13"/>
                <w:szCs w:val="13"/>
                <w:b w:val="1"/>
                <w:bCs w:val="1"/>
                <w:color w:val="auto"/>
              </w:rPr>
              <w:t>≥$18.00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140" w:type="dxa"/>
            <w:vAlign w:val="bottom"/>
            <w:tcBorders>
              <w:top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60 months</w:t>
            </w:r>
          </w:p>
        </w:tc>
        <w:tc>
          <w:tcPr>
            <w:tcW w:w="120" w:type="dxa"/>
            <w:vAlign w:val="bottom"/>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0.261</w:t>
            </w:r>
          </w:p>
        </w:tc>
        <w:tc>
          <w:tcPr>
            <w:tcW w:w="24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0.281</w:t>
            </w:r>
          </w:p>
        </w:tc>
        <w:tc>
          <w:tcPr>
            <w:tcW w:w="24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0.297</w:t>
            </w: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0.311</w:t>
            </w:r>
          </w:p>
        </w:tc>
        <w:tc>
          <w:tcPr>
            <w:tcW w:w="22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0.324</w:t>
            </w:r>
          </w:p>
        </w:tc>
        <w:tc>
          <w:tcPr>
            <w:tcW w:w="22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0.337</w:t>
            </w:r>
          </w:p>
        </w:tc>
        <w:tc>
          <w:tcPr>
            <w:tcW w:w="22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0.348</w:t>
            </w:r>
          </w:p>
        </w:tc>
        <w:tc>
          <w:tcPr>
            <w:tcW w:w="22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0.358</w:t>
            </w:r>
          </w:p>
        </w:tc>
        <w:tc>
          <w:tcPr>
            <w:tcW w:w="22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0.361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57 months</w:t>
            </w:r>
          </w:p>
        </w:tc>
        <w:tc>
          <w:tcPr>
            <w:tcW w:w="920" w:type="dxa"/>
            <w:vAlign w:val="bottom"/>
          </w:tcPr>
          <w:p>
            <w:pPr>
              <w:jc w:val="right"/>
              <w:spacing w:after="0"/>
              <w:rPr>
                <w:sz w:val="20"/>
                <w:szCs w:val="20"/>
                <w:color w:val="auto"/>
              </w:rPr>
            </w:pPr>
            <w:r>
              <w:rPr>
                <w:rFonts w:ascii="Arial" w:cs="Arial" w:eastAsia="Arial" w:hAnsi="Arial"/>
                <w:sz w:val="13"/>
                <w:szCs w:val="13"/>
                <w:color w:val="auto"/>
              </w:rPr>
              <w:t>0.257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0.277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0.294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0.310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0.324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0.337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0.348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0.358</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0.361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54 months</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0.252</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0.272</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0.291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0.307</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0.322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0.335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0.347</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0.357</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0.361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51 months</w:t>
            </w:r>
          </w:p>
        </w:tc>
        <w:tc>
          <w:tcPr>
            <w:tcW w:w="920" w:type="dxa"/>
            <w:vAlign w:val="bottom"/>
          </w:tcPr>
          <w:p>
            <w:pPr>
              <w:jc w:val="right"/>
              <w:spacing w:after="0"/>
              <w:rPr>
                <w:sz w:val="20"/>
                <w:szCs w:val="20"/>
                <w:color w:val="auto"/>
              </w:rPr>
            </w:pPr>
            <w:r>
              <w:rPr>
                <w:rFonts w:ascii="Arial" w:cs="Arial" w:eastAsia="Arial" w:hAnsi="Arial"/>
                <w:sz w:val="13"/>
                <w:szCs w:val="13"/>
                <w:color w:val="auto"/>
              </w:rPr>
              <w:t>0.246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0.268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0.287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0.304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0.320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0.333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0.346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0.357</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0.361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48 months</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0.241</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0.263</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0.283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0.301</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0.317</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0.332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0.344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0.356</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0.361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45 months</w:t>
            </w:r>
          </w:p>
        </w:tc>
        <w:tc>
          <w:tcPr>
            <w:tcW w:w="920" w:type="dxa"/>
            <w:vAlign w:val="bottom"/>
          </w:tcPr>
          <w:p>
            <w:pPr>
              <w:jc w:val="right"/>
              <w:spacing w:after="0"/>
              <w:rPr>
                <w:sz w:val="20"/>
                <w:szCs w:val="20"/>
                <w:color w:val="auto"/>
              </w:rPr>
            </w:pPr>
            <w:r>
              <w:rPr>
                <w:rFonts w:ascii="Arial" w:cs="Arial" w:eastAsia="Arial" w:hAnsi="Arial"/>
                <w:sz w:val="13"/>
                <w:szCs w:val="13"/>
                <w:color w:val="auto"/>
              </w:rPr>
              <w:t>0.235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0.258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0.279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0.298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0.315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0.330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0.343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0.356</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0.361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42 months</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0.228</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0.252</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0.274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0.294</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0.312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0.328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0.342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0.355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0.361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39 months</w:t>
            </w:r>
          </w:p>
        </w:tc>
        <w:tc>
          <w:tcPr>
            <w:tcW w:w="920" w:type="dxa"/>
            <w:vAlign w:val="bottom"/>
          </w:tcPr>
          <w:p>
            <w:pPr>
              <w:jc w:val="right"/>
              <w:spacing w:after="0"/>
              <w:rPr>
                <w:sz w:val="20"/>
                <w:szCs w:val="20"/>
                <w:color w:val="auto"/>
              </w:rPr>
            </w:pPr>
            <w:r>
              <w:rPr>
                <w:rFonts w:ascii="Arial" w:cs="Arial" w:eastAsia="Arial" w:hAnsi="Arial"/>
                <w:sz w:val="13"/>
                <w:szCs w:val="13"/>
                <w:color w:val="auto"/>
              </w:rPr>
              <w:t>0.221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0.246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0.269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0.290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0.309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0.340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0.354</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0.361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36 months</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0.213</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0.239</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0.263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0.285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0.305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0.323</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0.339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0.353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0.361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33 months</w:t>
            </w:r>
          </w:p>
        </w:tc>
        <w:tc>
          <w:tcPr>
            <w:tcW w:w="920" w:type="dxa"/>
            <w:vAlign w:val="bottom"/>
          </w:tcPr>
          <w:p>
            <w:pPr>
              <w:jc w:val="right"/>
              <w:spacing w:after="0"/>
              <w:rPr>
                <w:sz w:val="20"/>
                <w:szCs w:val="20"/>
                <w:color w:val="auto"/>
              </w:rPr>
            </w:pPr>
            <w:r>
              <w:rPr>
                <w:rFonts w:ascii="Arial" w:cs="Arial" w:eastAsia="Arial" w:hAnsi="Arial"/>
                <w:sz w:val="13"/>
                <w:szCs w:val="13"/>
                <w:color w:val="auto"/>
              </w:rPr>
              <w:t>0.205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0.232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0.257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0.280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0.301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0.320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0.337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0.352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0.361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30 months</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0.196</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0.224</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0.250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0.274</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0.297</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0.316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0.335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0.351</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0.361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27 months</w:t>
            </w:r>
          </w:p>
        </w:tc>
        <w:tc>
          <w:tcPr>
            <w:tcW w:w="920" w:type="dxa"/>
            <w:vAlign w:val="bottom"/>
          </w:tcPr>
          <w:p>
            <w:pPr>
              <w:jc w:val="right"/>
              <w:spacing w:after="0"/>
              <w:rPr>
                <w:sz w:val="20"/>
                <w:szCs w:val="20"/>
                <w:color w:val="auto"/>
              </w:rPr>
            </w:pPr>
            <w:r>
              <w:rPr>
                <w:rFonts w:ascii="Arial" w:cs="Arial" w:eastAsia="Arial" w:hAnsi="Arial"/>
                <w:sz w:val="13"/>
                <w:szCs w:val="13"/>
                <w:color w:val="auto"/>
              </w:rPr>
              <w:t>0.185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0.214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0.242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0.268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0.291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0.313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0.332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0.350</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0.361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24 months</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0.173</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0.204</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0.233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0.260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0.285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0.308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0.329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0.348</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0.361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21 months</w:t>
            </w:r>
          </w:p>
        </w:tc>
        <w:tc>
          <w:tcPr>
            <w:tcW w:w="920" w:type="dxa"/>
            <w:vAlign w:val="bottom"/>
          </w:tcPr>
          <w:p>
            <w:pPr>
              <w:jc w:val="right"/>
              <w:spacing w:after="0"/>
              <w:rPr>
                <w:sz w:val="20"/>
                <w:szCs w:val="20"/>
                <w:color w:val="auto"/>
              </w:rPr>
            </w:pPr>
            <w:r>
              <w:rPr>
                <w:rFonts w:ascii="Arial" w:cs="Arial" w:eastAsia="Arial" w:hAnsi="Arial"/>
                <w:sz w:val="13"/>
                <w:szCs w:val="13"/>
                <w:color w:val="auto"/>
              </w:rPr>
              <w:t>0.161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0.193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0.223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0.252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0.279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0.304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0.326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0.347</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0.361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18 months</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0.146</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0.179</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0.211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0.242</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0.271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0.298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0.322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0.345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0.361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15 months</w:t>
            </w:r>
          </w:p>
        </w:tc>
        <w:tc>
          <w:tcPr>
            <w:tcW w:w="920" w:type="dxa"/>
            <w:vAlign w:val="bottom"/>
          </w:tcPr>
          <w:p>
            <w:pPr>
              <w:jc w:val="right"/>
              <w:spacing w:after="0"/>
              <w:rPr>
                <w:sz w:val="20"/>
                <w:szCs w:val="20"/>
                <w:color w:val="auto"/>
              </w:rPr>
            </w:pPr>
            <w:r>
              <w:rPr>
                <w:rFonts w:ascii="Arial" w:cs="Arial" w:eastAsia="Arial" w:hAnsi="Arial"/>
                <w:sz w:val="13"/>
                <w:szCs w:val="13"/>
                <w:color w:val="auto"/>
              </w:rPr>
              <w:t>0.130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0.164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0.197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0.230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0.262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0.291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0.317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0.342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0.361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12 months</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0.111</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0.146</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0.181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0.216</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0.250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0.282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0.312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0.339</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0.361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9 months</w:t>
            </w:r>
          </w:p>
        </w:tc>
        <w:tc>
          <w:tcPr>
            <w:tcW w:w="920" w:type="dxa"/>
            <w:vAlign w:val="bottom"/>
          </w:tcPr>
          <w:p>
            <w:pPr>
              <w:jc w:val="right"/>
              <w:spacing w:after="0"/>
              <w:rPr>
                <w:sz w:val="20"/>
                <w:szCs w:val="20"/>
                <w:color w:val="auto"/>
              </w:rPr>
            </w:pPr>
            <w:r>
              <w:rPr>
                <w:rFonts w:ascii="Arial" w:cs="Arial" w:eastAsia="Arial" w:hAnsi="Arial"/>
                <w:sz w:val="13"/>
                <w:szCs w:val="13"/>
                <w:color w:val="auto"/>
              </w:rPr>
              <w:t>0.090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0.125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0.162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0.199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0.237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0.272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0.305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0.336</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0.361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6 months</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0.065</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0.099</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0.137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0.178</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0.219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0.259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0.296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0.331</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0.361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3 months</w:t>
            </w:r>
          </w:p>
        </w:tc>
        <w:tc>
          <w:tcPr>
            <w:tcW w:w="920" w:type="dxa"/>
            <w:vAlign w:val="bottom"/>
          </w:tcPr>
          <w:p>
            <w:pPr>
              <w:jc w:val="right"/>
              <w:spacing w:after="0"/>
              <w:rPr>
                <w:sz w:val="20"/>
                <w:szCs w:val="20"/>
                <w:color w:val="auto"/>
              </w:rPr>
            </w:pPr>
            <w:r>
              <w:rPr>
                <w:rFonts w:ascii="Arial" w:cs="Arial" w:eastAsia="Arial" w:hAnsi="Arial"/>
                <w:sz w:val="13"/>
                <w:szCs w:val="13"/>
                <w:color w:val="auto"/>
              </w:rPr>
              <w:t>0.034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0.065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0.104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0.150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0.197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0.243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0.286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0.326</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0.361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0 months</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0.042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0.115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0.179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0.233</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0.281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0.323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0.361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exact fair market value and redemption date may not be set forth in the table above, in which case, if the fair market value is between two values in the table or the redemption date is between two redemption dates in the table, the number of shares of our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volume-weighted average price of our Common Stock as reported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Common Stock for each whole warrant. For an example where the exact fair market value and redemption date are not as set forth in the table above, if the volume-weighted average price of our Common Stock as reported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Common Stock for each whole warrant. In no event will the warrants be exercisable in connection with this redemption feature for more than 0.361 Common Stock per warrant (subject to adjustment).</w:t>
      </w:r>
    </w:p>
    <w:p>
      <w:pPr>
        <w:spacing w:after="0" w:line="1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redemption feature differs from the typical warrant redemption features used in many other blank check offerings, which typically only provide for a redemption of warrants (other than the Private Placement Warrants) when the trading price for the shares of Common Stock exceeds $18.00 per share for a specified period of time. This redemption feature is structured to allow for all of the outstanding warrants to be redeemed when the shares of our Common Stock are trading at or above $10.00 per share, which may be at a time when the trading price of our shares of Common Stock is below the exercise price of the warrants. We have established this redemption feature to provide us with the flexibility to redeem the warrants without the warrants having to reach the $18.00 per share threshold set forth above under “</w:t>
      </w:r>
      <w:r>
        <w:rPr>
          <w:rFonts w:ascii="Arial" w:cs="Arial" w:eastAsia="Arial" w:hAnsi="Arial"/>
          <w:sz w:val="16"/>
          <w:szCs w:val="16"/>
          <w:i w:val="1"/>
          <w:iCs w:val="1"/>
          <w:color w:val="auto"/>
        </w:rPr>
        <w:t>-Redemption of Warrants When the Price per Share of Our Common Stock Equals or Exceeds $18.00</w:t>
      </w:r>
      <w:r>
        <w:rPr>
          <w:rFonts w:ascii="Arial" w:cs="Arial" w:eastAsia="Arial" w:hAnsi="Arial"/>
          <w:sz w:val="16"/>
          <w:szCs w:val="16"/>
          <w:color w:val="auto"/>
        </w:rPr>
        <w:t>.” Holders choosing to exercise their warrants in connection with a redemption pursuant to this feature will, in effect, receive a number of shares for their warrants based on an option pricing model with a fixed volatility input as of January 14, 2021. This redemption right provides us with an additional mechanism by which to redeem all of the outstanding warrants, and therefore have certainty as to our capital structure.</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stated above, we can redeem the warrants when the shares of our Common Stock are trading at a price starting at $10.00, which is below the exercise price of $11.50, because it will provide certainty with respect to our capital structure and cash position while providing warrant holders with the opportunity to exercise their warrants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8" w:name="page119"/>
    <w:bookmarkEnd w:id="118"/>
    <w:p>
      <w:pPr>
        <w:jc w:val="both"/>
        <w:spacing w:after="0" w:line="259" w:lineRule="auto"/>
        <w:rPr>
          <w:sz w:val="20"/>
          <w:szCs w:val="20"/>
          <w:color w:val="auto"/>
        </w:rPr>
      </w:pPr>
      <w:r>
        <w:rPr>
          <w:rFonts w:ascii="Arial" w:cs="Arial" w:eastAsia="Arial" w:hAnsi="Arial"/>
          <w:sz w:val="18"/>
          <w:szCs w:val="18"/>
          <w:color w:val="auto"/>
        </w:rPr>
        <w:t>cashless basis for the applicable number of shares. If we choose to redeem the warrants when the shares of our Common Stock are trading at a price below the exercise price of the warrants, this could result in the warrant holders receiving fewer shares of Common Stock than they would have received if they had chosen to wait to exercise their warrants for Common Stock if and when such shares of Common Stock were trading at a price higher than the exercise price of $11.50.</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 fractional shares of our Common Stock will be issued upon exercise. If, upon exercise, a holder would be entitled to receive a fractional interest in a share, we will round down to the nearest whole number of the number of shares of our Common Stock to be issued to the holder. If, at the time of redemption, the warrants are exercisable for a security other than the shares of our Common Stock pursuant to the Warrant Agreement, the warrants may be exercised for such security. At such time as the warrants become exercisable for a security other than the shares of our Common Stock, the Company will use its commercially reasonable efforts to register under the Securities Act the security issuable upon the exercise of the warrants.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Maximum Percentage</w:t>
      </w:r>
      <w:r>
        <w:rPr>
          <w:rFonts w:ascii="Arial" w:cs="Arial" w:eastAsia="Arial" w:hAnsi="Arial"/>
          <w:sz w:val="18"/>
          <w:szCs w:val="18"/>
          <w:color w:val="auto"/>
        </w:rPr>
        <w:t>. A holder of a warrant may notify us in writing in the event it elects to be subject to a requirement that such holder will not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exercise such warrant, to the extent that after giving effect to such exercise, such person (together with such person’s affiliates), to the Warrant Agent’s actual knowledge, would beneficially own in excess of 4.9% or 9.8% (as specified by the holder) of the shares of our Common Stock issued and outstanding immediately after giving effect to such exercise.</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Anti-dilution Adjustments</w:t>
      </w:r>
      <w:r>
        <w:rPr>
          <w:rFonts w:ascii="Arial" w:cs="Arial" w:eastAsia="Arial" w:hAnsi="Arial"/>
          <w:sz w:val="16"/>
          <w:szCs w:val="16"/>
          <w:color w:val="auto"/>
        </w:rPr>
        <w:t>. If the number of outstanding shares of our Common Stock is increased by a stock capitalization or stock dividend payable in</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Common Stock, or by a split-up of common stock or other similar event, then, on the effective date of such stock capitalization or stock dividend, split-up or similar event, the number of shares of our Common Stock issuable on exercise of each warrant will be increased in proportion to such increase in the outstanding shares of common stock. A rights offering to holders of common stock entitling holders to purchase Common Stock at a price less than the “historical fair market value” (as defined below) will be deemed a stock dividend of a number of shares of our Common Stock equal to the product of (i) the number of shares of our Common Stock actually sold in such rights offering (or issuable under any other equity securities sold in such rights offering that are convertible into or exercisable for Common Stock) and (ii) one minus the quotient of (x) the price per share of our Common Stock paid in such rights offering and (y) the historical fair market value. For these purposes, (i) if the rights offering is for securities convertible into or exercisable for shares of our Common Stock, in determining the price payable for Common Stock, there will be taken into account any consideration received for such rights, as well as any additional amount payable upon exercise or conversion and (ii) “historical fair market value” means the volume-weighted average price of shares of our Common Stock as reported during the 10 trading day period ending on the trading day prior to the first date on which the shares of our Common Stock trade on the applicable exchange or in the applicable market, regular way, without the right to receive such rights.</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the holders of shares of our Common Stock on account of such Common Stock (or other securities into which the warrants are convertible), other than (a) as described above and (b) any cash dividends or cash distributions which, when combined on a per share basis with all other cash dividends and cash distributions paid on the shares of our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our Common Stock issuable on exercise of each warrant) but only with respect to the amount of the aggregate 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share of our Common Stock in respect of such event.</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share split or reclassification of our Common Stock or other similar event, then, on the effective date of such consolidation, combination, reverse share split, reclassification or similar event, the number of shares of our Common Stock issuable on exercise of each warrant will be decreased in proportion to such decrease in outstanding shares of our Common Stock.</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Whenever the number of shares of our Common Stock purchasable upon the exercise of the warrants is adjusted, as described above, the warrant exercise price will be adjusted by multiplying the warrant exercise price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9" w:name="page120"/>
    <w:bookmarkEnd w:id="119"/>
    <w:p>
      <w:pPr>
        <w:jc w:val="both"/>
        <w:spacing w:after="0" w:line="263" w:lineRule="auto"/>
        <w:rPr>
          <w:sz w:val="20"/>
          <w:szCs w:val="20"/>
          <w:color w:val="auto"/>
        </w:rPr>
      </w:pPr>
      <w:r>
        <w:rPr>
          <w:rFonts w:ascii="Arial" w:cs="Arial" w:eastAsia="Arial" w:hAnsi="Arial"/>
          <w:sz w:val="18"/>
          <w:szCs w:val="18"/>
          <w:color w:val="auto"/>
        </w:rPr>
        <w:t>prior to such adjustment by a fraction (x) the numerator of which will be the number of shares of our Common Stock purchasable upon the exercise of the warrants immediately prior to such adjustment and (y) the denominator of which will be the number of shares of our Common Stock so purchasable immediately thereafter.</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case of any reclassification or reorganization of the outstanding Common Stock (other than those described above or that solely affects the par value of such Common Stock), or in the case of any merger or consolidation of us with or into another corporation (other than a consolidation or merger in which we are the continuing corporation and that does not result in any reclassification or reorganization of our outstanding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our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our Common Stock in such a transaction is payable in the form of our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warrants were issued in registered form under a warrant agreement between Continental Stock Transfer &amp; Trust Company, as Warrant Agent, and Rotor. The Warrant Agreement provides that the terms of the warrants may be amended without the consent of any holder to cure any ambiguity or correct any defective provision or mistake, including to conform the provisions of the Warrant Agreement to the description of the terms of the warrants and the Warrant Agreement, but requires the approval by the holders of at least 65% of the then-outstanding Public Warrants to make any change that adversely affects the interests of the registered holders.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Common Stock. After the issuance of our Common Stock upon exercise of the warrants, each holder will be entitled to one vote for each share held of record on all matters to be voted on by stockholders.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down to the nearest whole number, the number of shares of our Common Stock to be issued to the warrant holder.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Private Placement Warrants (including the shares of our Common Stock issuable upon exercise of the Private Placement Warrants) will not be transferable, assignable or salable until 30 days after the Closing (except pursuant to limited exceptions as described under “</w:t>
      </w:r>
      <w:r>
        <w:rPr>
          <w:rFonts w:ascii="Arial" w:cs="Arial" w:eastAsia="Arial" w:hAnsi="Arial"/>
          <w:sz w:val="16"/>
          <w:szCs w:val="16"/>
          <w:i w:val="1"/>
          <w:iCs w:val="1"/>
          <w:color w:val="auto"/>
        </w:rPr>
        <w:t>-Restrictions on Transfers of</w:t>
      </w:r>
      <w:r>
        <w:rPr>
          <w:rFonts w:ascii="Arial" w:cs="Arial" w:eastAsia="Arial" w:hAnsi="Arial"/>
          <w:sz w:val="16"/>
          <w:szCs w:val="16"/>
          <w:color w:val="auto"/>
        </w:rPr>
        <w:t xml:space="preserve"> </w:t>
      </w:r>
      <w:r>
        <w:rPr>
          <w:rFonts w:ascii="Arial" w:cs="Arial" w:eastAsia="Arial" w:hAnsi="Arial"/>
          <w:sz w:val="16"/>
          <w:szCs w:val="16"/>
          <w:i w:val="1"/>
          <w:iCs w:val="1"/>
          <w:color w:val="auto"/>
        </w:rPr>
        <w:t>Founder Shares and Private Placement Warrants</w:t>
      </w:r>
      <w:r>
        <w:rPr>
          <w:rFonts w:ascii="Arial" w:cs="Arial" w:eastAsia="Arial" w:hAnsi="Arial"/>
          <w:sz w:val="16"/>
          <w:szCs w:val="16"/>
          <w:color w:val="auto"/>
        </w:rPr>
        <w:t>,” to our officers and directors and other persons or entities affiliated with the initial purchasers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Placement Warrants) and they will not be redeemable by us so long as they are held by the Sponsor or its permitted transferees (except as otherwise set forth herein). The initial purchasers or their permitted transferees have the option to exercise the Private Placement Warrants on a cashless basis. Except as described herein, the Private Placement Warrants have terms and provisions that are identical to those of the Public Warrants. If the Private Placement Warrants are held by holders other than the initial purchasers or their permitted transferees, the Private Placement Warrants will be redeemable by us in all redemption scenarios and exercisable by the holders on the same basis as the 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0" w:name="page121"/>
    <w:bookmarkEnd w:id="120"/>
    <w:p>
      <w:pPr>
        <w:ind w:right="60"/>
        <w:spacing w:after="0" w:line="271" w:lineRule="auto"/>
        <w:rPr>
          <w:sz w:val="20"/>
          <w:szCs w:val="20"/>
          <w:color w:val="auto"/>
        </w:rPr>
      </w:pPr>
      <w:r>
        <w:rPr>
          <w:rFonts w:ascii="Arial" w:cs="Arial" w:eastAsia="Arial" w:hAnsi="Arial"/>
          <w:sz w:val="17"/>
          <w:szCs w:val="17"/>
          <w:color w:val="auto"/>
        </w:rPr>
        <w:t>The redemption rights described under “</w:t>
      </w:r>
      <w:r>
        <w:rPr>
          <w:rFonts w:ascii="Arial" w:cs="Arial" w:eastAsia="Arial" w:hAnsi="Arial"/>
          <w:sz w:val="17"/>
          <w:szCs w:val="17"/>
          <w:i w:val="1"/>
          <w:iCs w:val="1"/>
          <w:color w:val="auto"/>
        </w:rPr>
        <w:t>-Redemption of Warrants When the Price per Share of Our Common Stock Equals or Exceeds $10.00</w:t>
      </w:r>
      <w:r>
        <w:rPr>
          <w:rFonts w:ascii="Arial" w:cs="Arial" w:eastAsia="Arial" w:hAnsi="Arial"/>
          <w:sz w:val="17"/>
          <w:szCs w:val="17"/>
          <w:color w:val="auto"/>
        </w:rPr>
        <w:t>,” will not apply to the Private Placement Warrants if at the time of redemption the Private Placement Warrants continue to be held by the initial purchasers or their permitted transferees under the Warrant Agreement. If holders of the Private Placement Warrants elect to exercise them on a cashless basis, they would pay the exercise price by surrendering his, her or its warrants for that number of shares of our Common Stock equal to the quotient obtained by dividing (x) the product of the number of shares of our Common Stock underlying the warrants, multiplied by the excess of the “historical fair market value” (defined below) over the exercise price of the warrants by (y) the historical fair market value. For these purposes, the “historical fair market value” shall mean the volume-weighted average sale price of the shares of our Common Stock for the 10 trading days ending on the third trading day prior to the date on which the notice of warrant exercise is received by the Warrant Agent.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Former Old Sarcos Stockholders</w:t>
      </w:r>
    </w:p>
    <w:p>
      <w:pPr>
        <w:spacing w:after="0" w:line="18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Pursuant to the Bylaws and lock-up agreements entered into with certain securityholders (“Old Sarcos Lock-up Agreements”), stockholders of the Company prior to the Closing (which we refer to as “Old Sarcos”), and certain equity award recipients are subject to the following lock-up periods.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If the Common Stock was issued from the exchange or conversion of Old Sarcos Common Stock, Old Sarcos options, Old Sarcos restricted stock awards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Old Sarcos restricted stock unit awards, then:</w:t>
      </w:r>
    </w:p>
    <w:p>
      <w:pPr>
        <w:spacing w:after="0" w:line="184" w:lineRule="exact"/>
        <w:rPr>
          <w:sz w:val="20"/>
          <w:szCs w:val="20"/>
          <w:color w:val="auto"/>
        </w:rPr>
      </w:pPr>
    </w:p>
    <w:p>
      <w:pPr>
        <w:ind w:left="1380" w:hanging="454"/>
        <w:spacing w:after="0"/>
        <w:tabs>
          <w:tab w:leader="none" w:pos="1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twenty percent (20%) of the Common Stock became transferable at the close of business on March 23, 2022; and;</w:t>
      </w:r>
    </w:p>
    <w:p>
      <w:pPr>
        <w:spacing w:after="0" w:line="211" w:lineRule="exact"/>
        <w:rPr>
          <w:rFonts w:ascii="Arial" w:cs="Arial" w:eastAsia="Arial" w:hAnsi="Arial"/>
          <w:sz w:val="18"/>
          <w:szCs w:val="18"/>
          <w:color w:val="auto"/>
        </w:rPr>
      </w:pPr>
    </w:p>
    <w:p>
      <w:pPr>
        <w:jc w:val="both"/>
        <w:ind w:left="1380" w:right="20" w:hanging="454"/>
        <w:spacing w:after="0" w:line="279" w:lineRule="auto"/>
        <w:tabs>
          <w:tab w:leader="none" w:pos="13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remaining eighty percent (80%) of the Common Stock may only be transferred beginning upon the earlier to occur of (a) such time as the post-combination company or any of its subsidiaries have delivered to one or more customers at least 20 Guardian XO and/or Guardian XT and/or Sapien commercial units (but in no event prior to the close of business on the one year anniversary of the Closing) and (b) the close of business on the two year anniversary of the Closing, or September 24, 2023.</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24, 2022, the lock-up periods under the Old Sarcos Lock-up Agreements and the Bylaws applicable to the Common Stock issued from the exchange or conversion of shares of Old Sarcos preferred stock or warrants have fully expired.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RE2 Stockholders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Concurrently with the execution of the Agreement and Plan of Reorganization (the “RE2 Merger Agreement”) with RE2, Inc. (“RE2”), we entered into a lock-up agreement with Jorgen Pedersen, President and Chief Executive Officer of RE2, pursuant to which, among other things, Mr. Pedersen agreed to the following transfer restrictions following closing of the RE2 acquisition:</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both"/>
        <w:ind w:left="1380" w:right="20"/>
        <w:spacing w:after="0" w:line="302" w:lineRule="auto"/>
        <w:rPr>
          <w:sz w:val="20"/>
          <w:szCs w:val="20"/>
          <w:color w:val="auto"/>
        </w:rPr>
      </w:pPr>
      <w:r>
        <w:rPr>
          <w:rFonts w:ascii="Arial" w:cs="Arial" w:eastAsia="Arial" w:hAnsi="Arial"/>
          <w:sz w:val="16"/>
          <w:szCs w:val="16"/>
          <w:color w:val="auto"/>
        </w:rPr>
        <w:t>with respect to twenty percent (20%) of the shares received in connection with the RE2 Merger Agreement (the “Consideration Shares”), such shares became transferable on the trading day following May 23, 2022, the date on which the registration statement on Form S-1 for the resale of the Consideration Shares was declared effective by the Securities and Exchange Commission; and</w:t>
      </w:r>
    </w:p>
    <w:p>
      <w:pPr>
        <w:spacing w:after="0" w:line="142" w:lineRule="exact"/>
        <w:rPr>
          <w:sz w:val="20"/>
          <w:szCs w:val="20"/>
          <w:color w:val="auto"/>
        </w:rPr>
      </w:pPr>
    </w:p>
    <w:p>
      <w:pPr>
        <w:jc w:val="both"/>
        <w:ind w:left="1380" w:right="20" w:hanging="454"/>
        <w:spacing w:after="0" w:line="259" w:lineRule="auto"/>
        <w:tabs>
          <w:tab w:leader="none" w:pos="1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the remaining eighty percent (80%) of the Consideration Shares, such shares may be transferred beginning upon the earlier to occur of (a) such time as the Company or any of its subsidiaries have delivered to one or more customers at least twenty (20) Guardian XO and/or Guardian XT and/or Sapien commercial units (but in no event prior to the close of business on September 24, 2022) and (b) the close of business on September 24, 2023.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RE2 stockholders who were RE2 employees at the closing of the RE2 acquisition are also subject to the same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such claims and losses that may arise out of acts performed or omitted for its activities in that capacity, except for any claims and losses due to any gross negligence or intentional misconduct of the indemnified person or entity.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the Company’s Certificate of Incorporation and Bylaws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provisions of our Charter and Bylaws which are summarized below may have the effect of delaying, deferring or discouraging another person from acquiring control of us. They are also designed, in part, to encourage persons seeking to acquire control of the Company to negotiate first with our board of directors (the “Board”). We believe that the benefits of increased protection of our ability to negotiate with an unfriendly or unsolicited acquirer will outweigh the disadvantages of discouraging a proposal to acquire the post-combination company because negotiation of these proposals could result in an improvement of their terms.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governed by the provisions of Section 203 of the Delaware General Corporation Law (the “DGCL”).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157" w:lineRule="exact"/>
        <w:rPr>
          <w:sz w:val="20"/>
          <w:szCs w:val="20"/>
          <w:color w:val="auto"/>
        </w:rPr>
      </w:pPr>
    </w:p>
    <w:p>
      <w:pPr>
        <w:ind w:left="1380" w:right="20" w:hanging="454"/>
        <w:spacing w:after="0" w:line="277" w:lineRule="auto"/>
        <w:tabs>
          <w:tab w:leader="none" w:pos="13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business combination or transaction which resulted in the stockholder becoming an interested stockholder was approved by the Board prior to the time that the stockholder became an interested stockholder;</w:t>
      </w:r>
    </w:p>
    <w:p>
      <w:pPr>
        <w:spacing w:after="0" w:line="156" w:lineRule="exact"/>
        <w:rPr>
          <w:rFonts w:ascii="Arial" w:cs="Arial" w:eastAsia="Arial" w:hAnsi="Arial"/>
          <w:sz w:val="18"/>
          <w:szCs w:val="18"/>
          <w:color w:val="auto"/>
        </w:rPr>
      </w:pPr>
    </w:p>
    <w:p>
      <w:pPr>
        <w:jc w:val="both"/>
        <w:ind w:left="1380" w:right="20" w:hanging="454"/>
        <w:spacing w:after="0" w:line="257" w:lineRule="auto"/>
        <w:tabs>
          <w:tab w:leader="none" w:pos="13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74" w:lineRule="exact"/>
        <w:rPr>
          <w:rFonts w:ascii="Arial" w:cs="Arial" w:eastAsia="Arial" w:hAnsi="Arial"/>
          <w:sz w:val="18"/>
          <w:szCs w:val="18"/>
          <w:color w:val="auto"/>
        </w:rPr>
      </w:pPr>
    </w:p>
    <w:p>
      <w:pPr>
        <w:jc w:val="both"/>
        <w:ind w:left="1380" w:right="20" w:hanging="454"/>
        <w:spacing w:after="0" w:line="263" w:lineRule="auto"/>
        <w:tabs>
          <w:tab w:leader="none" w:pos="13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Section 203 defines a business combination to include:</w:t>
      </w:r>
    </w:p>
    <w:p>
      <w:pPr>
        <w:spacing w:after="0" w:line="212" w:lineRule="exact"/>
        <w:rPr>
          <w:sz w:val="20"/>
          <w:szCs w:val="20"/>
          <w:color w:val="auto"/>
        </w:rPr>
      </w:pPr>
    </w:p>
    <w:p>
      <w:pPr>
        <w:ind w:left="1380" w:right="20" w:hanging="454"/>
        <w:spacing w:after="0" w:line="277" w:lineRule="auto"/>
        <w:tabs>
          <w:tab w:leader="none" w:pos="1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mergers or consolidations involving the corporation, or any direct or indirect majority-owned subsidiary of the corporation, and the interested stockholder or any other entity if the merger or consolidation is caused by the interested stockholder;</w:t>
      </w:r>
    </w:p>
    <w:p>
      <w:pPr>
        <w:spacing w:after="0" w:line="156" w:lineRule="exact"/>
        <w:rPr>
          <w:rFonts w:ascii="Arial" w:cs="Arial" w:eastAsia="Arial" w:hAnsi="Arial"/>
          <w:sz w:val="18"/>
          <w:szCs w:val="18"/>
          <w:color w:val="auto"/>
        </w:rPr>
      </w:pPr>
    </w:p>
    <w:p>
      <w:pPr>
        <w:ind w:left="1380" w:right="20" w:hanging="454"/>
        <w:spacing w:after="0" w:line="277" w:lineRule="auto"/>
        <w:tabs>
          <w:tab w:leader="none" w:pos="1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 or any direct or indirect majority-owned subsidiary of the corporation;</w:t>
      </w:r>
    </w:p>
    <w:p>
      <w:pPr>
        <w:spacing w:after="0" w:line="156" w:lineRule="exact"/>
        <w:rPr>
          <w:rFonts w:ascii="Arial" w:cs="Arial" w:eastAsia="Arial" w:hAnsi="Arial"/>
          <w:sz w:val="18"/>
          <w:szCs w:val="18"/>
          <w:color w:val="auto"/>
        </w:rPr>
      </w:pPr>
    </w:p>
    <w:p>
      <w:pPr>
        <w:ind w:left="1380" w:right="20" w:hanging="454"/>
        <w:spacing w:after="0" w:line="308" w:lineRule="auto"/>
        <w:tabs>
          <w:tab w:leader="none" w:pos="1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subject to exceptions, any transaction that results in the issuance or transfer by the corporation, or any direct or indirect majority-owned subsidiary of the corporation, of any stock of the corporation or such subsidiary to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2" w:name="page123"/>
    <w:bookmarkEnd w:id="122"/>
    <w:p>
      <w:pPr>
        <w:jc w:val="both"/>
        <w:ind w:left="1380" w:right="20" w:hanging="454"/>
        <w:spacing w:after="0" w:line="263" w:lineRule="auto"/>
        <w:tabs>
          <w:tab w:leader="none" w:pos="1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p>
      <w:pPr>
        <w:spacing w:after="0" w:line="170" w:lineRule="exact"/>
        <w:rPr>
          <w:rFonts w:ascii="Arial" w:cs="Arial" w:eastAsia="Arial" w:hAnsi="Arial"/>
          <w:sz w:val="18"/>
          <w:szCs w:val="18"/>
          <w:color w:val="auto"/>
        </w:rPr>
      </w:pPr>
    </w:p>
    <w:p>
      <w:pPr>
        <w:ind w:left="1380" w:right="20" w:hanging="454"/>
        <w:spacing w:after="0" w:line="277" w:lineRule="auto"/>
        <w:tabs>
          <w:tab w:leader="none" w:pos="1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may have the effect of delaying, deferring or preventing changes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Provisions of the Charter and the Bylaws include a number of provisions that could deter hostile takeovers or delay or prevent changes in control of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or management. Among other things, the Charter and the Bylaws:</w:t>
      </w:r>
    </w:p>
    <w:p>
      <w:pPr>
        <w:spacing w:after="0" w:line="197" w:lineRule="exact"/>
        <w:rPr>
          <w:sz w:val="20"/>
          <w:szCs w:val="20"/>
          <w:color w:val="auto"/>
        </w:rPr>
      </w:pPr>
    </w:p>
    <w:p>
      <w:pPr>
        <w:ind w:left="1380" w:hanging="454"/>
        <w:spacing w:after="0"/>
        <w:tabs>
          <w:tab w:leader="none" w:pos="13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permit our Board to issue shares of preferred stock, with any powers, rights, preferences and privileges as they may designate;</w:t>
      </w:r>
    </w:p>
    <w:p>
      <w:pPr>
        <w:spacing w:after="0" w:line="250" w:lineRule="exact"/>
        <w:rPr>
          <w:rFonts w:ascii="Arial" w:cs="Arial" w:eastAsia="Arial" w:hAnsi="Arial"/>
          <w:sz w:val="17"/>
          <w:szCs w:val="17"/>
          <w:color w:val="auto"/>
        </w:rPr>
      </w:pPr>
    </w:p>
    <w:p>
      <w:pPr>
        <w:ind w:left="1380" w:hanging="454"/>
        <w:spacing w:after="0"/>
        <w:tabs>
          <w:tab w:leader="none" w:pos="1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w:t>
      </w:r>
    </w:p>
    <w:p>
      <w:pPr>
        <w:spacing w:after="0" w:line="238" w:lineRule="exact"/>
        <w:rPr>
          <w:rFonts w:ascii="Arial" w:cs="Arial" w:eastAsia="Arial" w:hAnsi="Arial"/>
          <w:sz w:val="18"/>
          <w:szCs w:val="18"/>
          <w:color w:val="auto"/>
        </w:rPr>
      </w:pPr>
    </w:p>
    <w:p>
      <w:pPr>
        <w:jc w:val="both"/>
        <w:ind w:left="1380" w:right="140" w:hanging="454"/>
        <w:spacing w:after="0" w:line="259" w:lineRule="auto"/>
        <w:tabs>
          <w:tab w:leader="none" w:pos="1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that all vacancies and newly created directorships resulting from any increase in the authorized number of directors, may, except as otherwise required by law, our governing documents or resolution of our Board, and subject to the rights of holders of our preferred stock, only be filled by the affirmative vote of a majority of directors then in office, even if less than a quorum, or by a sole remaining director;</w:t>
      </w:r>
    </w:p>
    <w:p>
      <w:pPr>
        <w:spacing w:after="0" w:line="173" w:lineRule="exact"/>
        <w:rPr>
          <w:rFonts w:ascii="Arial" w:cs="Arial" w:eastAsia="Arial" w:hAnsi="Arial"/>
          <w:sz w:val="18"/>
          <w:szCs w:val="18"/>
          <w:color w:val="auto"/>
        </w:rPr>
      </w:pPr>
    </w:p>
    <w:p>
      <w:pPr>
        <w:ind w:left="1380" w:hanging="454"/>
        <w:spacing w:after="0"/>
        <w:tabs>
          <w:tab w:leader="none" w:pos="1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divide our Board into three classes, each of which stands for election once every three years;</w:t>
      </w:r>
    </w:p>
    <w:p>
      <w:pPr>
        <w:spacing w:after="0" w:line="238" w:lineRule="exact"/>
        <w:rPr>
          <w:rFonts w:ascii="Arial" w:cs="Arial" w:eastAsia="Arial" w:hAnsi="Arial"/>
          <w:sz w:val="18"/>
          <w:szCs w:val="18"/>
          <w:color w:val="auto"/>
        </w:rPr>
      </w:pPr>
    </w:p>
    <w:p>
      <w:pPr>
        <w:jc w:val="both"/>
        <w:ind w:left="1380" w:right="140" w:hanging="454"/>
        <w:spacing w:after="0" w:line="286" w:lineRule="auto"/>
        <w:tabs>
          <w:tab w:leader="none" w:pos="13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for so long as our Board is classified, and subject to the rights of holders of our preferred stock, provide that a director may only be removed from the Board by the stockholders for cause, and only by the affirmative vote of the holders of at least a 66⅔% of the voting power of the issued and outstanding capital stock of the Company entitled to vote in the election of directors;</w:t>
      </w:r>
    </w:p>
    <w:p>
      <w:pPr>
        <w:spacing w:after="0" w:line="151" w:lineRule="exact"/>
        <w:rPr>
          <w:rFonts w:ascii="Arial" w:cs="Arial" w:eastAsia="Arial" w:hAnsi="Arial"/>
          <w:sz w:val="17"/>
          <w:szCs w:val="17"/>
          <w:color w:val="auto"/>
        </w:rPr>
      </w:pPr>
    </w:p>
    <w:p>
      <w:pPr>
        <w:ind w:left="1380" w:right="140" w:hanging="454"/>
        <w:spacing w:after="0" w:line="277" w:lineRule="auto"/>
        <w:tabs>
          <w:tab w:leader="none" w:pos="1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156" w:lineRule="exact"/>
        <w:rPr>
          <w:rFonts w:ascii="Arial" w:cs="Arial" w:eastAsia="Arial" w:hAnsi="Arial"/>
          <w:sz w:val="18"/>
          <w:szCs w:val="18"/>
          <w:color w:val="auto"/>
        </w:rPr>
      </w:pPr>
    </w:p>
    <w:p>
      <w:pPr>
        <w:jc w:val="both"/>
        <w:ind w:left="1380" w:right="140" w:hanging="454"/>
        <w:spacing w:after="0" w:line="263" w:lineRule="auto"/>
        <w:tabs>
          <w:tab w:leader="none" w:pos="1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170" w:lineRule="exact"/>
        <w:rPr>
          <w:rFonts w:ascii="Arial" w:cs="Arial" w:eastAsia="Arial" w:hAnsi="Arial"/>
          <w:sz w:val="18"/>
          <w:szCs w:val="18"/>
          <w:color w:val="auto"/>
        </w:rPr>
      </w:pPr>
    </w:p>
    <w:p>
      <w:pPr>
        <w:ind w:left="1380" w:right="140" w:hanging="454"/>
        <w:spacing w:after="0" w:line="277" w:lineRule="auto"/>
        <w:tabs>
          <w:tab w:leader="none" w:pos="1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do not provide for cumulative voting rights (therefore allowing the holders of a plurality of the shares of Common Stock entitled to vote in any election of directors to elect all of the directors standing for election, if they should so choose);</w:t>
      </w:r>
    </w:p>
    <w:p>
      <w:pPr>
        <w:spacing w:after="0" w:line="156" w:lineRule="exact"/>
        <w:rPr>
          <w:rFonts w:ascii="Arial" w:cs="Arial" w:eastAsia="Arial" w:hAnsi="Arial"/>
          <w:sz w:val="18"/>
          <w:szCs w:val="18"/>
          <w:color w:val="auto"/>
        </w:rPr>
      </w:pPr>
    </w:p>
    <w:p>
      <w:pPr>
        <w:ind w:left="1380" w:right="140" w:hanging="454"/>
        <w:spacing w:after="0" w:line="277" w:lineRule="auto"/>
        <w:tabs>
          <w:tab w:leader="none" w:pos="1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a majority of our Board, the chairperson of our Board, our chief executive officer or our secretary;</w:t>
      </w:r>
    </w:p>
    <w:p>
      <w:pPr>
        <w:spacing w:after="0" w:line="156" w:lineRule="exact"/>
        <w:rPr>
          <w:rFonts w:ascii="Arial" w:cs="Arial" w:eastAsia="Arial" w:hAnsi="Arial"/>
          <w:sz w:val="18"/>
          <w:szCs w:val="18"/>
          <w:color w:val="auto"/>
        </w:rPr>
      </w:pPr>
    </w:p>
    <w:p>
      <w:pPr>
        <w:jc w:val="both"/>
        <w:ind w:left="1380" w:right="140" w:hanging="454"/>
        <w:spacing w:after="0" w:line="263" w:lineRule="auto"/>
        <w:tabs>
          <w:tab w:leader="none" w:pos="1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that stockholders will be permitted to amend certain provisions of the Charter and the Bylaws only upon receiving the affirmative vote of at least two-thirds of the voting power of the then outstanding voting securities, voting together as a single class; and</w:t>
      </w:r>
    </w:p>
    <w:p>
      <w:pPr>
        <w:spacing w:after="0" w:line="170" w:lineRule="exact"/>
        <w:rPr>
          <w:rFonts w:ascii="Arial" w:cs="Arial" w:eastAsia="Arial" w:hAnsi="Arial"/>
          <w:sz w:val="18"/>
          <w:szCs w:val="18"/>
          <w:color w:val="auto"/>
        </w:rPr>
      </w:pPr>
    </w:p>
    <w:p>
      <w:pPr>
        <w:ind w:left="1380" w:right="140" w:hanging="454"/>
        <w:spacing w:after="0" w:line="308" w:lineRule="auto"/>
        <w:tabs>
          <w:tab w:leader="none" w:pos="13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designate the Court of Chancery of the State of Delaware (or, if the Court of Chancery does not have jurisdiction, another State court in Delaware or the federal district court for the District of Delaware) as the exclusive forums for certain disputes.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23" w:name="page124"/>
    <w:bookmarkEnd w:id="123"/>
    <w:p>
      <w:pPr>
        <w:jc w:val="both"/>
        <w:spacing w:after="0" w:line="287" w:lineRule="auto"/>
        <w:rPr>
          <w:sz w:val="20"/>
          <w:szCs w:val="20"/>
          <w:color w:val="auto"/>
        </w:rPr>
      </w:pPr>
      <w:r>
        <w:rPr>
          <w:rFonts w:ascii="Arial" w:cs="Arial" w:eastAsia="Arial" w:hAnsi="Arial"/>
          <w:sz w:val="16"/>
          <w:szCs w:val="16"/>
          <w:color w:val="auto"/>
        </w:rPr>
        <w:t>Our Bylaws provide that, unless we consent in writing to the selection of an alternative forum, the sole and exclusive forum, to the fullest extent permitted by law, for (1) any derivative action or proceeding brought on our behalf, (2) any action asserting a breach of a fiduciary duty owed by any director, stockholder, officer or other employee to us or our stockholders, (3) any action arising pursuant to any provision of the DGCL or our Charter and Bylaws (as either may be amended from time to time), or (4) any other action asserting a claim that is governed by the internal affairs doctrine, shall be the Court of Chancery of the State of Delaware (or another state court or the federal court located within the State of Delaware if the Court of Chancery does not have or declines to accept jurisdiction), in all cases subject to the court’s having jurisdiction over indispensable parties named as defendants. In addition, our Bylaws provide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Exchange Act. Any person or entity purchasing or otherwise acquiring or holding or owning (or continuing to hold or own)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of Director Nominations and New Business</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Bylaws include advance notice procedures with respect to stockholder proposals and the nomination of candidates for election as director. In order for any matter to be “properly brought” before a meeting, a stockholder will have to comply with such advance notice procedures and provide us with certain information in certain form. Our Bylaws allow the presiding officer at a meeting of stockholders to adopt rules and regulations for the conduct of meetings which may have the effect of precluding the conduct of certain business at a meeting if such rules and regulations are not followed.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DGCL, any of our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Registration Rights Agreement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entered into a registration rights agreement with respect to the shares issued in the business combination in exchange for Founder Shares, the Private Placement Warrants and the shares of Common Stock issuable upon exercise of the Private Placement Warrants. Pursuant to this registration rights agreement, those persons who held Founder Shares prior to the Closing (“Rotor Restricted Stockholders”) and their permitted transferees are entitled to make up to three demands, excluding short form demands, that we register such securities. In addition, the holders have certain “piggy-back” registration rights with respect to registration statements filed subsequent to the Closing. We will bear the expenses incurred in connection with the filing of any such registration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Financing</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provided the certain institutional investors (the “PIPE Investors”) that invested in the private placement pursuant to which the PIPE Investors collectively subscribed for 22,000,000 shares of Common Stock at $10.00 per share (the “PIPE Financing”) with certain customary registration rights with respect to the Common Stock issued pursuant to the PIPE Financing. Pursuant to the subscription agreements dated April 5, 2021, each entered into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4" w:name="page125"/>
    <w:bookmarkEnd w:id="124"/>
    <w:p>
      <w:pPr>
        <w:jc w:val="both"/>
        <w:spacing w:after="0" w:line="263" w:lineRule="auto"/>
        <w:rPr>
          <w:sz w:val="20"/>
          <w:szCs w:val="20"/>
          <w:color w:val="auto"/>
        </w:rPr>
      </w:pPr>
      <w:r>
        <w:rPr>
          <w:rFonts w:ascii="Arial" w:cs="Arial" w:eastAsia="Arial" w:hAnsi="Arial"/>
          <w:sz w:val="18"/>
          <w:szCs w:val="18"/>
          <w:color w:val="auto"/>
        </w:rPr>
        <w:t>Rotor and the PIPE Investors (the “Subscription Agreements”), we are obligated, at our sole expense, to register with the SEC such Common Stock for resale no later than 30 days following the Closing and to use commercially reasonable efforts to have such registration statement declared effective as soon as practicable after the filing thereof.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Old Sarcos Registration Rights Agreement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Closing, Rotor, Old Sarcos, the Sponsor and certain Old Sarcos equity holders entered into a registration rights agreement with respect to the Company’s securities (the “Registration Rights Agreement”). The Registration Rights Agreement provides for the registration of the Common Stock and Private Placement Warrants (and the Common Stock underlying such warrants) held by such security holders with the SEC on Form S-1 or, when available, Form S-3, as well as certain piggy-back registration rights. The Company will bear the expenses incurred in connection with the filing of any such registration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RE2 Registration Rights Agreement</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Concurrently with the RE2 Merger Agreement, the Company and certain RE2 shareholders entered into a registration rights agreement, pursuant to which, among other things, the Company agreed to file and maintain an effective registration statement under the Securities Act and to undertake certain other related obligations. The Company will bear the expenses incurred in connection with the filing of any such registration statement.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Rule 144 under the Securities Act, or Rule 144, a person who has beneficially owned restricted Common Stock or restricted warrants for at least six months would be entitled to sell their securities provided that (i) such person is not deemed to have been an affiliate of ours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other than Form 8-K reports, preceding the sale.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Persons who have beneficially owned restricted shares of Common Stock or restricted warrants for at least six months but who are affiliates of ours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57" w:lineRule="exact"/>
        <w:rPr>
          <w:sz w:val="20"/>
          <w:szCs w:val="20"/>
          <w:color w:val="auto"/>
        </w:rPr>
      </w:pPr>
    </w:p>
    <w:p>
      <w:pPr>
        <w:ind w:left="1380" w:hanging="454"/>
        <w:spacing w:after="0"/>
        <w:tabs>
          <w:tab w:leader="none" w:pos="1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 ofthe total number of the then outstanding equity shares of the same class;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380" w:right="20" w:hanging="454"/>
        <w:spacing w:after="0" w:line="277" w:lineRule="auto"/>
        <w:tabs>
          <w:tab w:leader="none" w:pos="1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Common Stock or warrants, as applicable, during the four calendar weeks preceding the filing of a notice on Form 144 with respect to the sale.</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by our affiliates under Rule 144 are also subject to certain requirements relating to manner of sale, notice and availability of current public information about 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57" w:lineRule="exact"/>
        <w:rPr>
          <w:sz w:val="20"/>
          <w:szCs w:val="20"/>
          <w:color w:val="auto"/>
        </w:rPr>
      </w:pPr>
    </w:p>
    <w:p>
      <w:pPr>
        <w:ind w:left="1380" w:hanging="454"/>
        <w:spacing w:after="0"/>
        <w:tabs>
          <w:tab w:leader="none" w:pos="1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1380" w:hanging="454"/>
        <w:spacing w:after="0"/>
        <w:tabs>
          <w:tab w:leader="none" w:pos="1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5" w:name="page126"/>
    <w:bookmarkEnd w:id="125"/>
    <w:p>
      <w:pPr>
        <w:ind w:left="1380" w:right="20" w:hanging="454"/>
        <w:spacing w:after="0" w:line="308" w:lineRule="auto"/>
        <w:tabs>
          <w:tab w:leader="none" w:pos="1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200" w:lineRule="exact"/>
        <w:rPr>
          <w:rFonts w:ascii="Arial" w:cs="Arial" w:eastAsia="Arial" w:hAnsi="Arial"/>
          <w:sz w:val="17"/>
          <w:szCs w:val="17"/>
          <w:color w:val="auto"/>
        </w:rPr>
      </w:pPr>
    </w:p>
    <w:p>
      <w:pPr>
        <w:spacing w:after="0" w:line="351" w:lineRule="exact"/>
        <w:rPr>
          <w:rFonts w:ascii="Arial" w:cs="Arial" w:eastAsia="Arial" w:hAnsi="Arial"/>
          <w:sz w:val="17"/>
          <w:szCs w:val="17"/>
          <w:color w:val="auto"/>
        </w:rPr>
      </w:pPr>
    </w:p>
    <w:p>
      <w:pPr>
        <w:ind w:left="1380" w:right="20" w:hanging="454"/>
        <w:spacing w:after="0" w:line="277" w:lineRule="auto"/>
        <w:tabs>
          <w:tab w:leader="none" w:pos="1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 longer a shell company, and as a result, if the conditions set forth in the exceptions listed above are satisfied, Rule 144 will become available for the resale of restricted shares of Common Stock or restricted warrants.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145</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shares of Common Stock and warrants held by certain persons or entities is subject to the provisions of Rule 145 under the Securities Act, or Rule 145. Under Rule 145, a person or entity that is an affiliate of a party to a merger, acquisition or reclassification (a “merger”) involving a shell company at the time the merger is submitted for vote or consent by the parties is deemed to be an underwriter in connection with any transaction to publicly offer or sell securities acquired in the merger unless the following conditions are met:</w:t>
      </w:r>
    </w:p>
    <w:p>
      <w:pPr>
        <w:spacing w:after="0" w:line="152" w:lineRule="exact"/>
        <w:rPr>
          <w:sz w:val="20"/>
          <w:szCs w:val="20"/>
          <w:color w:val="auto"/>
        </w:rPr>
      </w:pPr>
    </w:p>
    <w:p>
      <w:pPr>
        <w:ind w:left="1380" w:hanging="454"/>
        <w:spacing w:after="0"/>
        <w:tabs>
          <w:tab w:leader="none" w:pos="1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conditions set forth under “Restrictions on the Use of Rule 144 by Shell Companies or Former Shell Companies”;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jc w:val="both"/>
        <w:ind w:left="1380" w:right="20" w:hanging="454"/>
        <w:spacing w:after="0" w:line="296" w:lineRule="auto"/>
        <w:tabs>
          <w:tab w:leader="none" w:pos="13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either (i) the sale occurs at least 90 days after the securities were acquired in the merger, or December 31, 2021, and the conditions applicable to resales under Rule 144(c), (e), (f) and (g), are satisfied or (ii) for a person who is not an affiliate of ours on the date of sale (and has not been an affiliate of ours within three months prior to the date of sale), either (A) at least one year has elapsed since the securities were acquired in the merger, or September 24, 2022, or (B) if we satisfy the current public information requirements set forth in Rule 144(c), at least six months have elapsed since the securities were acquired in the merger, or March 24, 2022.</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Securities subject to Rule 145 may be resold pursuant to a registration statement registering their resale which is also registering the resales of the securities acquired in the merger.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and warrants are listed on Nasdaq under the symbols “STRC” and “STRCW,”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Sarcos Technology and Robotics Corporation.</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List of Subsidiaries (as of December 31, 2022)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are the subsidiaries of Sarcos Technology and Robotics Corporation., omitting certain subsidiaries which, considered in the aggregate, would not constitute a significant subsidiary:</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Name of Subsidiary</w:t>
            </w:r>
          </w:p>
        </w:tc>
        <w:tc>
          <w:tcPr>
            <w:tcW w:w="5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w:t>
            </w:r>
          </w:p>
        </w:tc>
      </w:tr>
      <w:tr>
        <w:trPr>
          <w:trHeight w:val="251"/>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Incorporation or Orgaization</w:t>
            </w:r>
          </w:p>
        </w:tc>
      </w:tr>
      <w:tr>
        <w:trPr>
          <w:trHeight w:val="193"/>
        </w:trPr>
        <w:tc>
          <w:tcPr>
            <w:tcW w:w="56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7"/>
              </w:rPr>
              <w:t>Sarcos Corp.</w:t>
            </w:r>
          </w:p>
        </w:tc>
        <w:tc>
          <w:tcPr>
            <w:tcW w:w="56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Utah</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Sarcos Group LC</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Utah</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Rememdia LC</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Utah</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ZeptoVision, Inc.</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RE2 LLC</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564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Registration Statements:</w:t>
      </w:r>
    </w:p>
    <w:p>
      <w:pPr>
        <w:spacing w:after="0" w:line="117" w:lineRule="exact"/>
        <w:rPr>
          <w:sz w:val="20"/>
          <w:szCs w:val="20"/>
          <w:color w:val="auto"/>
        </w:rPr>
      </w:pPr>
    </w:p>
    <w:p>
      <w:pPr>
        <w:jc w:val="both"/>
        <w:ind w:left="1020" w:hanging="503"/>
        <w:spacing w:after="0" w:line="263"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Registration Statement (Form S-8 No. 333-261553) pertaining to the Sarcos Technology and Robotics Corporation 2021 Equity Incentive Plan; Sarcos Technology and Robotics Corporation 2021 Employee Stock Purchase Plan; and Sarcos Corp. 2015 Equity Incentive Plan of Sarcos Technology and Robotics Corporation,</w:t>
      </w:r>
    </w:p>
    <w:p>
      <w:pPr>
        <w:spacing w:after="0" w:line="75"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Registration Statement (Form S-8 No. 333-264500) pertaining to the RE2, Inc. 2005 Stock Option Plan Amended and Restated (5-7-07); and RE2, Inc. Stock Incentive Plan of 2014 of Sarcos Technology and Robotics Corporation,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Registration Statement (Form S-3 No. 333-268399) of Sarcos Technology and Robotics Corporation,</w:t>
      </w:r>
    </w:p>
    <w:p>
      <w:pPr>
        <w:spacing w:after="0" w:line="117"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Registration Statement (Form S-3 No. 333-264952) (Post-Effective Amendment No. 2 to Form S-1) of Sarcos Technology and Robotics Corporation, and</w:t>
      </w:r>
    </w:p>
    <w:p>
      <w:pPr>
        <w:spacing w:after="0" w:line="62"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Registration Statement (Form S-3 No. 333-260296) (Post-Effective Amendment No. 2 to Form S-1) of Sarcos Technology and Robotics Corporation,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report dated March 16, 2023, with respect to the consolidated financial statements of Sarcos Technology and Robotics Corporation included in this Annual Report (Form 10-K) of Sarcos Technology and Robotics Corporation for the year ended December 31,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Kiva A. Allgood, certify that:</w:t>
      </w:r>
    </w:p>
    <w:p>
      <w:pPr>
        <w:spacing w:after="0" w:line="225"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Sarcos Technology and Robotics Corporation;</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15(f) and 15d 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80" w:val="left"/>
          <w:tab w:leader="none" w:pos="7900" w:val="left"/>
        </w:tabs>
        <w:rPr>
          <w:sz w:val="20"/>
          <w:szCs w:val="20"/>
          <w:color w:val="auto"/>
        </w:rPr>
      </w:pPr>
      <w:r>
        <w:rPr>
          <w:rFonts w:ascii="Arial" w:cs="Arial" w:eastAsia="Arial" w:hAnsi="Arial"/>
          <w:sz w:val="18"/>
          <w:szCs w:val="18"/>
          <w:color w:val="auto"/>
        </w:rPr>
        <w:t>Date: March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Kiva A. Allgood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Kiva A. Allgood</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Hamer, certify that:</w:t>
      </w:r>
    </w:p>
    <w:p>
      <w:pPr>
        <w:spacing w:after="0" w:line="225"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Sarcos Technology and Robotics Corporation;</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15(f) and 15d 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80" w:val="left"/>
          <w:tab w:leader="none" w:pos="7960" w:val="left"/>
        </w:tabs>
        <w:rPr>
          <w:sz w:val="20"/>
          <w:szCs w:val="20"/>
          <w:color w:val="auto"/>
        </w:rPr>
      </w:pPr>
      <w:r>
        <w:rPr>
          <w:rFonts w:ascii="Arial" w:cs="Arial" w:eastAsia="Arial" w:hAnsi="Arial"/>
          <w:sz w:val="18"/>
          <w:szCs w:val="18"/>
          <w:color w:val="auto"/>
        </w:rPr>
        <w:t>Date: March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Hamer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Andrew Hamer</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connection with the Annual Report of Sarcos Technology and Robotics Corporation (the “Company”) on Form 10-K for the period ending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as filed with the Securities and Exchange Commission on the date hereof (the “Report”), I, Kiva A. Allgood, certify, pursuant to 18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U.S.C. § 1350, as adopted pursuant to § 906 of the Sarbanes-Oxley Act of 2002, that:</w:t>
      </w:r>
    </w:p>
    <w:p>
      <w:pPr>
        <w:spacing w:after="0" w:line="103" w:lineRule="exact"/>
        <w:rPr>
          <w:sz w:val="20"/>
          <w:szCs w:val="20"/>
          <w:color w:val="auto"/>
        </w:rPr>
      </w:pPr>
    </w:p>
    <w:p>
      <w:pPr>
        <w:ind w:left="1020" w:hanging="503"/>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ind w:left="20"/>
        <w:spacing w:after="0"/>
        <w:tabs>
          <w:tab w:leader="none" w:pos="5680" w:val="left"/>
          <w:tab w:leader="none" w:pos="7900" w:val="left"/>
        </w:tabs>
        <w:rPr>
          <w:sz w:val="20"/>
          <w:szCs w:val="20"/>
          <w:color w:val="auto"/>
        </w:rPr>
      </w:pPr>
      <w:r>
        <w:rPr>
          <w:rFonts w:ascii="Arial" w:cs="Arial" w:eastAsia="Arial" w:hAnsi="Arial"/>
          <w:sz w:val="18"/>
          <w:szCs w:val="18"/>
          <w:color w:val="auto"/>
        </w:rPr>
        <w:t>Date: March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Kiva A. Allgood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Kiva A. Allgood</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connection with the Annual Report of Sarcos Technology and Robotics Corporation (the “Company”) on Form 10-K for the period ending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as filed with the Securities and Exchange Commission on the date hereof (the “Report”), I, Andrew Hamer, certify, pursuant to 18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U.S.C. § 1350, as adopted pursuant to § 906 of the Sarbanes-Oxley Act of 2002, that:</w:t>
      </w:r>
    </w:p>
    <w:p>
      <w:pPr>
        <w:spacing w:after="0" w:line="103" w:lineRule="exact"/>
        <w:rPr>
          <w:sz w:val="20"/>
          <w:szCs w:val="20"/>
          <w:color w:val="auto"/>
        </w:rPr>
      </w:pPr>
    </w:p>
    <w:p>
      <w:pPr>
        <w:ind w:left="1020" w:hanging="503"/>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ind w:left="20"/>
        <w:spacing w:after="0"/>
        <w:tabs>
          <w:tab w:leader="none" w:pos="5680" w:val="left"/>
          <w:tab w:leader="none" w:pos="7960" w:val="left"/>
        </w:tabs>
        <w:rPr>
          <w:sz w:val="20"/>
          <w:szCs w:val="20"/>
          <w:color w:val="auto"/>
        </w:rPr>
      </w:pPr>
      <w:r>
        <w:rPr>
          <w:rFonts w:ascii="Arial" w:cs="Arial" w:eastAsia="Arial" w:hAnsi="Arial"/>
          <w:sz w:val="18"/>
          <w:szCs w:val="18"/>
          <w:color w:val="auto"/>
        </w:rPr>
        <w:t>Date: March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Hamer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Andrew Hamer</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lowerRoman"/>
      <w:start w:val="2"/>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1)"/>
      <w:numFmt w:val="decimal"/>
      <w:start w:val="3"/>
    </w:lvl>
  </w:abstractNum>
  <w:abstractNum w:abstractNumId="46">
    <w:nsid w:val="7E0C57B1"/>
    <w:multiLevelType w:val="hybridMultilevel"/>
    <w:lvl w:ilvl="0">
      <w:lvlJc w:val="left"/>
      <w:lvlText w:val="%1."/>
      <w:numFmt w:val="decimal"/>
      <w:start w:val="3"/>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1)"/>
      <w:numFmt w:val="decimal"/>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1."/>
      <w:numFmt w:val="decimal"/>
      <w:start w:val="10"/>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decimal"/>
      <w:start w:val="13"/>
    </w:lvl>
  </w:abstractNum>
  <w:abstractNum w:abstractNumId="54">
    <w:nsid w:val="4AD084E9"/>
    <w:multiLevelType w:val="hybridMultilevel"/>
    <w:lvl w:ilvl="0">
      <w:lvlJc w:val="left"/>
      <w:lvlText w:val="%1)"/>
      <w:numFmt w:val="lowerLetter"/>
      <w:start w:val="1"/>
    </w:lvl>
  </w:abstractNum>
  <w:abstractNum w:abstractNumId="55">
    <w:nsid w:val="1F48EAA1"/>
    <w:multiLevelType w:val="hybridMultilevel"/>
    <w:lvl w:ilvl="0">
      <w:lvlJc w:val="left"/>
      <w:lvlText w:val="%1)"/>
      <w:numFmt w:val="lowerLetter"/>
      <w:start w:val="2"/>
    </w:lvl>
  </w:abstractNum>
  <w:abstractNum w:abstractNumId="56">
    <w:nsid w:val="1381823A"/>
    <w:multiLevelType w:val="hybridMultilevel"/>
    <w:lvl w:ilvl="0">
      <w:lvlJc w:val="left"/>
      <w:lvlText w:val="%1)"/>
      <w:numFmt w:val="lowerLetter"/>
      <w:start w:val="3"/>
    </w:lvl>
  </w:abstractNum>
  <w:abstractNum w:abstractNumId="57">
    <w:nsid w:val="5DB70AE5"/>
    <w:multiLevelType w:val="hybridMultilevel"/>
    <w:lvl w:ilvl="0">
      <w:lvlJc w:val="left"/>
      <w:lvlText w:val="*"/>
      <w:numFmt w:val="bullet"/>
      <w:start w:val="1"/>
    </w:lvl>
    <w:lvl w:ilvl="1">
      <w:lvlJc w:val="left"/>
      <w:lvlText w:val="%2"/>
      <w:numFmt w:val="decimal"/>
      <w:start w:val="104"/>
    </w:lvl>
  </w:abstractNum>
  <w:abstractNum w:abstractNumId="58">
    <w:nsid w:val="100F8FCA"/>
    <w:multiLevelType w:val="hybridMultilevel"/>
    <w:lvl w:ilvl="0">
      <w:lvlJc w:val="left"/>
      <w:lvlText w:val="**"/>
      <w:numFmt w:val="bullet"/>
      <w:start w:val="1"/>
    </w:lvl>
    <w:lvl w:ilvl="1">
      <w:lvlJc w:val="left"/>
      <w:lvlText w:val="%2"/>
      <w:numFmt w:val="decimal"/>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1)"/>
      <w:numFmt w:val="decimal"/>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303" Type="http://schemas.openxmlformats.org/officeDocument/2006/relationships/image" Target="media/image288.png"/><Relationship Id="rId304" Type="http://schemas.openxmlformats.org/officeDocument/2006/relationships/image" Target="media/image289.png"/><Relationship Id="rId328" Type="http://schemas.openxmlformats.org/officeDocument/2006/relationships/image" Target="media/image290.png"/><Relationship Id="rId329" Type="http://schemas.openxmlformats.org/officeDocument/2006/relationships/image" Target="media/image291.png"/><Relationship Id="rId330" Type="http://schemas.openxmlformats.org/officeDocument/2006/relationships/image" Target="media/image292.png"/><Relationship Id="rId331" Type="http://schemas.openxmlformats.org/officeDocument/2006/relationships/image" Target="media/image293.png"/><Relationship Id="rId332" Type="http://schemas.openxmlformats.org/officeDocument/2006/relationships/image" Target="media/image294.png"/><Relationship Id="rId333" Type="http://schemas.openxmlformats.org/officeDocument/2006/relationships/image" Target="media/image295.png"/><Relationship Id="rId334" Type="http://schemas.openxmlformats.org/officeDocument/2006/relationships/image" Target="media/image296.png"/><Relationship Id="rId335" Type="http://schemas.openxmlformats.org/officeDocument/2006/relationships/image" Target="media/image297.png"/><Relationship Id="rId336" Type="http://schemas.openxmlformats.org/officeDocument/2006/relationships/image" Target="media/image298.png"/><Relationship Id="rId337" Type="http://schemas.openxmlformats.org/officeDocument/2006/relationships/image" Target="media/image299.png"/><Relationship Id="rId338" Type="http://schemas.openxmlformats.org/officeDocument/2006/relationships/image" Target="media/image300.png"/><Relationship Id="rId339" Type="http://schemas.openxmlformats.org/officeDocument/2006/relationships/image" Target="media/image301.png"/><Relationship Id="rId340" Type="http://schemas.openxmlformats.org/officeDocument/2006/relationships/image" Target="media/image302.png"/><Relationship Id="rId341" Type="http://schemas.openxmlformats.org/officeDocument/2006/relationships/image" Target="media/image303.png"/><Relationship Id="rId342"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345" Type="http://schemas.openxmlformats.org/officeDocument/2006/relationships/image" Target="media/image307.png"/><Relationship Id="rId346" Type="http://schemas.openxmlformats.org/officeDocument/2006/relationships/image" Target="media/image308.png"/><Relationship Id="rId347" Type="http://schemas.openxmlformats.org/officeDocument/2006/relationships/image" Target="media/image309.png"/><Relationship Id="rId348"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351" Type="http://schemas.openxmlformats.org/officeDocument/2006/relationships/image" Target="media/image313.png"/><Relationship Id="rId352" Type="http://schemas.openxmlformats.org/officeDocument/2006/relationships/image" Target="media/image314.png"/><Relationship Id="rId353" Type="http://schemas.openxmlformats.org/officeDocument/2006/relationships/image" Target="media/image315.png"/><Relationship Id="rId354" Type="http://schemas.openxmlformats.org/officeDocument/2006/relationships/image" Target="media/image316.png"/><Relationship Id="rId355" Type="http://schemas.openxmlformats.org/officeDocument/2006/relationships/image" Target="media/image317.png"/><Relationship Id="rId356" Type="http://schemas.openxmlformats.org/officeDocument/2006/relationships/image" Target="media/image318.png"/><Relationship Id="rId357" Type="http://schemas.openxmlformats.org/officeDocument/2006/relationships/image" Target="media/image319.png"/><Relationship Id="rId358" Type="http://schemas.openxmlformats.org/officeDocument/2006/relationships/image" Target="media/image320.png"/><Relationship Id="rId295" Type="http://schemas.openxmlformats.org/officeDocument/2006/relationships/hyperlink" Target="https://www.sec.gov/Archives/edgar/data/1826681/000121390021020283/ea139001ex2-1_rotoracq.htm" TargetMode="External"/><Relationship Id="rId296" Type="http://schemas.openxmlformats.org/officeDocument/2006/relationships/hyperlink" Target="https://www.sec.gov/Archives/edgar/data/1826681/000156459021046200/rot-ex21_8.htm" TargetMode="External"/><Relationship Id="rId297" Type="http://schemas.openxmlformats.org/officeDocument/2006/relationships/hyperlink" Target="https://www.sec.gov/Archives/edgar/data/1826681/000156459022012046/strc-ex21_6.htm" TargetMode="External"/><Relationship Id="rId298" Type="http://schemas.openxmlformats.org/officeDocument/2006/relationships/hyperlink" Target="https://www.sec.gov/Archives/edgar/data/1826681/000156459021049662/strc-ex31_83.htm" TargetMode="External"/><Relationship Id="rId299" Type="http://schemas.openxmlformats.org/officeDocument/2006/relationships/hyperlink" Target="https://www.sec.gov/Archives/edgar/data/1826681/000095017022023251/strc-ex3_1.htm" TargetMode="External"/><Relationship Id="rId300" Type="http://schemas.openxmlformats.org/officeDocument/2006/relationships/hyperlink" Target="https://www.sec.gov/Archives/edgar/data/1826681/000121390020045501/fs12020a1ex4-4_rotoracq.htm" TargetMode="External"/><Relationship Id="rId301" Type="http://schemas.openxmlformats.org/officeDocument/2006/relationships/hyperlink" Target="https://www.sec.gov/Archives/edgar/data/1826681/000121390020045501/fs12020a1ex4-3_rotoracq.htm" TargetMode="External"/><Relationship Id="rId302" Type="http://schemas.openxmlformats.org/officeDocument/2006/relationships/hyperlink" Target="https://www.sec.gov/Archives/edgar/data/1826681/000156459021049662/strc-ex41_82.htm" TargetMode="External"/><Relationship Id="rId305" Type="http://schemas.openxmlformats.org/officeDocument/2006/relationships/hyperlink" Target="https://www.sec.gov/Archives/edgar/data/1826681/000156459022012046/strc-ex41_8.htm" TargetMode="External"/><Relationship Id="rId306" Type="http://schemas.openxmlformats.org/officeDocument/2006/relationships/hyperlink" Target="https://www.sec.gov/Archives/edgar/data/1826681/000121390021003229/ea133550ex10-4_rotoracqui.htm" TargetMode="External"/><Relationship Id="rId307" Type="http://schemas.openxmlformats.org/officeDocument/2006/relationships/hyperlink" Target="https://www.sec.gov/Archives/edgar/data/1826681/000121390021003229/ea133550ex10-5_rotoracqui.htm" TargetMode="External"/><Relationship Id="rId308" Type="http://schemas.openxmlformats.org/officeDocument/2006/relationships/hyperlink" Target="https://www.sec.gov/Archives/edgar/data/1826681/000121390021020283/ea139001ex10-3_rotoracq.htm" TargetMode="External"/><Relationship Id="rId309" Type="http://schemas.openxmlformats.org/officeDocument/2006/relationships/hyperlink" Target="https://www.sec.gov/Archives/edgar/data/1826681/000121390021020283/ea139001ex10-1_rotoracq.htm" TargetMode="External"/><Relationship Id="rId310" Type="http://schemas.openxmlformats.org/officeDocument/2006/relationships/hyperlink" Target="https://www.sec.gov/Archives/edgar/data/1826681/000121390021020283/ea139001ex10-2_rotoracq.htm" TargetMode="External"/><Relationship Id="rId311" Type="http://schemas.openxmlformats.org/officeDocument/2006/relationships/hyperlink" Target="https://www.sec.gov/Archives/edgar/data/1826681/000156459022012046/strc-ex101_7.htm" TargetMode="External"/><Relationship Id="rId312" Type="http://schemas.openxmlformats.org/officeDocument/2006/relationships/hyperlink" Target="https://www.sec.gov/Archives/edgar/data/1826681/000121390021020283/ea139001ex10-4_rotoracq.htm" TargetMode="External"/><Relationship Id="rId313" Type="http://schemas.openxmlformats.org/officeDocument/2006/relationships/hyperlink" Target="https://www.sec.gov/Archives/edgar/data/1826681/000121390021020283/ea139001ex10-5_rotoracq.htm" TargetMode="External"/><Relationship Id="rId314" Type="http://schemas.openxmlformats.org/officeDocument/2006/relationships/hyperlink" Target="https://www.sec.gov/Archives/edgar/data/1826681/000121390021003229/ea133550ex10-2_rotoracqui.htm" TargetMode="External"/><Relationship Id="rId315" Type="http://schemas.openxmlformats.org/officeDocument/2006/relationships/hyperlink" Target="https://www.sec.gov/Archives/edgar/data/1826681/000156459021049662/strc-ex108_81.htm" TargetMode="External"/><Relationship Id="rId316" Type="http://schemas.openxmlformats.org/officeDocument/2006/relationships/hyperlink" Target="https://www.sec.gov/Archives/edgar/data/1826681/000156459021049662/strc-ex109_80.htm" TargetMode="External"/><Relationship Id="rId317" Type="http://schemas.openxmlformats.org/officeDocument/2006/relationships/hyperlink" Target="https://www.sec.gov/Archives/edgar/data/1826681/000095012321013204/strc-ex1010_795.htm" TargetMode="External"/><Relationship Id="rId318" Type="http://schemas.openxmlformats.org/officeDocument/2006/relationships/hyperlink" Target="https://www.sec.gov/Archives/edgar/data/1826681/000156459021049662/strc-ex1014_89.htm" TargetMode="External"/><Relationship Id="rId319" Type="http://schemas.openxmlformats.org/officeDocument/2006/relationships/hyperlink" Target="https://www.sec.gov/Archives/edgar/data/0001826681/000156459021060069/strc-ex102_6.htm" TargetMode="External"/><Relationship Id="rId320" Type="http://schemas.openxmlformats.org/officeDocument/2006/relationships/hyperlink" Target="https://www.sec.gov/Archives/edgar/data/1826681/000095017022009333/strc-ex10_2.htm" TargetMode="External"/><Relationship Id="rId321" Type="http://schemas.openxmlformats.org/officeDocument/2006/relationships/hyperlink" Target="https://www.sec.gov/Archives/edgar/data/1826681/000156459022016149/strc-ex101_8.htm" TargetMode="External"/><Relationship Id="rId322" Type="http://schemas.openxmlformats.org/officeDocument/2006/relationships/hyperlink" Target="https://www.sec.gov/Archives/edgar/data/1826681/000156459022016149/strc-ex102_6.htm" TargetMode="External"/><Relationship Id="rId323" Type="http://schemas.openxmlformats.org/officeDocument/2006/relationships/hyperlink" Target="https://www.sec.gov/Archives/edgar/data/1826681/000156459022016149/strc-ex103_7.htm" TargetMode="External"/><Relationship Id="rId324" Type="http://schemas.openxmlformats.org/officeDocument/2006/relationships/hyperlink" Target="https://www.sec.gov/Archives/edgar/data/1826681/000156459022033854/strc-ex101_33.htm" TargetMode="External"/><Relationship Id="rId325" Type="http://schemas.openxmlformats.org/officeDocument/2006/relationships/hyperlink" Target="https://www.sec.gov/Archives/edgar/data/1826681/000156459021049662/strc-ex1016_79.htm" TargetMode="External"/><Relationship Id="rId326" Type="http://schemas.openxmlformats.org/officeDocument/2006/relationships/hyperlink" Target="https://www.sec.gov/Archives/edgar/data/1826681/000156459021049662/strc-ex1010_78.htm" TargetMode="External"/><Relationship Id="rId327" Type="http://schemas.openxmlformats.org/officeDocument/2006/relationships/hyperlink" Target="https://www.sec.gov/Archives/edgar/data/0001826681/000156459021044028/rot-ex16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2023-03-16T17:46:46Z</dcterms:created>
  <dcterms:modified xsi:type="dcterms:W3CDTF">2023-03-16T17:46:46Z</dcterms:modified>
</cp:coreProperties>
</file>