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ind w:left="3680" w:right="1600" w:hanging="3659"/>
        <w:spacing w:after="0" w:line="375" w:lineRule="auto"/>
        <w:tabs>
          <w:tab w:leader="none" w:pos="471"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 to 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001-39897</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SARCOS TECHNOLOGY AND ROBOTICS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-228600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tbl>
      <w:tblPr>
        <w:tblLayout w:type="fixed"/>
        <w:tblInd w:w="1660" w:type="dxa"/>
        <w:tblCellMar>
          <w:top w:w="0" w:type="dxa"/>
          <w:left w:w="0" w:type="dxa"/>
          <w:bottom w:w="0" w:type="dxa"/>
          <w:right w:w="0" w:type="dxa"/>
        </w:tblCellMar>
      </w:tblPr>
      <w:tr>
        <w:trPr>
          <w:trHeight w:val="218"/>
        </w:trPr>
        <w:tc>
          <w:tcPr>
            <w:tcW w:w="4300" w:type="dxa"/>
            <w:vAlign w:val="bottom"/>
          </w:tcPr>
          <w:p>
            <w:pPr>
              <w:jc w:val="center"/>
              <w:ind w:right="190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85-2838301</w:t>
            </w:r>
          </w:p>
        </w:tc>
      </w:tr>
      <w:tr>
        <w:trPr>
          <w:trHeight w:val="142"/>
        </w:trPr>
        <w:tc>
          <w:tcPr>
            <w:tcW w:w="4300" w:type="dxa"/>
            <w:vAlign w:val="bottom"/>
          </w:tcPr>
          <w:p>
            <w:pPr>
              <w:jc w:val="center"/>
              <w:ind w:right="1904"/>
              <w:spacing w:after="0" w:line="142" w:lineRule="exact"/>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2960" w:type="dxa"/>
            <w:vAlign w:val="bottom"/>
          </w:tcPr>
          <w:p>
            <w:pPr>
              <w:jc w:val="center"/>
              <w:ind w:left="1906"/>
              <w:spacing w:after="0" w:line="142"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7"/>
        </w:trPr>
        <w:tc>
          <w:tcPr>
            <w:tcW w:w="4300" w:type="dxa"/>
            <w:vAlign w:val="bottom"/>
          </w:tcPr>
          <w:p>
            <w:pPr>
              <w:jc w:val="center"/>
              <w:ind w:right="190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960" w:type="dxa"/>
            <w:vAlign w:val="bottom"/>
          </w:tcPr>
          <w:p>
            <w:pPr>
              <w:jc w:val="center"/>
              <w:ind w:left="190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03"/>
        </w:trPr>
        <w:tc>
          <w:tcPr>
            <w:tcW w:w="4300" w:type="dxa"/>
            <w:vAlign w:val="bottom"/>
          </w:tcPr>
          <w:p>
            <w:pPr>
              <w:jc w:val="center"/>
              <w:ind w:right="1924"/>
              <w:spacing w:after="0" w:line="202" w:lineRule="exact"/>
              <w:rPr>
                <w:sz w:val="20"/>
                <w:szCs w:val="20"/>
                <w:color w:val="auto"/>
              </w:rPr>
            </w:pPr>
            <w:r>
              <w:rPr>
                <w:rFonts w:ascii="Times New Roman" w:cs="Times New Roman" w:eastAsia="Times New Roman" w:hAnsi="Times New Roman"/>
                <w:sz w:val="18"/>
                <w:szCs w:val="18"/>
                <w:b w:val="1"/>
                <w:bCs w:val="1"/>
                <w:color w:val="auto"/>
                <w:w w:val="99"/>
              </w:rPr>
              <w:t>650 South 500 West, Suite 150</w:t>
            </w:r>
          </w:p>
        </w:tc>
        <w:tc>
          <w:tcPr>
            <w:tcW w:w="2960" w:type="dxa"/>
            <w:vAlign w:val="bottom"/>
          </w:tcPr>
          <w:p>
            <w:pPr>
              <w:spacing w:after="0"/>
              <w:rPr>
                <w:sz w:val="17"/>
                <w:szCs w:val="17"/>
                <w:color w:val="auto"/>
              </w:rPr>
            </w:pPr>
          </w:p>
        </w:tc>
      </w:tr>
      <w:tr>
        <w:trPr>
          <w:trHeight w:val="232"/>
        </w:trPr>
        <w:tc>
          <w:tcPr>
            <w:tcW w:w="4300" w:type="dxa"/>
            <w:vAlign w:val="bottom"/>
          </w:tcPr>
          <w:p>
            <w:pPr>
              <w:jc w:val="center"/>
              <w:ind w:right="1924"/>
              <w:spacing w:after="0"/>
              <w:rPr>
                <w:sz w:val="20"/>
                <w:szCs w:val="20"/>
                <w:color w:val="auto"/>
              </w:rPr>
            </w:pPr>
            <w:r>
              <w:rPr>
                <w:rFonts w:ascii="Times New Roman" w:cs="Times New Roman" w:eastAsia="Times New Roman" w:hAnsi="Times New Roman"/>
                <w:sz w:val="18"/>
                <w:szCs w:val="18"/>
                <w:b w:val="1"/>
                <w:bCs w:val="1"/>
                <w:color w:val="auto"/>
                <w:w w:val="99"/>
              </w:rPr>
              <w:t>Salt Lake City, Utah</w:t>
            </w:r>
          </w:p>
        </w:tc>
        <w:tc>
          <w:tcPr>
            <w:tcW w:w="296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84101</w:t>
            </w:r>
          </w:p>
        </w:tc>
      </w:tr>
      <w:tr>
        <w:trPr>
          <w:trHeight w:val="166"/>
        </w:trPr>
        <w:tc>
          <w:tcPr>
            <w:tcW w:w="4300" w:type="dxa"/>
            <w:vAlign w:val="bottom"/>
          </w:tcPr>
          <w:p>
            <w:pPr>
              <w:jc w:val="center"/>
              <w:ind w:right="190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960" w:type="dxa"/>
            <w:vAlign w:val="bottom"/>
          </w:tcPr>
          <w:p>
            <w:pPr>
              <w:jc w:val="center"/>
              <w:ind w:left="190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75"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927-7296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2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3"/>
                <w:szCs w:val="13"/>
                <w:color w:val="auto"/>
              </w:rPr>
            </w:pPr>
          </w:p>
        </w:tc>
        <w:tc>
          <w:tcPr>
            <w:tcW w:w="16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STRC</w:t>
            </w:r>
          </w:p>
        </w:tc>
        <w:tc>
          <w:tcPr>
            <w:tcW w:w="120" w:type="dxa"/>
            <w:vAlign w:val="bottom"/>
          </w:tcPr>
          <w:p>
            <w:pPr>
              <w:spacing w:after="0"/>
              <w:rPr>
                <w:sz w:val="13"/>
                <w:szCs w:val="13"/>
                <w:color w:val="auto"/>
              </w:rPr>
            </w:pPr>
          </w:p>
        </w:tc>
        <w:tc>
          <w:tcPr>
            <w:tcW w:w="50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r>
        <w:trPr>
          <w:trHeight w:val="210"/>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STRCW</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firstLine="599"/>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right="1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right="260" w:firstLine="599"/>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8"/>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42" w:lineRule="exact"/>
        <w:rPr>
          <w:sz w:val="24"/>
          <w:szCs w:val="24"/>
          <w:color w:val="auto"/>
        </w:rPr>
      </w:pPr>
    </w:p>
    <w:p>
      <w:pPr>
        <w:ind w:right="5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600" w:right="202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29, 2022, the registrant had 153.8 million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160" w:type="dxa"/>
            <w:vAlign w:val="bottom"/>
            <w:gridSpan w:val="3"/>
            <w:vMerge w:val="continue"/>
          </w:tcPr>
          <w:p>
            <w:pPr>
              <w:spacing w:after="0"/>
              <w:rPr>
                <w:sz w:val="13"/>
                <w:szCs w:val="13"/>
                <w:color w:val="auto"/>
              </w:rPr>
            </w:pPr>
          </w:p>
        </w:tc>
        <w:tc>
          <w:tcPr>
            <w:tcW w:w="9300" w:type="dxa"/>
            <w:vAlign w:val="bottom"/>
            <w:gridSpan w:val="22"/>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2260" w:type="dxa"/>
            <w:vAlign w:val="bottom"/>
            <w:tcBorders>
              <w:top w:val="single" w:sz="8" w:color="0000FF"/>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2"/>
              </w:rPr>
              <w:t>Financial Statements (Unaudited)</w:t>
            </w:r>
          </w:p>
        </w:tc>
        <w:tc>
          <w:tcPr>
            <w:tcW w:w="80" w:type="dxa"/>
            <w:vAlign w:val="bottom"/>
            <w:tcBorders>
              <w:bottom w:val="single" w:sz="8" w:color="0000FF"/>
            </w:tcBorders>
          </w:tcPr>
          <w:p>
            <w:pPr>
              <w:spacing w:after="0"/>
              <w:rPr>
                <w:sz w:val="15"/>
                <w:szCs w:val="15"/>
                <w:color w:val="auto"/>
              </w:rPr>
            </w:pPr>
          </w:p>
        </w:tc>
        <w:tc>
          <w:tcPr>
            <w:tcW w:w="80" w:type="dxa"/>
            <w:vAlign w:val="bottom"/>
            <w:tcBorders>
              <w:bottom w:val="single" w:sz="8" w:color="0000FF"/>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4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Balance</w:t>
            </w:r>
          </w:p>
        </w:tc>
        <w:tc>
          <w:tcPr>
            <w:tcW w:w="6860" w:type="dxa"/>
            <w:vAlign w:val="bottom"/>
            <w:gridSpan w:val="10"/>
          </w:tcPr>
          <w:p>
            <w:pPr>
              <w:ind w:left="40"/>
              <w:spacing w:after="0" w:line="182" w:lineRule="exact"/>
              <w:rPr>
                <w:sz w:val="20"/>
                <w:szCs w:val="20"/>
                <w:color w:val="auto"/>
              </w:rPr>
            </w:pPr>
            <w:r>
              <w:rPr>
                <w:rFonts w:ascii="Times New Roman" w:cs="Times New Roman" w:eastAsia="Times New Roman" w:hAnsi="Times New Roman"/>
                <w:sz w:val="18"/>
                <w:szCs w:val="18"/>
                <w:color w:val="0000FF"/>
              </w:rPr>
              <w:t>Sheets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tcBorders>
              <w:top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w:t>
            </w:r>
          </w:p>
        </w:tc>
        <w:tc>
          <w:tcPr>
            <w:tcW w:w="636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Operations and Comprehensive Loss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540" w:type="dxa"/>
            <w:vAlign w:val="bottom"/>
            <w:tcBorders>
              <w:top w:val="single" w:sz="8" w:color="0000FF"/>
            </w:tcBorders>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9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0" w:type="dxa"/>
            <w:vAlign w:val="bottom"/>
            <w:tcBorders>
              <w:top w:val="single" w:sz="8" w:color="0000FF"/>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2"/>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0" w:type="dxa"/>
            <w:vAlign w:val="bottom"/>
            <w:tcBorders>
              <w:bottom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5"/>
                <w:szCs w:val="15"/>
                <w:color w:val="auto"/>
              </w:rPr>
            </w:pPr>
          </w:p>
        </w:tc>
        <w:tc>
          <w:tcPr>
            <w:tcW w:w="4480" w:type="dxa"/>
            <w:vAlign w:val="bottom"/>
            <w:gridSpan w:val="3"/>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80" w:type="dxa"/>
            <w:vAlign w:val="bottom"/>
            <w:tcBorders>
              <w:top w:val="single" w:sz="8" w:color="0000FF"/>
            </w:tcBorders>
            <w:gridSpan w:val="9"/>
          </w:tcPr>
          <w:p>
            <w:pPr>
              <w:spacing w:after="0"/>
              <w:rPr>
                <w:sz w:val="15"/>
                <w:szCs w:val="15"/>
                <w:color w:val="auto"/>
              </w:rPr>
            </w:pPr>
          </w:p>
        </w:tc>
        <w:tc>
          <w:tcPr>
            <w:tcW w:w="492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800" w:type="dxa"/>
            <w:vAlign w:val="bottom"/>
            <w:tcBorders>
              <w:bottom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3"/>
              </w:rPr>
              <w:t>OTHER INFORMATION</w:t>
            </w:r>
          </w:p>
        </w:tc>
        <w:tc>
          <w:tcPr>
            <w:tcW w:w="100" w:type="dxa"/>
            <w:vAlign w:val="bottom"/>
            <w:tcBorders>
              <w:bottom w:val="single" w:sz="8" w:color="0000FF"/>
            </w:tcBorders>
          </w:tcPr>
          <w:p>
            <w:pPr>
              <w:spacing w:after="0"/>
              <w:rPr>
                <w:sz w:val="15"/>
                <w:szCs w:val="15"/>
                <w:color w:val="auto"/>
              </w:rPr>
            </w:pPr>
          </w:p>
        </w:tc>
        <w:tc>
          <w:tcPr>
            <w:tcW w:w="440" w:type="dxa"/>
            <w:vAlign w:val="bottom"/>
            <w:gridSpan w:val="2"/>
          </w:tcPr>
          <w:p>
            <w:pPr>
              <w:spacing w:after="0"/>
              <w:rPr>
                <w:sz w:val="15"/>
                <w:szCs w:val="15"/>
                <w:color w:val="auto"/>
              </w:rPr>
            </w:pPr>
          </w:p>
        </w:tc>
        <w:tc>
          <w:tcPr>
            <w:tcW w:w="2020" w:type="dxa"/>
            <w:vAlign w:val="bottom"/>
            <w:gridSpan w:val="5"/>
          </w:tcPr>
          <w:p>
            <w:pPr>
              <w:spacing w:after="0"/>
              <w:rPr>
                <w:sz w:val="15"/>
                <w:szCs w:val="15"/>
                <w:color w:val="auto"/>
              </w:rPr>
            </w:pPr>
          </w:p>
        </w:tc>
        <w:tc>
          <w:tcPr>
            <w:tcW w:w="4940" w:type="dxa"/>
            <w:vAlign w:val="bottom"/>
            <w:gridSpan w:val="7"/>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190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Legal Proceedings</w:t>
            </w:r>
          </w:p>
        </w:tc>
        <w:tc>
          <w:tcPr>
            <w:tcW w:w="440" w:type="dxa"/>
            <w:vAlign w:val="bottom"/>
            <w:gridSpan w:val="2"/>
          </w:tcPr>
          <w:p>
            <w:pPr>
              <w:spacing w:after="0"/>
              <w:rPr>
                <w:sz w:val="15"/>
                <w:szCs w:val="15"/>
                <w:color w:val="auto"/>
              </w:rPr>
            </w:pPr>
          </w:p>
        </w:tc>
        <w:tc>
          <w:tcPr>
            <w:tcW w:w="2020" w:type="dxa"/>
            <w:vAlign w:val="bottom"/>
            <w:gridSpan w:val="5"/>
          </w:tcPr>
          <w:p>
            <w:pPr>
              <w:spacing w:after="0"/>
              <w:rPr>
                <w:sz w:val="15"/>
                <w:szCs w:val="15"/>
                <w:color w:val="auto"/>
              </w:rPr>
            </w:pPr>
          </w:p>
        </w:tc>
        <w:tc>
          <w:tcPr>
            <w:tcW w:w="494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1000" w:type="dxa"/>
            <w:vAlign w:val="bottom"/>
            <w:gridSpan w:val="5"/>
          </w:tcPr>
          <w:p>
            <w:pPr>
              <w:spacing w:after="0"/>
              <w:rPr>
                <w:sz w:val="15"/>
                <w:szCs w:val="15"/>
                <w:color w:val="auto"/>
              </w:rPr>
            </w:pPr>
          </w:p>
        </w:tc>
        <w:tc>
          <w:tcPr>
            <w:tcW w:w="2020" w:type="dxa"/>
            <w:vAlign w:val="bottom"/>
            <w:gridSpan w:val="5"/>
          </w:tcPr>
          <w:p>
            <w:pPr>
              <w:spacing w:after="0"/>
              <w:rPr>
                <w:sz w:val="15"/>
                <w:szCs w:val="15"/>
                <w:color w:val="auto"/>
              </w:rPr>
            </w:pPr>
          </w:p>
        </w:tc>
        <w:tc>
          <w:tcPr>
            <w:tcW w:w="494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8"/>
              </w:rPr>
              <w:t>Unregistered</w:t>
            </w:r>
          </w:p>
        </w:tc>
        <w:tc>
          <w:tcPr>
            <w:tcW w:w="8360" w:type="dxa"/>
            <w:vAlign w:val="bottom"/>
            <w:gridSpan w:val="19"/>
          </w:tcPr>
          <w:p>
            <w:pPr>
              <w:ind w:left="4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4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40" w:type="dxa"/>
            <w:vAlign w:val="bottom"/>
            <w:tcBorders>
              <w:top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960" w:type="dxa"/>
            <w:vAlign w:val="bottom"/>
            <w:gridSpan w:val="1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520" w:type="dxa"/>
            <w:vAlign w:val="bottom"/>
            <w:gridSpan w:val="1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vMerge w:val="restart"/>
          </w:tcPr>
          <w:p>
            <w:pPr>
              <w:spacing w:after="0"/>
              <w:rPr>
                <w:sz w:val="15"/>
                <w:szCs w:val="15"/>
                <w:color w:val="auto"/>
              </w:rPr>
            </w:pPr>
          </w:p>
        </w:tc>
        <w:tc>
          <w:tcPr>
            <w:tcW w:w="4200" w:type="dxa"/>
            <w:vAlign w:val="bottom"/>
            <w:gridSpan w:val="17"/>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vMerge w:val="continue"/>
          </w:tcPr>
          <w:p>
            <w:pPr>
              <w:spacing w:after="0"/>
              <w:rPr>
                <w:sz w:val="24"/>
                <w:szCs w:val="24"/>
                <w:color w:val="auto"/>
              </w:rPr>
            </w:pPr>
          </w:p>
        </w:tc>
        <w:tc>
          <w:tcPr>
            <w:tcW w:w="4200" w:type="dxa"/>
            <w:vAlign w:val="bottom"/>
            <w:gridSpan w:val="17"/>
            <w:vMerge w:val="continue"/>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1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Part II, Item 1A Risk Factors. The following list summarizes the principal risks we face:</w:t>
      </w:r>
    </w:p>
    <w:p>
      <w:pPr>
        <w:spacing w:after="0" w:line="311"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 stage company with a history of losses, and expect to incur significant expenses for the foreseeable future.</w:t>
      </w:r>
    </w:p>
    <w:p>
      <w:pPr>
        <w:spacing w:after="0" w:line="144"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manage our growth, we may not be able to design, develop, manufacture, market and launch our robotic systems successfully.</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acquisition of RE2, Inc. is subject to numerous risks and uncertainties, including integration risks.</w:t>
      </w:r>
    </w:p>
    <w:p>
      <w:pPr>
        <w:spacing w:after="0" w:line="144"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projections rely on management assumptions and analyses. If these assumptions or analyses prove to be incorrect, our actual operating results may be materially different from our forecasted results.</w:t>
      </w:r>
    </w:p>
    <w:p>
      <w:pPr>
        <w:spacing w:after="0" w:line="9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production of commercial units of our core products, the Guardian XO and Guardian XT, may be delayed beyond the end of 2022 and therefore initial delivery to customers could be beyond early 2023.</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very limited experience commercializing our products and may not be able to do so efficiently or effectively.</w:t>
      </w:r>
    </w:p>
    <w:p>
      <w:pPr>
        <w:spacing w:after="0" w:line="14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require a significant amount of capital. Our future capital needs may require us to sell additional equity or debt securities that may dilute our stockholders or introduce covenants that may restrict our operations or our ability to pay dividends.</w:t>
      </w:r>
    </w:p>
    <w:p>
      <w:pPr>
        <w:spacing w:after="0" w:line="80"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core products represent a new product category, and important assumptions about the market demand, pricing, adoption rates and sales cycle, for our current and future products may be inaccurate.</w:t>
      </w:r>
    </w:p>
    <w:p>
      <w:pPr>
        <w:spacing w:after="0" w:line="94"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many of our products still under development, we have limited current customers and no pending orders for the upcoming commercial version of our core products, the Guardian XO and Guardian XT, and expected customer trials and discussions with respect to those products may not result in binding orders or subscriptions.</w:t>
      </w:r>
    </w:p>
    <w:p>
      <w:pPr>
        <w:spacing w:after="0" w:line="109"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successfully market our products, the purchase or subscription, adoption and use of the products may be materially and negatively impacted if the employees of our customers resist the use and adoption of the products.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Robot-as-a-Service (“RaaS”) subscription model has yet to be tested and may fail to gain commercial acceptance.</w:t>
      </w:r>
    </w:p>
    <w:p>
      <w:pPr>
        <w:spacing w:after="0" w:line="14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successful in commercializing our products, our revenue will be concentrated in a limited number of products for the foreseeable future.</w:t>
      </w:r>
    </w:p>
    <w:p>
      <w:pPr>
        <w:spacing w:after="0" w:line="94"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to customers of our products could be supplanted by other technologies or solutions or competitors' products that utilize similar technology to ours in a more effective way.</w:t>
      </w:r>
    </w:p>
    <w:p>
      <w:pPr>
        <w:spacing w:after="0" w:line="94"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flaws, defects, glitches or malfunctions in our products or the software that operates them, failure of our products to perform as expected, connectivity issues or user errors, can result in product recalls, lower than expected return on investment for customers, harm to users and significant safety concerns, each of which could materially and adversely affect our results of operations, financial condition or reputation.</w:t>
      </w:r>
    </w:p>
    <w:p>
      <w:pPr>
        <w:spacing w:after="0" w:line="10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experience maintaining or servicing our products at a large scale.</w:t>
      </w:r>
    </w:p>
    <w:p>
      <w:pPr>
        <w:spacing w:after="0" w:line="14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manufacture products of sufficient quality on schedule and on a large scale is unproven, and delays in the design, production and launch of our products could harm our business, prospects, financial condition and operating results.</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may be subject to risks associated with strategic alliances or acquisitions and may not be able to identify adequate strategic relationship opportunities, or form strategic relationships, in the future.</w:t>
      </w:r>
    </w:p>
    <w:p>
      <w:pPr>
        <w:spacing w:after="0" w:line="80" w:lineRule="exact"/>
        <w:rPr>
          <w:rFonts w:ascii="Times New Roman" w:cs="Times New Roman" w:eastAsia="Times New Roman" w:hAnsi="Times New Roman"/>
          <w:sz w:val="18"/>
          <w:szCs w:val="18"/>
          <w:color w:val="auto"/>
        </w:rPr>
      </w:pPr>
    </w:p>
    <w:p>
      <w:pPr>
        <w:jc w:val="both"/>
        <w:ind w:left="1020" w:right="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our senior management and other key employees and, if we are unable to attract and retain a sufficient number of qualified employees, our ability to design, manufacture and launch our products, operate our business and compete could be harmed.</w:t>
      </w:r>
    </w:p>
    <w:p>
      <w:pPr>
        <w:spacing w:after="0" w:line="10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as a group has limited experience in operating a public company.</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impacts from COVID-19 or another pandemic, epidemic or outbreak of an infectious disease may materially and adversely impact</w:t>
      </w:r>
    </w:p>
    <w:p>
      <w:pPr>
        <w:spacing w:after="0" w:line="25" w:lineRule="exact"/>
        <w:rPr>
          <w:sz w:val="20"/>
          <w:szCs w:val="20"/>
          <w:color w:val="auto"/>
        </w:rPr>
      </w:pPr>
    </w:p>
    <w:p>
      <w:pPr>
        <w:jc w:val="right"/>
        <w:ind w:right="5520"/>
        <w:spacing w:after="0"/>
        <w:rPr>
          <w:sz w:val="20"/>
          <w:szCs w:val="20"/>
          <w:color w:val="auto"/>
        </w:rPr>
      </w:pPr>
      <w:r>
        <w:rPr>
          <w:rFonts w:ascii="Times New Roman" w:cs="Times New Roman" w:eastAsia="Times New Roman" w:hAnsi="Times New Roman"/>
          <w:sz w:val="18"/>
          <w:szCs w:val="18"/>
          <w:color w:val="auto"/>
        </w:rPr>
        <w:t>our business, prospects, financial condition and operating results.</w:t>
      </w:r>
    </w:p>
    <w:p>
      <w:pPr>
        <w:jc w:val="right"/>
        <w:ind w:righ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ind w:left="503" w:right="2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significant delays in the design, development, production and launch of our robotic systems, which could harm our business, prospects, financial condition and operating results.</w:t>
      </w:r>
    </w:p>
    <w:p>
      <w:pPr>
        <w:spacing w:after="0" w:line="94"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prospects depend significantly on our ability to build our brands. We may not succeed in continuing to establish, maintain and strengthen our brands, and our brands and reputation could be harmed by negative publicity regarding us or our products.</w:t>
      </w:r>
    </w:p>
    <w:p>
      <w:pPr>
        <w:spacing w:after="0" w:line="80" w:lineRule="exact"/>
        <w:rPr>
          <w:rFonts w:ascii="Times New Roman" w:cs="Times New Roman" w:eastAsia="Times New Roman" w:hAnsi="Times New Roman"/>
          <w:sz w:val="18"/>
          <w:szCs w:val="18"/>
          <w:color w:val="auto"/>
        </w:rPr>
      </w:pPr>
    </w:p>
    <w:p>
      <w:pPr>
        <w:jc w:val="both"/>
        <w:ind w:left="503" w:hanging="503"/>
        <w:spacing w:after="0" w:line="245"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suppliers, some of which are currently single, sole or limited source suppliers, and any inability of these suppliers to deliver necessary components of our products at prices, volumes, performance and specifications acceptable to us, could have a material adverse effect on our business, prospects, financial condition and operating results. We have not yet identified all of the suppliers that we are likely to rely on to support any future commercialization of our core products.</w:t>
      </w:r>
    </w:p>
    <w:p>
      <w:pPr>
        <w:spacing w:after="0" w:line="113" w:lineRule="exact"/>
        <w:rPr>
          <w:rFonts w:ascii="Times New Roman" w:cs="Times New Roman" w:eastAsia="Times New Roman" w:hAnsi="Times New Roman"/>
          <w:sz w:val="18"/>
          <w:szCs w:val="18"/>
          <w:color w:val="auto"/>
        </w:rPr>
      </w:pPr>
    </w:p>
    <w:p>
      <w:pPr>
        <w:jc w:val="both"/>
        <w:ind w:left="503" w:hanging="503"/>
        <w:spacing w:after="0" w:line="258"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contract with a third-party manufacturing partner, we would need to develop our own manufacturing facilities, which may not be feasible and, if feasible, would significantly increase our capital expenditures and operating expenditures, and would significantly delay or inhibit production of our robotic systems.</w:t>
      </w:r>
    </w:p>
    <w:p>
      <w:pPr>
        <w:spacing w:after="0" w:line="10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that is subject to rapid technological change, and we expect competition to increase.</w:t>
      </w:r>
    </w:p>
    <w:p>
      <w:pPr>
        <w:spacing w:after="0" w:line="144"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may vary significantly from period to period due to fluctuations in our operating costs, product demand and other factors.</w:t>
      </w:r>
    </w:p>
    <w:p>
      <w:pPr>
        <w:spacing w:after="0" w:line="94" w:lineRule="exact"/>
        <w:rPr>
          <w:rFonts w:ascii="Times New Roman" w:cs="Times New Roman" w:eastAsia="Times New Roman" w:hAnsi="Times New Roman"/>
          <w:sz w:val="18"/>
          <w:szCs w:val="18"/>
          <w:color w:val="auto"/>
        </w:rPr>
      </w:pPr>
    </w:p>
    <w:p>
      <w:pPr>
        <w:jc w:val="both"/>
        <w:ind w:left="503" w:hanging="503"/>
        <w:spacing w:after="0" w:line="250"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Old Sarcos and Rotor identified a material weakness in their internal control over financial reporting prior to the closing of the Business Combination.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09"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incur substantial research and development costs and devote significant resources to identifying and commercializing new products, which could significantly reduce our profitability and may never result in revenue.</w:t>
      </w:r>
    </w:p>
    <w:p>
      <w:pPr>
        <w:spacing w:after="0" w:line="6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obtain and maintain protection for the intellectual property relating to or incorporated into our products.</w:t>
      </w:r>
    </w:p>
    <w:p>
      <w:pPr>
        <w:spacing w:after="0" w:line="80"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in all countries.</w:t>
      </w:r>
    </w:p>
    <w:p>
      <w:pPr>
        <w:spacing w:after="0" w:line="144" w:lineRule="exact"/>
        <w:rPr>
          <w:rFonts w:ascii="Times New Roman" w:cs="Times New Roman" w:eastAsia="Times New Roman" w:hAnsi="Times New Roman"/>
          <w:sz w:val="18"/>
          <w:szCs w:val="18"/>
          <w:color w:val="auto"/>
        </w:rPr>
      </w:pPr>
    </w:p>
    <w:p>
      <w:pPr>
        <w:ind w:left="503" w:hanging="503"/>
        <w:spacing w:after="0" w:line="24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intellectual property infringement claims or misappropriation claims, which may be time consuming and expensive and, if adversely determined, could limit our ability to commercialize our products.</w:t>
      </w:r>
    </w:p>
    <w:p>
      <w:pPr>
        <w:spacing w:after="0" w:line="1"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60325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7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SARCOS TECHNOLOGY AND ROBOTICS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data</w:t>
      </w:r>
      <w:r>
        <w:rPr>
          <w:rFonts w:ascii="Times New Roman" w:cs="Times New Roman" w:eastAsia="Times New Roman" w:hAnsi="Times New Roman"/>
          <w:sz w:val="18"/>
          <w:szCs w:val="18"/>
          <w:color w:val="auto"/>
        </w:rPr>
        <w: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7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2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8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198,958</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217,114</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Unbilled receivables</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 net</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8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6,969</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207,891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228,331</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6,841</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7,051</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8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215,192</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235,823</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26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80" w:type="dxa"/>
            <w:vAlign w:val="bottom"/>
            <w:shd w:val="clear" w:color="auto" w:fill="CFF0FC"/>
          </w:tcPr>
          <w:p>
            <w:pPr>
              <w:spacing w:after="0"/>
              <w:rPr>
                <w:sz w:val="17"/>
                <w:szCs w:val="17"/>
                <w:color w:val="auto"/>
              </w:rPr>
            </w:pPr>
          </w:p>
        </w:tc>
      </w:tr>
      <w:tr>
        <w:trPr>
          <w:trHeight w:val="196"/>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6,161</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Warrant liabilities</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7,283</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13,701</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8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14,767</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21,861</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49"/>
        </w:trPr>
        <w:tc>
          <w:tcPr>
            <w:tcW w:w="7680" w:type="dxa"/>
            <w:vAlign w:val="bottom"/>
          </w:tcPr>
          <w:p>
            <w:pPr>
              <w:ind w:left="200"/>
              <w:spacing w:after="0" w:line="148" w:lineRule="exact"/>
              <w:rPr>
                <w:sz w:val="20"/>
                <w:szCs w:val="20"/>
                <w:color w:val="auto"/>
              </w:rPr>
            </w:pPr>
            <w:r>
              <w:rPr>
                <w:rFonts w:ascii="Times New Roman" w:cs="Times New Roman" w:eastAsia="Times New Roman" w:hAnsi="Times New Roman"/>
                <w:sz w:val="16"/>
                <w:szCs w:val="16"/>
                <w:color w:val="auto"/>
              </w:rPr>
              <w:t>Common stock, $0.0001 par value, 990,000,000 shares authorized as of March 31, 2022, and December 31,</w:t>
            </w: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5"/>
        </w:trPr>
        <w:tc>
          <w:tcPr>
            <w:tcW w:w="768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2021; 139,026,245 and 137,722,658 shares issued and outstanding as of March 31, 2022, and December 31,</w:t>
            </w: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2021, respectively</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r>
      <w:tr>
        <w:trPr>
          <w:trHeight w:val="20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365,104</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359,439</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spacing w:after="0"/>
              <w:rPr>
                <w:sz w:val="17"/>
                <w:szCs w:val="17"/>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(164,693 )</w:t>
            </w:r>
          </w:p>
        </w:tc>
        <w:tc>
          <w:tcPr>
            <w:tcW w:w="120" w:type="dxa"/>
            <w:vAlign w:val="bottom"/>
          </w:tcPr>
          <w:p>
            <w:pPr>
              <w:spacing w:after="0"/>
              <w:rPr>
                <w:sz w:val="17"/>
                <w:szCs w:val="17"/>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(145,491 )</w:t>
            </w:r>
          </w:p>
        </w:tc>
      </w:tr>
      <w:tr>
        <w:trPr>
          <w:trHeight w:val="19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200,425</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213,962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215,192</w:t>
            </w:r>
          </w:p>
        </w:tc>
        <w:tc>
          <w:tcPr>
            <w:tcW w:w="2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235,823</w:t>
            </w:r>
          </w:p>
        </w:tc>
        <w:tc>
          <w:tcPr>
            <w:tcW w:w="8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-2759710</wp:posOffset>
            </wp:positionV>
            <wp:extent cx="514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-2759710</wp:posOffset>
            </wp:positionV>
            <wp:extent cx="514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-2228215</wp:posOffset>
            </wp:positionV>
            <wp:extent cx="514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-2211070</wp:posOffset>
            </wp:positionV>
            <wp:extent cx="514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-2228215</wp:posOffset>
            </wp:positionV>
            <wp:extent cx="514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-2211070</wp:posOffset>
            </wp:positionV>
            <wp:extent cx="51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-161925</wp:posOffset>
            </wp:positionV>
            <wp:extent cx="514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-161925</wp:posOffset>
            </wp:positionV>
            <wp:extent cx="514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ind w:left="3160"/>
        <w:spacing w:after="0"/>
        <w:rPr>
          <w:sz w:val="20"/>
          <w:szCs w:val="20"/>
          <w:color w:val="auto"/>
        </w:rPr>
      </w:pPr>
      <w:r>
        <w:rPr>
          <w:rFonts w:ascii="Times New Roman" w:cs="Times New Roman" w:eastAsia="Times New Roman" w:hAnsi="Times New Roman"/>
          <w:sz w:val="18"/>
          <w:szCs w:val="18"/>
          <w:b w:val="1"/>
          <w:bCs w:val="1"/>
          <w:color w:val="auto"/>
        </w:rPr>
        <w:t>SARCOS TECHNOLOGY AND ROBOTICS CORPORATION</w:t>
      </w:r>
    </w:p>
    <w:p>
      <w:pPr>
        <w:spacing w:after="0" w:line="3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and per share data</w:t>
      </w:r>
      <w:r>
        <w:rPr>
          <w:rFonts w:ascii="Times New Roman" w:cs="Times New Roman" w:eastAsia="Times New Roman" w:hAnsi="Times New Roman"/>
          <w:sz w:val="18"/>
          <w:szCs w:val="18"/>
          <w:color w:val="auto"/>
        </w:rPr>
        <w: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0" w:type="dxa"/>
            <w:vAlign w:val="bottom"/>
            <w:gridSpan w:val="5"/>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6"/>
        </w:trPr>
        <w:tc>
          <w:tcPr>
            <w:tcW w:w="7680" w:type="dxa"/>
            <w:vAlign w:val="bottom"/>
          </w:tcPr>
          <w:p>
            <w:pPr>
              <w:ind w:left="376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Cost of revenue</w:t>
            </w: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5,881</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17,792</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2,211</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80" w:type="dxa"/>
            <w:vAlign w:val="bottom"/>
          </w:tcPr>
          <w:p>
            <w:pPr>
              <w:spacing w:after="0"/>
              <w:rPr>
                <w:sz w:val="17"/>
                <w:szCs w:val="17"/>
                <w:color w:val="auto"/>
              </w:rPr>
            </w:pPr>
          </w:p>
        </w:tc>
      </w:tr>
      <w:tr>
        <w:trPr>
          <w:trHeight w:val="196"/>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26,372</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6,987</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6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(25,629 )</w:t>
            </w:r>
          </w:p>
        </w:tc>
        <w:tc>
          <w:tcPr>
            <w:tcW w:w="36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(5,188 )</w:t>
            </w:r>
          </w:p>
        </w:tc>
      </w:tr>
      <w:tr>
        <w:trPr>
          <w:trHeight w:val="20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(10 )</w:t>
            </w: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warrant liability</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6,414</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36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(19,202 )</w:t>
            </w:r>
          </w:p>
        </w:tc>
        <w:tc>
          <w:tcPr>
            <w:tcW w:w="36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(5,198 )</w:t>
            </w:r>
          </w:p>
        </w:tc>
      </w:tr>
      <w:tr>
        <w:trPr>
          <w:trHeight w:val="19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(19,202 )</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(5,198 )</w:t>
            </w:r>
          </w:p>
        </w:tc>
      </w:tr>
      <w:tr>
        <w:trPr>
          <w:trHeight w:val="20"/>
        </w:trPr>
        <w:tc>
          <w:tcPr>
            <w:tcW w:w="7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per share:</w:t>
            </w:r>
          </w:p>
        </w:tc>
        <w:tc>
          <w:tcPr>
            <w:tcW w:w="3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r>
      <w:tr>
        <w:trPr>
          <w:trHeight w:val="196"/>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 and diluted</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(0.14 )</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(0.05 )</w:t>
            </w:r>
          </w:p>
        </w:tc>
      </w:tr>
      <w:tr>
        <w:trPr>
          <w:trHeight w:val="20"/>
        </w:trPr>
        <w:tc>
          <w:tcPr>
            <w:tcW w:w="7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Weighted-average shares used in computing net loss per share</w:t>
            </w:r>
          </w:p>
        </w:tc>
        <w:tc>
          <w:tcPr>
            <w:tcW w:w="3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r>
      <w:tr>
        <w:trPr>
          <w:trHeight w:val="196"/>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 and diluted</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137,908,690</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104,059,652</w:t>
            </w:r>
          </w:p>
        </w:tc>
        <w:tc>
          <w:tcPr>
            <w:tcW w:w="8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-1542415</wp:posOffset>
            </wp:positionV>
            <wp:extent cx="51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-1542415</wp:posOffset>
            </wp:positionV>
            <wp:extent cx="51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-1019810</wp:posOffset>
            </wp:positionV>
            <wp:extent cx="5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-1019810</wp:posOffset>
            </wp:positionV>
            <wp:extent cx="51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-744855</wp:posOffset>
            </wp:positionV>
            <wp:extent cx="51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-744855</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-454025</wp:posOffset>
            </wp:positionV>
            <wp:extent cx="514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-454025</wp:posOffset>
            </wp:positionV>
            <wp:extent cx="514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-162560</wp:posOffset>
            </wp:positionV>
            <wp:extent cx="5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-162560</wp:posOffset>
            </wp:positionV>
            <wp:extent cx="51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SARCOS TECHNOLOGY AND ROBOTICS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6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1"/>
                <w:szCs w:val="11"/>
                <w:b w:val="1"/>
                <w:bCs w:val="1"/>
                <w:color w:val="auto"/>
                <w:w w:val="97"/>
              </w:rPr>
              <w:t>Convertible Preferred Stock</w:t>
            </w: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9"/>
        </w:trPr>
        <w:tc>
          <w:tcPr>
            <w:tcW w:w="2680" w:type="dxa"/>
            <w:vAlign w:val="bottom"/>
          </w:tcPr>
          <w:p>
            <w:pPr>
              <w:spacing w:after="0"/>
              <w:rPr>
                <w:sz w:val="11"/>
                <w:szCs w:val="11"/>
                <w:color w:val="auto"/>
              </w:rPr>
            </w:pPr>
          </w:p>
        </w:tc>
        <w:tc>
          <w:tcPr>
            <w:tcW w:w="840" w:type="dxa"/>
            <w:vAlign w:val="bottom"/>
            <w:tcBorders>
              <w:bottom w:val="single" w:sz="8" w:color="auto"/>
            </w:tcBorders>
            <w:gridSpan w:val="3"/>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2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Borders>
              <w:bottom w:val="single" w:sz="8" w:color="auto"/>
            </w:tcBorders>
            <w:gridSpan w:val="3"/>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Series B</w:t>
            </w:r>
          </w:p>
        </w:tc>
        <w:tc>
          <w:tcPr>
            <w:tcW w:w="2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Series C</w:t>
            </w:r>
          </w:p>
        </w:tc>
        <w:tc>
          <w:tcPr>
            <w:tcW w:w="2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Borders>
              <w:bottom w:val="single" w:sz="8" w:color="auto"/>
            </w:tcBorders>
            <w:gridSpan w:val="3"/>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640" w:type="dxa"/>
            <w:vAlign w:val="bottom"/>
            <w:gridSpan w:val="7"/>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Accumulated  Noncontrolling</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28"/>
        </w:trPr>
        <w:tc>
          <w:tcPr>
            <w:tcW w:w="2680" w:type="dxa"/>
            <w:vAlign w:val="bottom"/>
          </w:tcPr>
          <w:p>
            <w:pPr>
              <w:spacing w:after="0"/>
              <w:rPr>
                <w:sz w:val="11"/>
                <w:szCs w:val="11"/>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11"/>
                <w:szCs w:val="11"/>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Pr>
          <w:p>
            <w:pPr>
              <w:spacing w:after="0"/>
              <w:rPr>
                <w:sz w:val="11"/>
                <w:szCs w:val="11"/>
                <w:color w:val="auto"/>
              </w:rPr>
            </w:pPr>
          </w:p>
        </w:tc>
        <w:tc>
          <w:tcPr>
            <w:tcW w:w="6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1"/>
                <w:szCs w:val="11"/>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4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11"/>
                <w:szCs w:val="11"/>
                <w:color w:val="auto"/>
              </w:rPr>
            </w:pPr>
          </w:p>
        </w:tc>
        <w:tc>
          <w:tcPr>
            <w:tcW w:w="760" w:type="dxa"/>
            <w:vAlign w:val="bottom"/>
            <w:gridSpan w:val="3"/>
          </w:tcPr>
          <w:p>
            <w:pPr>
              <w:jc w:val="right"/>
              <w:ind w:right="326"/>
              <w:spacing w:after="0" w:line="122" w:lineRule="exact"/>
              <w:rPr>
                <w:sz w:val="20"/>
                <w:szCs w:val="20"/>
                <w:color w:val="auto"/>
              </w:rPr>
            </w:pPr>
            <w:r>
              <w:rPr>
                <w:rFonts w:ascii="Times New Roman" w:cs="Times New Roman" w:eastAsia="Times New Roman" w:hAnsi="Times New Roman"/>
                <w:sz w:val="11"/>
                <w:szCs w:val="11"/>
                <w:b w:val="1"/>
                <w:bCs w:val="1"/>
                <w:color w:val="auto"/>
              </w:rPr>
              <w:t>Deficit</w:t>
            </w:r>
          </w:p>
        </w:tc>
        <w:tc>
          <w:tcPr>
            <w:tcW w:w="760" w:type="dxa"/>
            <w:vAlign w:val="bottom"/>
            <w:gridSpan w:val="3"/>
          </w:tcPr>
          <w:p>
            <w:pPr>
              <w:jc w:val="right"/>
              <w:ind w:right="246"/>
              <w:spacing w:after="0" w:line="122" w:lineRule="exact"/>
              <w:rPr>
                <w:sz w:val="20"/>
                <w:szCs w:val="20"/>
                <w:color w:val="auto"/>
              </w:rPr>
            </w:pPr>
            <w:r>
              <w:rPr>
                <w:rFonts w:ascii="Times New Roman" w:cs="Times New Roman" w:eastAsia="Times New Roman" w:hAnsi="Times New Roman"/>
                <w:sz w:val="11"/>
                <w:szCs w:val="11"/>
                <w:b w:val="1"/>
                <w:bCs w:val="1"/>
                <w:color w:val="auto"/>
              </w:rPr>
              <w:t>Interests</w:t>
            </w:r>
          </w:p>
        </w:tc>
        <w:tc>
          <w:tcPr>
            <w:tcW w:w="7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28"/>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Balance at December 31, 2020</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5,421,446</w:t>
            </w:r>
          </w:p>
        </w:tc>
        <w:tc>
          <w:tcPr>
            <w:tcW w:w="60" w:type="dxa"/>
            <w:vAlign w:val="bottom"/>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6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3,158,338</w:t>
            </w:r>
          </w:p>
        </w:tc>
        <w:tc>
          <w:tcPr>
            <w:tcW w:w="60" w:type="dxa"/>
            <w:vAlign w:val="bottom"/>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6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3,532,228</w:t>
            </w:r>
          </w:p>
        </w:tc>
        <w:tc>
          <w:tcPr>
            <w:tcW w:w="60" w:type="dxa"/>
            <w:vAlign w:val="bottom"/>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40" w:type="dxa"/>
            <w:vAlign w:val="bottom"/>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171,645</w:t>
            </w:r>
          </w:p>
        </w:tc>
        <w:tc>
          <w:tcPr>
            <w:tcW w:w="4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8,000,001</w:t>
            </w:r>
          </w:p>
        </w:tc>
        <w:tc>
          <w:tcPr>
            <w:tcW w:w="4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4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96,870</w:t>
            </w:r>
          </w:p>
        </w:tc>
        <w:tc>
          <w:tcPr>
            <w:tcW w:w="6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(63,983</w:t>
            </w:r>
          </w:p>
        </w:tc>
        <w:tc>
          <w:tcPr>
            <w:tcW w:w="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
                <w:szCs w:val="1"/>
                <w:color w:val="auto"/>
                <w:w w:val="4294967281"/>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32,904</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Retroactive application of reverse recapitalization</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(5,421,446 )</w:t>
            </w:r>
          </w:p>
        </w:tc>
        <w:tc>
          <w:tcPr>
            <w:tcW w:w="220" w:type="dxa"/>
            <w:vAlign w:val="bottom"/>
          </w:tcPr>
          <w:p>
            <w:pPr>
              <w:spacing w:after="0"/>
              <w:rPr>
                <w:sz w:val="11"/>
                <w:szCs w:val="1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(3,158,338 )</w:t>
            </w:r>
          </w:p>
        </w:tc>
        <w:tc>
          <w:tcPr>
            <w:tcW w:w="220" w:type="dxa"/>
            <w:vAlign w:val="bottom"/>
          </w:tcPr>
          <w:p>
            <w:pPr>
              <w:spacing w:after="0"/>
              <w:rPr>
                <w:sz w:val="11"/>
                <w:szCs w:val="1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8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6"/>
              </w:rPr>
              <w:t>(3,532,228 )</w:t>
            </w:r>
          </w:p>
        </w:tc>
        <w:tc>
          <w:tcPr>
            <w:tcW w:w="220" w:type="dxa"/>
            <w:vAlign w:val="bottom"/>
          </w:tcPr>
          <w:p>
            <w:pPr>
              <w:spacing w:after="0"/>
              <w:rPr>
                <w:sz w:val="11"/>
                <w:szCs w:val="1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(4 ) 103,867,709</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90"/>
              </w:rPr>
              <w:t>10</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(8,000,001 )</w:t>
            </w:r>
          </w:p>
        </w:tc>
        <w:tc>
          <w:tcPr>
            <w:tcW w:w="200" w:type="dxa"/>
            <w:vAlign w:val="bottom"/>
          </w:tcPr>
          <w:p>
            <w:pPr>
              <w:spacing w:after="0"/>
              <w:rPr>
                <w:sz w:val="11"/>
                <w:szCs w:val="1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(8 )</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Balance, December 31, 2020, as adjusted</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104,039,354</w:t>
            </w:r>
          </w:p>
        </w:tc>
        <w:tc>
          <w:tcPr>
            <w:tcW w:w="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90"/>
              </w:rPr>
              <w:t>10</w:t>
            </w: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96,880</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(63,983</w:t>
            </w:r>
          </w:p>
        </w:tc>
        <w:tc>
          <w:tcPr>
            <w:tcW w:w="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32,904</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 of non-controlling interest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3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(203 )</w:t>
            </w:r>
          </w:p>
        </w:tc>
        <w:tc>
          <w:tcPr>
            <w:tcW w:w="120" w:type="dxa"/>
            <w:vAlign w:val="bottom"/>
          </w:tcPr>
          <w:p>
            <w:pPr>
              <w:spacing w:after="0"/>
              <w:rPr>
                <w:sz w:val="11"/>
                <w:szCs w:val="11"/>
                <w:color w:val="auto"/>
              </w:rPr>
            </w:pPr>
          </w:p>
        </w:tc>
        <w:tc>
          <w:tcPr>
            <w:tcW w:w="760" w:type="dxa"/>
            <w:vAlign w:val="bottom"/>
            <w:gridSpan w:val="3"/>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(200 )</w:t>
            </w:r>
          </w:p>
        </w:tc>
        <w:tc>
          <w:tcPr>
            <w:tcW w:w="0" w:type="dxa"/>
            <w:vAlign w:val="bottom"/>
          </w:tcPr>
          <w:p>
            <w:pPr>
              <w:spacing w:after="0"/>
              <w:rPr>
                <w:sz w:val="1"/>
                <w:szCs w:val="1"/>
                <w:color w:val="auto"/>
              </w:rPr>
            </w:pPr>
          </w:p>
        </w:tc>
      </w:tr>
      <w:tr>
        <w:trPr>
          <w:trHeight w:val="135"/>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3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gridSpan w:val="3"/>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6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Exercise of stock options</w:t>
            </w:r>
          </w:p>
        </w:tc>
        <w:tc>
          <w:tcPr>
            <w:tcW w:w="6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8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36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24,618</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40" w:type="dxa"/>
            <w:vAlign w:val="bottom"/>
          </w:tcPr>
          <w:p>
            <w:pPr>
              <w:spacing w:after="0"/>
              <w:rPr>
                <w:sz w:val="10"/>
                <w:szCs w:val="10"/>
                <w:color w:val="auto"/>
              </w:rPr>
            </w:pPr>
          </w:p>
        </w:tc>
        <w:tc>
          <w:tcPr>
            <w:tcW w:w="58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2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(5,198 )</w:t>
            </w:r>
          </w:p>
        </w:tc>
        <w:tc>
          <w:tcPr>
            <w:tcW w:w="7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(5,198 )</w:t>
            </w:r>
          </w:p>
        </w:tc>
        <w:tc>
          <w:tcPr>
            <w:tcW w:w="0" w:type="dxa"/>
            <w:vAlign w:val="bottom"/>
          </w:tcPr>
          <w:p>
            <w:pPr>
              <w:spacing w:after="0"/>
              <w:rPr>
                <w:sz w:val="1"/>
                <w:szCs w:val="1"/>
                <w:color w:val="auto"/>
              </w:rPr>
            </w:pPr>
          </w:p>
        </w:tc>
      </w:tr>
      <w:tr>
        <w:trPr>
          <w:trHeight w:val="22"/>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Balance at March 31, 2021</w:t>
            </w: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680" w:type="dxa"/>
            <w:vAlign w:val="bottom"/>
            <w:vMerge w:val="continue"/>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104,063,972</w:t>
            </w:r>
          </w:p>
        </w:tc>
        <w:tc>
          <w:tcPr>
            <w:tcW w:w="40" w:type="dxa"/>
            <w:vAlign w:val="bottom"/>
          </w:tcPr>
          <w:p>
            <w:pPr>
              <w:spacing w:after="0"/>
              <w:rPr>
                <w:sz w:val="11"/>
                <w:szCs w:val="11"/>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90"/>
              </w:rPr>
              <w:t>10</w:t>
            </w:r>
          </w:p>
        </w:tc>
        <w:tc>
          <w:tcPr>
            <w:tcW w:w="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96,870</w:t>
            </w:r>
          </w:p>
        </w:tc>
        <w:tc>
          <w:tcPr>
            <w:tcW w:w="6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color w:val="auto"/>
              </w:rPr>
              <w:t>(69,181 )$</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27,699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93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6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1"/>
                <w:szCs w:val="11"/>
                <w:b w:val="1"/>
                <w:bCs w:val="1"/>
                <w:color w:val="auto"/>
                <w:w w:val="99"/>
              </w:rPr>
              <w:t>Convertible Preferred Stock</w:t>
            </w: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28"/>
        </w:trPr>
        <w:tc>
          <w:tcPr>
            <w:tcW w:w="2680" w:type="dxa"/>
            <w:vAlign w:val="bottom"/>
          </w:tcPr>
          <w:p>
            <w:pPr>
              <w:spacing w:after="0"/>
              <w:rPr>
                <w:sz w:val="11"/>
                <w:szCs w:val="11"/>
                <w:color w:val="auto"/>
              </w:rPr>
            </w:pPr>
          </w:p>
        </w:tc>
        <w:tc>
          <w:tcPr>
            <w:tcW w:w="84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2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rPr>
              <w:t>Series B</w:t>
            </w:r>
          </w:p>
        </w:tc>
        <w:tc>
          <w:tcPr>
            <w:tcW w:w="2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1"/>
                <w:szCs w:val="11"/>
                <w:b w:val="1"/>
                <w:bCs w:val="1"/>
                <w:color w:val="auto"/>
              </w:rPr>
              <w:t>Series C</w:t>
            </w:r>
          </w:p>
        </w:tc>
        <w:tc>
          <w:tcPr>
            <w:tcW w:w="2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Borders>
              <w:bottom w:val="single" w:sz="8" w:color="auto"/>
            </w:tcBorders>
            <w:gridSpan w:val="3"/>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520" w:type="dxa"/>
            <w:vAlign w:val="bottom"/>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Accumulated  Noncontrolling</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r>
      <w:tr>
        <w:trPr>
          <w:trHeight w:val="128"/>
        </w:trPr>
        <w:tc>
          <w:tcPr>
            <w:tcW w:w="2680" w:type="dxa"/>
            <w:vAlign w:val="bottom"/>
          </w:tcPr>
          <w:p>
            <w:pPr>
              <w:spacing w:after="0"/>
              <w:rPr>
                <w:sz w:val="11"/>
                <w:szCs w:val="11"/>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0" w:type="dxa"/>
            <w:vAlign w:val="bottom"/>
          </w:tcPr>
          <w:p>
            <w:pPr>
              <w:spacing w:after="0"/>
              <w:rPr>
                <w:sz w:val="11"/>
                <w:szCs w:val="11"/>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11"/>
                <w:szCs w:val="11"/>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11"/>
                <w:szCs w:val="11"/>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4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4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11"/>
                <w:szCs w:val="11"/>
                <w:color w:val="auto"/>
              </w:rPr>
            </w:pPr>
          </w:p>
        </w:tc>
        <w:tc>
          <w:tcPr>
            <w:tcW w:w="760" w:type="dxa"/>
            <w:vAlign w:val="bottom"/>
            <w:gridSpan w:val="3"/>
          </w:tcPr>
          <w:p>
            <w:pPr>
              <w:jc w:val="right"/>
              <w:ind w:right="326"/>
              <w:spacing w:after="0" w:line="122" w:lineRule="exact"/>
              <w:rPr>
                <w:sz w:val="20"/>
                <w:szCs w:val="20"/>
                <w:color w:val="auto"/>
              </w:rPr>
            </w:pPr>
            <w:r>
              <w:rPr>
                <w:rFonts w:ascii="Times New Roman" w:cs="Times New Roman" w:eastAsia="Times New Roman" w:hAnsi="Times New Roman"/>
                <w:sz w:val="11"/>
                <w:szCs w:val="11"/>
                <w:b w:val="1"/>
                <w:bCs w:val="1"/>
                <w:color w:val="auto"/>
              </w:rPr>
              <w:t>Deficit</w:t>
            </w:r>
          </w:p>
        </w:tc>
        <w:tc>
          <w:tcPr>
            <w:tcW w:w="64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Interests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Equity</w:t>
            </w:r>
          </w:p>
        </w:tc>
      </w:tr>
      <w:tr>
        <w:trPr>
          <w:trHeight w:val="128"/>
        </w:trPr>
        <w:tc>
          <w:tcPr>
            <w:tcW w:w="268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Balance at December 31, 2021</w:t>
            </w: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1"/>
                <w:szCs w:val="11"/>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1"/>
                <w:szCs w:val="11"/>
                <w:color w:val="auto"/>
              </w:rPr>
            </w:pPr>
          </w:p>
        </w:tc>
        <w:tc>
          <w:tcPr>
            <w:tcW w:w="56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1"/>
                <w:szCs w:val="11"/>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1"/>
                <w:szCs w:val="11"/>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137,722,658</w:t>
            </w:r>
          </w:p>
        </w:tc>
        <w:tc>
          <w:tcPr>
            <w:tcW w:w="40" w:type="dxa"/>
            <w:vAlign w:val="bottom"/>
          </w:tcPr>
          <w:p>
            <w:pPr>
              <w:spacing w:after="0"/>
              <w:rPr>
                <w:sz w:val="11"/>
                <w:szCs w:val="11"/>
                <w:color w:val="auto"/>
              </w:rPr>
            </w:pPr>
          </w:p>
        </w:tc>
        <w:tc>
          <w:tcPr>
            <w:tcW w:w="1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40" w:type="dxa"/>
            <w:vAlign w:val="bottom"/>
          </w:tcPr>
          <w:p>
            <w:pPr>
              <w:spacing w:after="0"/>
              <w:rPr>
                <w:sz w:val="11"/>
                <w:szCs w:val="11"/>
                <w:color w:val="auto"/>
              </w:rPr>
            </w:pPr>
          </w:p>
        </w:tc>
        <w:tc>
          <w:tcPr>
            <w:tcW w:w="54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tcPr>
          <w:p>
            <w:pPr>
              <w:spacing w:after="0"/>
              <w:rPr>
                <w:sz w:val="11"/>
                <w:szCs w:val="11"/>
                <w:color w:val="auto"/>
              </w:rPr>
            </w:pPr>
          </w:p>
        </w:tc>
        <w:tc>
          <w:tcPr>
            <w:tcW w:w="20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359,439</w:t>
            </w:r>
          </w:p>
        </w:tc>
        <w:tc>
          <w:tcPr>
            <w:tcW w:w="60" w:type="dxa"/>
            <w:vAlign w:val="bottom"/>
          </w:tcPr>
          <w:p>
            <w:pPr>
              <w:spacing w:after="0"/>
              <w:rPr>
                <w:sz w:val="11"/>
                <w:szCs w:val="11"/>
                <w:color w:val="auto"/>
              </w:rPr>
            </w:pPr>
          </w:p>
        </w:tc>
        <w:tc>
          <w:tcPr>
            <w:tcW w:w="1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(145,491</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213,962</w:t>
            </w:r>
          </w:p>
        </w:tc>
        <w:tc>
          <w:tcPr>
            <w:tcW w:w="40" w:type="dxa"/>
            <w:vAlign w:val="bottom"/>
          </w:tcPr>
          <w:p>
            <w:pPr>
              <w:spacing w:after="0"/>
              <w:rPr>
                <w:sz w:val="11"/>
                <w:szCs w:val="11"/>
                <w:color w:val="auto"/>
              </w:rPr>
            </w:pPr>
          </w:p>
        </w:tc>
      </w:tr>
      <w:tr>
        <w:trPr>
          <w:trHeight w:val="135"/>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10,850</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gridSpan w:val="3"/>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10,850</w:t>
            </w:r>
          </w:p>
        </w:tc>
        <w:tc>
          <w:tcPr>
            <w:tcW w:w="40" w:type="dxa"/>
            <w:vAlign w:val="bottom"/>
            <w:shd w:val="clear" w:color="auto" w:fill="CFF0FC"/>
          </w:tcPr>
          <w:p>
            <w:pPr>
              <w:spacing w:after="0"/>
              <w:rPr>
                <w:sz w:val="11"/>
                <w:szCs w:val="11"/>
                <w:color w:val="auto"/>
              </w:rPr>
            </w:pPr>
          </w:p>
        </w:tc>
      </w:tr>
      <w:tr>
        <w:trPr>
          <w:trHeight w:val="95"/>
        </w:trPr>
        <w:tc>
          <w:tcPr>
            <w:tcW w:w="312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10"/>
                <w:szCs w:val="10"/>
                <w:color w:val="auto"/>
              </w:rPr>
              <w:t>Common stock issued upon vesting of restricted stock</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8"/>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awards and restricted stock units</w:t>
            </w: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2"/>
                <w:szCs w:val="12"/>
                <w:color w:val="auto"/>
              </w:rPr>
            </w:pPr>
          </w:p>
        </w:tc>
        <w:tc>
          <w:tcPr>
            <w:tcW w:w="56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3"/>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ind w:left="34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2,013,893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60" w:type="dxa"/>
            <w:vAlign w:val="bottom"/>
            <w:gridSpan w:val="3"/>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r>
      <w:tr>
        <w:trPr>
          <w:trHeight w:val="108"/>
        </w:trPr>
        <w:tc>
          <w:tcPr>
            <w:tcW w:w="312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1"/>
                <w:szCs w:val="11"/>
                <w:color w:val="auto"/>
              </w:rPr>
              <w:t>Shares repurchased for payment of tax withholdings and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48"/>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2"/>
                <w:szCs w:val="12"/>
                <w:color w:val="auto"/>
              </w:rPr>
            </w:pPr>
          </w:p>
        </w:tc>
        <w:tc>
          <w:tcPr>
            <w:tcW w:w="56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3"/>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ind w:left="34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(793,888 )</w:t>
            </w:r>
          </w:p>
        </w:tc>
        <w:tc>
          <w:tcPr>
            <w:tcW w:w="1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(5,250 )</w:t>
            </w:r>
          </w:p>
        </w:tc>
        <w:tc>
          <w:tcPr>
            <w:tcW w:w="120" w:type="dxa"/>
            <w:vAlign w:val="bottom"/>
          </w:tcPr>
          <w:p>
            <w:pPr>
              <w:spacing w:after="0"/>
              <w:rPr>
                <w:sz w:val="12"/>
                <w:szCs w:val="12"/>
                <w:color w:val="auto"/>
              </w:rPr>
            </w:pPr>
          </w:p>
        </w:tc>
        <w:tc>
          <w:tcPr>
            <w:tcW w:w="760" w:type="dxa"/>
            <w:vAlign w:val="bottom"/>
            <w:gridSpan w:val="3"/>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(5,250 )</w:t>
            </w:r>
          </w:p>
        </w:tc>
      </w:tr>
      <w:tr>
        <w:trPr>
          <w:trHeight w:val="13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1"/>
                <w:szCs w:val="11"/>
                <w:color w:val="auto"/>
              </w:rPr>
            </w:pPr>
          </w:p>
        </w:tc>
        <w:tc>
          <w:tcPr>
            <w:tcW w:w="56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3"/>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ind w:left="34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83,582</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40" w:type="dxa"/>
            <w:vAlign w:val="bottom"/>
          </w:tcPr>
          <w:p>
            <w:pPr>
              <w:spacing w:after="0"/>
              <w:rPr>
                <w:sz w:val="11"/>
                <w:szCs w:val="11"/>
                <w:color w:val="auto"/>
              </w:rPr>
            </w:pPr>
          </w:p>
        </w:tc>
      </w:tr>
      <w:tr>
        <w:trPr>
          <w:trHeight w:val="144"/>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44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2"/>
                <w:szCs w:val="12"/>
                <w:color w:val="auto"/>
              </w:rPr>
            </w:pPr>
          </w:p>
        </w:tc>
        <w:tc>
          <w:tcPr>
            <w:tcW w:w="56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ind w:left="34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(19,202 )</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(19,202 )</w:t>
            </w:r>
          </w:p>
        </w:tc>
      </w:tr>
      <w:tr>
        <w:trPr>
          <w:trHeight w:val="20"/>
        </w:trPr>
        <w:tc>
          <w:tcPr>
            <w:tcW w:w="2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March 31, 2022</w:t>
            </w:r>
          </w:p>
        </w:tc>
        <w:tc>
          <w:tcPr>
            <w:tcW w:w="44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1"/>
                <w:szCs w:val="1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1"/>
                <w:szCs w:val="11"/>
                <w:color w:val="auto"/>
              </w:rPr>
            </w:pPr>
          </w:p>
        </w:tc>
        <w:tc>
          <w:tcPr>
            <w:tcW w:w="56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1"/>
                <w:szCs w:val="1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ind w:left="34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1"/>
                <w:szCs w:val="1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139,026,245</w:t>
            </w:r>
          </w:p>
        </w:tc>
        <w:tc>
          <w:tcPr>
            <w:tcW w:w="40" w:type="dxa"/>
            <w:vAlign w:val="bottom"/>
          </w:tcPr>
          <w:p>
            <w:pPr>
              <w:spacing w:after="0"/>
              <w:rPr>
                <w:sz w:val="11"/>
                <w:szCs w:val="11"/>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40" w:type="dxa"/>
            <w:vAlign w:val="bottom"/>
          </w:tcPr>
          <w:p>
            <w:pPr>
              <w:spacing w:after="0"/>
              <w:rPr>
                <w:sz w:val="11"/>
                <w:szCs w:val="11"/>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tcPr>
          <w:p>
            <w:pPr>
              <w:spacing w:after="0"/>
              <w:rPr>
                <w:sz w:val="11"/>
                <w:szCs w:val="11"/>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365,104</w:t>
            </w:r>
          </w:p>
        </w:tc>
        <w:tc>
          <w:tcPr>
            <w:tcW w:w="6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color w:val="auto"/>
              </w:rPr>
              <w:t>(164,693 )$</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200,425</w:t>
            </w:r>
          </w:p>
        </w:tc>
        <w:tc>
          <w:tcPr>
            <w:tcW w:w="40" w:type="dxa"/>
            <w:vAlign w:val="bottom"/>
          </w:tcPr>
          <w:p>
            <w:pPr>
              <w:spacing w:after="0"/>
              <w:rPr>
                <w:sz w:val="11"/>
                <w:szCs w:val="11"/>
                <w:color w:val="auto"/>
              </w:rPr>
            </w:pPr>
          </w:p>
        </w:tc>
      </w:tr>
      <w:tr>
        <w:trPr>
          <w:trHeight w:val="20"/>
        </w:trPr>
        <w:tc>
          <w:tcPr>
            <w:tcW w:w="2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93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SARCOS TECHNOLOGY AND ROBOTICS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29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9"/>
        </w:trPr>
        <w:tc>
          <w:tcPr>
            <w:tcW w:w="76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(19,202 )</w:t>
            </w:r>
          </w:p>
        </w:tc>
        <w:tc>
          <w:tcPr>
            <w:tcW w:w="180" w:type="dxa"/>
            <w:vAlign w:val="bottom"/>
          </w:tcPr>
          <w:p>
            <w:pPr>
              <w:spacing w:after="0"/>
              <w:rPr>
                <w:sz w:val="17"/>
                <w:szCs w:val="17"/>
                <w:color w:val="auto"/>
              </w:rPr>
            </w:pPr>
          </w:p>
        </w:tc>
        <w:tc>
          <w:tcPr>
            <w:tcW w:w="106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(5,198 )</w:t>
            </w:r>
          </w:p>
        </w:tc>
      </w:tr>
      <w:tr>
        <w:trPr>
          <w:trHeight w:val="20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0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(6,414 )</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10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Unbilled receivable</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(423 )</w:t>
            </w: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10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(311 )</w:t>
            </w:r>
          </w:p>
        </w:tc>
      </w:tr>
      <w:tr>
        <w:trPr>
          <w:trHeight w:val="20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transaction costs</w:t>
            </w:r>
          </w:p>
        </w:tc>
        <w:tc>
          <w:tcPr>
            <w:tcW w:w="102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(1,427 )</w:t>
            </w: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(1,105 )</w:t>
            </w:r>
          </w:p>
        </w:tc>
      </w:tr>
      <w:tr>
        <w:trPr>
          <w:trHeight w:val="20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non-current assets</w:t>
            </w:r>
          </w:p>
        </w:tc>
        <w:tc>
          <w:tcPr>
            <w:tcW w:w="10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10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liabilities</w:t>
            </w:r>
          </w:p>
        </w:tc>
        <w:tc>
          <w:tcPr>
            <w:tcW w:w="10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(616 )</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transaction fees</w:t>
            </w:r>
          </w:p>
        </w:tc>
        <w:tc>
          <w:tcPr>
            <w:tcW w:w="1020" w:type="dxa"/>
            <w:vAlign w:val="bottom"/>
          </w:tcPr>
          <w:p>
            <w:pPr>
              <w:spacing w:after="0"/>
              <w:rPr>
                <w:sz w:val="17"/>
                <w:szCs w:val="17"/>
                <w:color w:val="auto"/>
              </w:rPr>
            </w:pP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rent</w:t>
            </w:r>
          </w:p>
        </w:tc>
        <w:tc>
          <w:tcPr>
            <w:tcW w:w="10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80" w:type="dxa"/>
            <w:vAlign w:val="bottom"/>
          </w:tcPr>
          <w:p>
            <w:pPr>
              <w:spacing w:after="0"/>
              <w:rPr>
                <w:sz w:val="17"/>
                <w:szCs w:val="17"/>
                <w:color w:val="auto"/>
              </w:rPr>
            </w:pPr>
          </w:p>
        </w:tc>
      </w:tr>
      <w:tr>
        <w:trPr>
          <w:trHeight w:val="19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20" w:type="dxa"/>
            <w:vAlign w:val="bottom"/>
            <w:tcBorders>
              <w:top w:val="single" w:sz="8" w:color="auto"/>
              <w:bottom w:val="single" w:sz="8" w:color="auto"/>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(12,452</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(3,871</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(514 )</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(962 )</w:t>
            </w:r>
          </w:p>
        </w:tc>
      </w:tr>
      <w:tr>
        <w:trPr>
          <w:trHeight w:val="20"/>
        </w:trPr>
        <w:tc>
          <w:tcPr>
            <w:tcW w:w="76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(514 )</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(962 )</w:t>
            </w:r>
          </w:p>
        </w:tc>
      </w:tr>
      <w:tr>
        <w:trPr>
          <w:trHeight w:val="19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notes payable</w:t>
            </w:r>
          </w:p>
        </w:tc>
        <w:tc>
          <w:tcPr>
            <w:tcW w:w="1020" w:type="dxa"/>
            <w:vAlign w:val="bottom"/>
          </w:tcPr>
          <w:p>
            <w:pPr>
              <w:spacing w:after="0"/>
              <w:rPr>
                <w:sz w:val="17"/>
                <w:szCs w:val="17"/>
                <w:color w:val="auto"/>
              </w:rPr>
            </w:pP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Shares repurchased for payment of tax withholdings</w:t>
            </w:r>
          </w:p>
        </w:tc>
        <w:tc>
          <w:tcPr>
            <w:tcW w:w="10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(5,254 )</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 of non-controlling interest</w:t>
            </w:r>
          </w:p>
        </w:tc>
        <w:tc>
          <w:tcPr>
            <w:tcW w:w="102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(200 )</w:t>
            </w: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 of obligations under capital leases</w:t>
            </w:r>
          </w:p>
        </w:tc>
        <w:tc>
          <w:tcPr>
            <w:tcW w:w="10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196"/>
        </w:trPr>
        <w:tc>
          <w:tcPr>
            <w:tcW w:w="76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020" w:type="dxa"/>
            <w:vAlign w:val="bottom"/>
            <w:tcBorders>
              <w:top w:val="single" w:sz="8" w:color="auto"/>
              <w:bottom w:val="single" w:sz="8" w:color="auto"/>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(5,190</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w:t>
            </w:r>
          </w:p>
        </w:tc>
        <w:tc>
          <w:tcPr>
            <w:tcW w:w="10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(18,156 )</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(3,014 )</w:t>
            </w:r>
          </w:p>
        </w:tc>
      </w:tr>
      <w:tr>
        <w:trPr>
          <w:trHeight w:val="20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at beginning of period</w:t>
            </w:r>
          </w:p>
        </w:tc>
        <w:tc>
          <w:tcPr>
            <w:tcW w:w="10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217,114</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33,664</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at end of period</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198,958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30,650</w:t>
            </w:r>
          </w:p>
        </w:tc>
        <w:tc>
          <w:tcPr>
            <w:tcW w:w="8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 at period-end</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Leasehold improvements paid by lessor</w:t>
            </w: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-2133600</wp:posOffset>
            </wp:positionV>
            <wp:extent cx="5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-2133600</wp:posOffset>
            </wp:positionV>
            <wp:extent cx="514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-1868170</wp:posOffset>
            </wp:positionV>
            <wp:extent cx="514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-1868170</wp:posOffset>
            </wp:positionV>
            <wp:extent cx="514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-963295</wp:posOffset>
            </wp:positionV>
            <wp:extent cx="7683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-963295</wp:posOffset>
            </wp:positionV>
            <wp:extent cx="7683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-548005</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-548005</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SARCOS TECHNOLOGY AND ROBOTICS CORPORTATION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2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Business</w:t>
      </w:r>
    </w:p>
    <w:p>
      <w:pPr>
        <w:spacing w:after="0" w:line="24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Sarcos Technology and Robotics Corporation (the “Company” or “Sarcos”), designs and produces highly dexterous mobile robotic systems for use in dynamic environments.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have been prepared in accordance with accounting principles generally accepted in the United States (“GAAP”).</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condensed consolidated financial statements as of March 31, 2022, are unaudited. The condensed consolidated balance sheet as of December 31, 2021, included herein was derived from the audited consolidated financial statements as of that date. Certain information and note disclosures normally included in financial statements prepared in accordance with GAAP have been condensed or omitted. As such, the information included herein should be read in conjunction with the consolidated financial statements and accompanying notes as of and for the year ended December 31, 2021, included in the Company’s Annual Report on Form 10-K, filed with the SEC on March 29, 2022.</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All intercompany accounts and transactions have been eliminated in consolidation. The Company’s fiscal year begins on January 1 and ends on December 31.</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the opinion of the Company’s management, the unaudited condensed consolidated financial statements include all adjustments necessary for the fair presentation of the Company’s balance sheet as of March 31, 2022, the results of operations, including its comprehensive loss, and stockholders’ equity for the three months ended March 31, 2022 and 2021, and the statement of cash flows for the three months ended March 31, 2022 and 2021. All adjustments are of a normal recurring nature. The results for the three months ended March 31, 2022 are not necessarily indicative of the results to be expected for any subsequent quarter or for the fiscal year ending December 31,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September 24, 2021 (the “Closing Date”), the Company consummated the business combination (the “Business Combination”) pursuant to the terms of the Agreement and Plan of Merger, dated as of April 5, 2021, by and among Rotor, Rotor Merger Sub Corp., a Delaware corporation, and a direct, wholly-owned subsidiary of Rotor (“Merger Sub”), and Sarcos Corp., a Utah corporation (“Old Sarcos”) and Amendment No. 1 to the Agreement and Plan of Merger, dated as of August 28, 2021 (the “Amendment” and the Original Merger Agreement, as amended, the “Merger Agreement”), by and among the Company, Merger Sub and Old Sarcos. Pursuant to the terms of the Merger Agreement, the Business Combination between the Company and Old Sarcos was effected through the merger of Merger Sub with and into Old Sarcos, with Old Sarcos continuing as the surviving corporation (the “Merger”) and a wholly-owned subsidiary of the Company. On the Closing Date, the registrant changed its name from Rotor Acquisition Corp. to Sarcos Technology and Robotics Corporation.</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Immediately prior to the effective time of the Merger (the “Effective Time”), all issued and outstanding warrants to purchase shares of Class A common stock of Old Sarcos were net exercised and all issued and outstanding shares of preferred stock of Old Sarcos were converted into common stock of Old Sarcos (collectively, the “Old Sarcos Common Stock”). Pursuant to the terms of the Merger Agreement, at the Effective Time:</w:t>
      </w:r>
    </w:p>
    <w:p>
      <w:pPr>
        <w:spacing w:after="0" w:line="61" w:lineRule="exact"/>
        <w:rPr>
          <w:sz w:val="20"/>
          <w:szCs w:val="20"/>
          <w:color w:val="auto"/>
        </w:rPr>
      </w:pPr>
    </w:p>
    <w:p>
      <w:pPr>
        <w:jc w:val="both"/>
        <w:ind w:left="1020" w:hanging="503"/>
        <w:spacing w:after="0" w:line="24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Old Sarcos Common Stock, after giving effect to the conversion described above, was cancelled and converted into and became (i) the right to receive approximately 5.129222424 shares (the “Exchange Ratio”) of Common Stock of the Company, par value $0.0001 per share (the “Common Stock”), rounded down to the nearest whole share plus (ii) the contingent right to receive a portion of additional shares of Common Stock upon achievement of certain milestones (the “Contingent Merger Consideration”), as described below; and</w:t>
      </w:r>
    </w:p>
    <w:p>
      <w:pPr>
        <w:spacing w:after="0" w:line="86"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options, restricted stock units (“RSUs”) and restricted stock award (“RSA”) of Old Sarcos, whether vested or unvested, were assumed by the Company and converted into options, RSUs and RSA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each holder of Old Sarcos capital stock (including the Old Sarcos RSA) was entitled to a right to Contingent Merger Consideration at the Closing Date in the form of earn-outs, up to an aggregate of 28,125,000 shares of Common Stock.</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Closing Date, certain investors (the “PIPE Investors”) purchased from the Company an aggregate of 22,000,000 shares (the “PIPE Shares”) of Common Stock at a price of $10.00 per share, for an aggregate purchase price of $220.0 million (the “PIPE Financing”), in a private placement pursuant to separate subscription agreements (each, a “Subscription Agreement”) entered into effective as of April 5, 2021.</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27, 2021, the Common Stock and warrants of Sarcos Technology and Robotics Corporation (formerly those of Rotor Acquisition Corp.), ceased trading on the New York Stock Exchange and began trading on The Nasdaq Global Market (“Nasdaq”) as “STRC” and “STRCW”,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7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described in the annual consolidated financial statements for the year ended December 31, 2021 that have had a material impact on the Company’s condensed consolidated financial statements and related notes.</w:t>
      </w:r>
    </w:p>
    <w:p>
      <w:pPr>
        <w:spacing w:after="0" w:line="1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 pandemic. Modifications continue to be made to the Company’s normal operations because of the COVID-19 pandemic and the Company continues to monitor its operations and government recommendations. Travel restrictions and capacity limits at customer locations imposed in response to the COVID-19 pandemic continue to cause delays in the assessment and deployment of the Company’s products. Although it is widely expected that the impact of the pandemic will subside over time, the Company cannot predict the future extent or duration of the impact that the COVID-19 pandemic will have on its financial condition and operations. The impact of the COVID-19 pandemic on the Company’s financial performance will depend on future developments, including the duration and spread of the outbreak and related governmental advisories and restrictions. If the financial markets and/or the overall economy continue to be impacted for an extended period, the Company’s operations and financial results may be adversely affected.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Cash and cash equivalents were $199.0 million as of March 31, 2022, compared to $217.1 million as of December 31, 2021. The Company has historically incurred losses and negative cash flows from operations. As of March 31, 2022, the Company also had an accumulated deficit of approximately $164.7 million and working capital of $202.4 million.</w:t>
      </w:r>
    </w:p>
    <w:p>
      <w:pPr>
        <w:spacing w:after="0" w:line="1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financial statements have been prepared in accordance with GAAP and this basis assumes the Company will continue as a going concern, which contemplates the realization of assets and the satisfaction of liabilities and commitments in the normal course of business. The Company’s main sources of liquidity have been cash generated by equity offerings and debt. The Company’s primary use of cash is for operations and administrative activities including employee-related expenses, and general, operating and overhead expenses. Future capital requirements will depend on many factors, including the Company’s customer growth rate, customer retention, timing and extent of development efforts, the expansion of sales and marketing activities, the introduction of new and enhanced product offerings and market acceptance of the Company’s products. The Company believes it has sufficient financial resources for at least the next 12 months from the date of this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recognizes revenue from the sale of its products and from the delivery of goods and services arising out of its contractual arrangements to provide research and development services that are fully funded by the customer. The Company recognizes revenue when promised goods or services are transferred to customers in an amount that reflects the consideration to which the Company expects to be entitled in exchange for those goods or services by following a five-step process:</w:t>
      </w:r>
    </w:p>
    <w:p>
      <w:pPr>
        <w:spacing w:after="0" w:line="283" w:lineRule="exact"/>
        <w:rPr>
          <w:sz w:val="20"/>
          <w:szCs w:val="20"/>
          <w:color w:val="auto"/>
        </w:rPr>
      </w:pPr>
    </w:p>
    <w:p>
      <w:pPr>
        <w:jc w:val="both"/>
        <w:ind w:left="1020" w:hanging="503"/>
        <w:spacing w:after="0" w:line="245" w:lineRule="auto"/>
        <w:tabs>
          <w:tab w:leader="none" w:pos="102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Identify the contract with a customer: </w:t>
      </w:r>
      <w:r>
        <w:rPr>
          <w:rFonts w:ascii="Times New Roman" w:cs="Times New Roman" w:eastAsia="Times New Roman" w:hAnsi="Times New Roman"/>
          <w:sz w:val="18"/>
          <w:szCs w:val="18"/>
          <w:color w:val="auto"/>
        </w:rPr>
        <w:t>A contract with a customer exists when (i) the Company enters into an enforceable contract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that defines each party’s rights and obligations regarding the products and services to be transferred and identifies the payment terms related to these products and services, (ii) the contract has commercial substance and (iii) the Company determines that collection of substantially all consideration for products and services that are transferred is probable based on the customer’s intent and ability to pay the promised consideration. Contract modifications may include changes in scope of work, and/or the period of completion of the project. The Company analyzes contract modifications to determine if they should be accounted for as a modification to an existing contract or a new stand-alone contract.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 w:name="page11"/>
    <w:bookmarkEnd w:id="10"/>
    <w:p>
      <w:pPr>
        <w:jc w:val="both"/>
        <w:ind w:left="1020" w:hanging="503"/>
        <w:spacing w:after="0" w:line="251" w:lineRule="auto"/>
        <w:tabs>
          <w:tab w:leader="none" w:pos="10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Identify the performance obligations in the contract: </w:t>
      </w:r>
      <w:r>
        <w:rPr>
          <w:rFonts w:ascii="Times New Roman" w:cs="Times New Roman" w:eastAsia="Times New Roman" w:hAnsi="Times New Roman"/>
          <w:sz w:val="18"/>
          <w:szCs w:val="18"/>
          <w:color w:val="auto"/>
        </w:rPr>
        <w:t>The Company enters into contracts that can include combinations of products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which are either capable of being distinct and accounted for as separate performance obligations or as one performance obligation if the majority of tasks and services form a single project or capability. However, determining whether products or services are considered distinct performance obligations that should be accounted for separately may require significant judgment.</w:t>
      </w:r>
    </w:p>
    <w:p>
      <w:pPr>
        <w:spacing w:after="0" w:line="281" w:lineRule="exact"/>
        <w:rPr>
          <w:rFonts w:ascii="Times New Roman" w:cs="Times New Roman" w:eastAsia="Times New Roman" w:hAnsi="Times New Roman"/>
          <w:sz w:val="18"/>
          <w:szCs w:val="18"/>
          <w:i w:val="1"/>
          <w:iCs w:val="1"/>
          <w:color w:val="auto"/>
        </w:rPr>
      </w:pPr>
    </w:p>
    <w:p>
      <w:pPr>
        <w:jc w:val="both"/>
        <w:ind w:left="1020" w:hanging="503"/>
        <w:spacing w:after="0" w:line="243" w:lineRule="auto"/>
        <w:tabs>
          <w:tab w:leader="none" w:pos="10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Determine the transaction price: </w:t>
      </w:r>
      <w:r>
        <w:rPr>
          <w:rFonts w:ascii="Times New Roman" w:cs="Times New Roman" w:eastAsia="Times New Roman" w:hAnsi="Times New Roman"/>
          <w:sz w:val="18"/>
          <w:szCs w:val="18"/>
          <w:color w:val="auto"/>
        </w:rPr>
        <w:t>The transaction price is determined based on the consideration to which the Company will be entitled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transferring goods or services to the customer. Such amounts are typically stated in the customer contract. However, to the extent that the Company identifies variable consideration, the Company will estimate the variable consideration at the onset of the arrangement as long as it is probable that a significant reversal in the amount of cumulative revenue recognized will not occur when the uncertainty associated with the variable consideration is subsequently resolved. The Company’s current contracts do not include any significant financing components because the timing of the transfer of the underlying products and services under contract are at the customers’ discretion. Additionally, the Company does not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Taxes collected from customers and remitted to governmental authorities are not included in revenue.</w:t>
      </w:r>
    </w:p>
    <w:p>
      <w:pPr>
        <w:spacing w:after="0" w:line="280" w:lineRule="exact"/>
        <w:rPr>
          <w:rFonts w:ascii="Times New Roman" w:cs="Times New Roman" w:eastAsia="Times New Roman" w:hAnsi="Times New Roman"/>
          <w:sz w:val="18"/>
          <w:szCs w:val="18"/>
          <w:i w:val="1"/>
          <w:iCs w:val="1"/>
          <w:color w:val="auto"/>
        </w:rPr>
      </w:pPr>
    </w:p>
    <w:p>
      <w:pPr>
        <w:jc w:val="both"/>
        <w:ind w:left="1020" w:hanging="503"/>
        <w:spacing w:after="0" w:line="244" w:lineRule="auto"/>
        <w:tabs>
          <w:tab w:leader="none" w:pos="10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Allocate the transaction price to performance obligations in the contract: </w:t>
      </w:r>
      <w:r>
        <w:rPr>
          <w:rFonts w:ascii="Times New Roman" w:cs="Times New Roman" w:eastAsia="Times New Roman" w:hAnsi="Times New Roman"/>
          <w:sz w:val="18"/>
          <w:szCs w:val="18"/>
          <w:color w:val="auto"/>
        </w:rPr>
        <w:t>Once the Company has determined the transaction price, the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price is allocated to each performance obligation in a manner depicting the amount of consideration to which the Company expects to be entitled in exchange for transferring the good(s) or service(s) to the customer. If applicable, the Company allocates the transaction price to each performance obligation identified in the contract on a relative standalone selling price basis. The standalone selling price represents the amount the Company would sell the good(s) or service(s) to a customer on a standalone basis. For government contracts, the Company uses expected cost plus a margin as the standalone selling price. Because the Company's contract pricing with government customers is based on expected cost plus margin, the standalone selling price of the good(s) or service(s) in the Company's contracts with government customers are typically equal to the selling price stated in the contract. When we sell standard good(s) or service(s) with observable standalone sale transactions, the observable standalone sales transactions are used to determine the standalone selling price.</w:t>
      </w:r>
    </w:p>
    <w:p>
      <w:pPr>
        <w:spacing w:after="0" w:line="279" w:lineRule="exact"/>
        <w:rPr>
          <w:rFonts w:ascii="Times New Roman" w:cs="Times New Roman" w:eastAsia="Times New Roman" w:hAnsi="Times New Roman"/>
          <w:sz w:val="18"/>
          <w:szCs w:val="18"/>
          <w:i w:val="1"/>
          <w:iCs w:val="1"/>
          <w:color w:val="auto"/>
        </w:rPr>
      </w:pPr>
    </w:p>
    <w:p>
      <w:pPr>
        <w:jc w:val="both"/>
        <w:ind w:left="1020" w:hanging="503"/>
        <w:spacing w:after="0" w:line="244" w:lineRule="auto"/>
        <w:tabs>
          <w:tab w:leader="none" w:pos="10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Recognize revenue when or as the Company satisfies a performance obligation</w:t>
      </w:r>
      <w:r>
        <w:rPr>
          <w:rFonts w:ascii="Times New Roman" w:cs="Times New Roman" w:eastAsia="Times New Roman" w:hAnsi="Times New Roman"/>
          <w:sz w:val="18"/>
          <w:szCs w:val="18"/>
          <w:color w:val="auto"/>
        </w:rPr>
        <w:t>: For each performance obligation identified,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determines at contract inception whether we satisfy the performance obligation over time or at a point in time. For performance obligations satisfied over time, revenue is recognized as work progresses when the Company is entitled to the reimbursement of costs plus a reasonable profit for work performed for which the Company has no alternate use. For these performance obligations, the Company generally recognizes revenue using an input method with revenue amounts being recognized proportionately as costs are incurred relative to the total expected costs to satisfy the performance obligation. The Company believes that costs incurred as a portion of total estimated costs is an appropriate measure of progress towards satisfaction of the performance obligation since this measure reasonably depicts the progress of the work effort. Revenue for performance obligations that are not recognized over time are recognized at the point in time when control transfers to the customer (which is generally upon delivery). For performance obligations that are satisfied at a point in time, the Company evaluates the point in time when the customer can direct the use of, and obtain the benefits from, the products and services. Shipping and handling costs are recorded at the time of product shipment to the customer and are included within revenue.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derives its revenue from two sources. First, the Company enters into research and development agreements primarily relating to the commercialization of the Company’s core products. Second, the Company sells its products and related parts and repair services. Research and development services revenue includes revenue arising from different types of contractual arrangements, including cost-type contracts and fixed-price contracts. Revenue from the sales of the Company’s products primarily includes sales of the Company’s Guardian S remote-controlled visual inspection and surveillance robotic system and its Guardian Heavy-Lift System (“HLS”).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Research and Development Services</w:t>
      </w:r>
    </w:p>
    <w:p>
      <w:pPr>
        <w:spacing w:after="0" w:line="2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Cost-type contracts </w:t>
      </w:r>
      <w:r>
        <w:rPr>
          <w:rFonts w:ascii="Times New Roman" w:cs="Times New Roman" w:eastAsia="Times New Roman" w:hAnsi="Times New Roman"/>
          <w:sz w:val="18"/>
          <w:szCs w:val="18"/>
          <w:color w:val="auto"/>
        </w:rPr>
        <w:t>– Research, development and/or testing service contracts, including cost-plus-fixed-fee and time and material contracts, relate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development of technology in the areas of robotics, artificial intelligence and unmanned systems. Cost-type contracts are generally entered into with the U.S. government. These contracts are billed at cost plus a margin as defined by the contract and Federal Acquisition Regulation (“FAR”). The FAR establishes regulations around procurement by the government and provides guidance on the types of costs that are allowable in establishing prices for goods and services delivered under government contracts. Revenue on cost-type contracts is recognized over time as goods and services are provided.</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Fixed-price contracts </w:t>
      </w:r>
      <w:r>
        <w:rPr>
          <w:rFonts w:ascii="Times New Roman" w:cs="Times New Roman" w:eastAsia="Times New Roman" w:hAnsi="Times New Roman"/>
          <w:sz w:val="18"/>
          <w:szCs w:val="18"/>
          <w:color w:val="auto"/>
        </w:rPr>
        <w:t>– Fixed-price development contracts relate primarily to the development of technology in the area of robotic platforms. Fixed-price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contracts generally require a significant service of integrating a complex set of tasks and components into a single deliverable. Revenue on fixed-price contracts is generally recognized over time as goods and services are provided. To the extent the Company’s actual costs vary from the fixed fee, we will generate more or less profit or could incur a loss. The Company will recognize losses at the contract level in earnings in the period in which they are incurred.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Product revenue relate to sales of the Company’s Guardian S and Guardian HLS products, and certain miscellaneous parts, accessories and repair services. The Company provides a limited one-year warranty on product sales. Product warranties are considered assurance-type warranties and are not considered to be separate performance obligations. Product revenue is recognized at the point in time when ownership of the goods is transferred, generally at the time of shipment to the customer. At the time product revenue is recognized, an accrual is established for estimated warranty expenses based on historical experience as well as anticipated product performance.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revenue recognized for Research and Development Services and Product Revenue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60" w:type="dxa"/>
            <w:vAlign w:val="bottom"/>
          </w:tcPr>
          <w:p>
            <w:pPr>
              <w:spacing w:after="0"/>
              <w:rPr>
                <w:sz w:val="18"/>
                <w:szCs w:val="18"/>
                <w:color w:val="auto"/>
              </w:rPr>
            </w:pPr>
          </w:p>
        </w:tc>
      </w:tr>
      <w:tr>
        <w:trPr>
          <w:trHeight w:val="202"/>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7"/>
                <w:szCs w:val="17"/>
                <w:color w:val="auto"/>
              </w:rPr>
            </w:pPr>
          </w:p>
        </w:tc>
      </w:tr>
      <w:tr>
        <w:trPr>
          <w:trHeight w:val="19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Research and Development Services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60" w:type="dxa"/>
            <w:vAlign w:val="bottom"/>
            <w:shd w:val="clear" w:color="auto" w:fill="CFF0FC"/>
          </w:tcPr>
          <w:p>
            <w:pPr>
              <w:spacing w:after="0"/>
              <w:rPr>
                <w:sz w:val="17"/>
                <w:szCs w:val="17"/>
                <w:color w:val="auto"/>
              </w:rPr>
            </w:pPr>
          </w:p>
        </w:tc>
      </w:tr>
      <w:tr>
        <w:trPr>
          <w:trHeight w:val="20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60" w:type="dxa"/>
            <w:vAlign w:val="bottom"/>
          </w:tcPr>
          <w:p>
            <w:pPr>
              <w:spacing w:after="0"/>
              <w:rPr>
                <w:sz w:val="17"/>
                <w:szCs w:val="17"/>
                <w:color w:val="auto"/>
              </w:rPr>
            </w:pPr>
          </w:p>
        </w:tc>
      </w:tr>
      <w:tr>
        <w:trPr>
          <w:trHeight w:val="236"/>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Revenue, net</w:t>
            </w: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-25400</wp:posOffset>
            </wp:positionV>
            <wp:extent cx="342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342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billing, and cash collection results in the recognition of accounts receivable, unbilled receivables, contract assets and deferred revenue in the Company’s condensed consolidated balance sheets.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funds received in excess of revenue recognized that is contingent upon the satisfaction of performance obligations is accounted for as deferred revenue.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include unbilled amounts resulting from contracts in which revenue is recognized over time, revenue recognized that exceeds the amount billed and the right to payment is not only subject to the passage of time and further performance.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and closing balances of our accounts receivable, unbilled receivables, contract assets and deferred revenue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Contract</w:t>
            </w:r>
          </w:p>
        </w:tc>
        <w:tc>
          <w:tcPr>
            <w:tcW w:w="120" w:type="dxa"/>
            <w:vAlign w:val="bottom"/>
          </w:tcPr>
          <w:p>
            <w:pPr>
              <w:spacing w:after="0"/>
              <w:rPr>
                <w:sz w:val="16"/>
                <w:szCs w:val="16"/>
                <w:color w:val="auto"/>
              </w:rPr>
            </w:pPr>
          </w:p>
        </w:tc>
        <w:tc>
          <w:tcPr>
            <w:tcW w:w="9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Contract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60" w:type="dxa"/>
            <w:vAlign w:val="bottom"/>
          </w:tcPr>
          <w:p>
            <w:pPr>
              <w:spacing w:after="0"/>
              <w:rPr>
                <w:sz w:val="16"/>
                <w:szCs w:val="16"/>
                <w:color w:val="auto"/>
              </w:rPr>
            </w:pPr>
          </w:p>
        </w:tc>
      </w:tr>
      <w:tr>
        <w:trPr>
          <w:trHeight w:val="175"/>
        </w:trPr>
        <w:tc>
          <w:tcPr>
            <w:tcW w:w="5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59"/>
              <w:spacing w:after="0" w:line="175" w:lineRule="exact"/>
              <w:rPr>
                <w:sz w:val="20"/>
                <w:szCs w:val="20"/>
                <w:color w:val="auto"/>
              </w:rPr>
            </w:pPr>
            <w:r>
              <w:rPr>
                <w:rFonts w:ascii="Times New Roman" w:cs="Times New Roman" w:eastAsia="Times New Roman" w:hAnsi="Times New Roman"/>
                <w:sz w:val="16"/>
                <w:szCs w:val="16"/>
                <w:b w:val="1"/>
                <w:bCs w:val="1"/>
                <w:color w:val="auto"/>
              </w:rPr>
              <w:t>Accounts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460"/>
              <w:spacing w:after="0" w:line="175" w:lineRule="exact"/>
              <w:rPr>
                <w:sz w:val="20"/>
                <w:szCs w:val="20"/>
                <w:color w:val="auto"/>
              </w:rPr>
            </w:pPr>
            <w:r>
              <w:rPr>
                <w:rFonts w:ascii="Times New Roman" w:cs="Times New Roman" w:eastAsia="Times New Roman" w:hAnsi="Times New Roman"/>
                <w:sz w:val="16"/>
                <w:szCs w:val="16"/>
                <w:b w:val="1"/>
                <w:bCs w:val="1"/>
                <w:color w:val="auto"/>
              </w:rPr>
              <w:t>Unbilled</w:t>
            </w:r>
          </w:p>
        </w:tc>
        <w:tc>
          <w:tcPr>
            <w:tcW w:w="160" w:type="dxa"/>
            <w:vAlign w:val="bottom"/>
          </w:tcPr>
          <w:p>
            <w:pPr>
              <w:spacing w:after="0"/>
              <w:rPr>
                <w:sz w:val="15"/>
                <w:szCs w:val="15"/>
                <w:color w:val="auto"/>
              </w:rPr>
            </w:pPr>
          </w:p>
        </w:tc>
        <w:tc>
          <w:tcPr>
            <w:tcW w:w="1120" w:type="dxa"/>
            <w:vAlign w:val="bottom"/>
            <w:gridSpan w:val="2"/>
          </w:tcPr>
          <w:p>
            <w:pPr>
              <w:jc w:val="right"/>
              <w:ind w:right="540"/>
              <w:spacing w:after="0" w:line="175" w:lineRule="exact"/>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15"/>
                <w:szCs w:val="15"/>
                <w:color w:val="auto"/>
              </w:rPr>
            </w:pPr>
          </w:p>
        </w:tc>
        <w:tc>
          <w:tcPr>
            <w:tcW w:w="940" w:type="dxa"/>
            <w:vAlign w:val="bottom"/>
          </w:tcPr>
          <w:p>
            <w:pPr>
              <w:jc w:val="center"/>
              <w:ind w:right="59"/>
              <w:spacing w:after="0" w:line="175" w:lineRule="exact"/>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159"/>
              <w:spacing w:after="0" w:line="175" w:lineRule="exact"/>
              <w:rPr>
                <w:sz w:val="20"/>
                <w:szCs w:val="20"/>
                <w:color w:val="auto"/>
              </w:rPr>
            </w:pPr>
            <w:r>
              <w:rPr>
                <w:rFonts w:ascii="Times New Roman" w:cs="Times New Roman" w:eastAsia="Times New Roman" w:hAnsi="Times New Roman"/>
                <w:sz w:val="16"/>
                <w:szCs w:val="16"/>
                <w:b w:val="1"/>
                <w:bCs w:val="1"/>
                <w:color w:val="auto"/>
              </w:rPr>
              <w:t>revenue</w:t>
            </w:r>
          </w:p>
        </w:tc>
        <w:tc>
          <w:tcPr>
            <w:tcW w:w="60" w:type="dxa"/>
            <w:vAlign w:val="bottom"/>
          </w:tcPr>
          <w:p>
            <w:pPr>
              <w:spacing w:after="0"/>
              <w:rPr>
                <w:sz w:val="15"/>
                <w:szCs w:val="15"/>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8"/>
                <w:szCs w:val="18"/>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60" w:type="dxa"/>
            <w:vAlign w:val="bottom"/>
          </w:tcPr>
          <w:p>
            <w:pPr>
              <w:spacing w:after="0"/>
              <w:rPr>
                <w:sz w:val="18"/>
                <w:szCs w:val="18"/>
                <w:color w:val="auto"/>
              </w:rPr>
            </w:pPr>
          </w:p>
        </w:tc>
      </w:tr>
      <w:tr>
        <w:trPr>
          <w:trHeight w:val="19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as of December 31, 2021</w:t>
            </w:r>
          </w:p>
        </w:tc>
        <w:tc>
          <w:tcPr>
            <w:tcW w:w="1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60" w:type="dxa"/>
            <w:vAlign w:val="bottom"/>
            <w:shd w:val="clear" w:color="auto" w:fill="CFF0FC"/>
          </w:tcPr>
          <w:p>
            <w:pPr>
              <w:spacing w:after="0"/>
              <w:rPr>
                <w:sz w:val="17"/>
                <w:szCs w:val="17"/>
                <w:color w:val="auto"/>
              </w:rPr>
            </w:pPr>
          </w:p>
        </w:tc>
      </w:tr>
      <w:tr>
        <w:trPr>
          <w:trHeight w:val="202"/>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Increase/(decrease), net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(62 )</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(43 )</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r>
      <w:tr>
        <w:trPr>
          <w:trHeight w:val="196"/>
        </w:trPr>
        <w:tc>
          <w:tcPr>
            <w:tcW w:w="5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as of March 31, 2022</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6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-7620</wp:posOffset>
            </wp:positionV>
            <wp:extent cx="431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60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596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342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recorded its current contract assets, long-term contract assets and current deferred revenue within prepaid expenses and other current assets, other non-current assets, and accrued liabilities, respectively. During the three months ended March 31, 2022 and 2021, the Company recognized no revenue related to deferred revenue which existed at December 31, 2021 and 2020,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31, 2022, the Company had backlog, or revenue related to remaining performance obligations, of $1.8 million. We expect all of this backlog to be recognized during 2022.</w:t>
      </w: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Accounting Standards Update ("ASU") 2019-12, Simplifying the Accounting for Income Taxes, which simplifies the accounting for income taxes by removing certain exceptions to the current guidance, and improving the consistent application of and simplification of other areas of the guidance. The Company adopted this ASU on January 1, 2022, using a prospective approach. The adoption of ASU 2019-12 did not have a material impact on the Company's condensed consolidated financial statements and related disclosures.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 Pronouncements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this extended transition period under the JOBS Act until such time as the Company is no longer considered to be an EGC. The adoption dates discussed below reflect this election.</w:t>
      </w:r>
    </w:p>
    <w:p>
      <w:pPr>
        <w:spacing w:after="0" w:line="1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regarding Accounting Standards Codification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The amendments in this guidance require balance sheet recognition of lease assets and lease liabilities by lessees for leases classified as operating leases, with an optional policy election to not recognize lease assets and lease liabilities for leases with a term of 12 months or less. The amendments also require new disclosures, including qualitative and quantitative requirements, providing additional information about the amounts recorded in the consolidated financial statements. The amendments require a modified retrospective approach with optional practical expedients. In July 2018, the FASB issued ASU 2018-11, </w:t>
      </w:r>
      <w:r>
        <w:rPr>
          <w:rFonts w:ascii="Times New Roman" w:cs="Times New Roman" w:eastAsia="Times New Roman" w:hAnsi="Times New Roman"/>
          <w:sz w:val="18"/>
          <w:szCs w:val="18"/>
          <w:i w:val="1"/>
          <w:iCs w:val="1"/>
          <w:color w:val="auto"/>
        </w:rPr>
        <w:t>Leases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842): Targeted Improvements</w:t>
      </w:r>
      <w:r>
        <w:rPr>
          <w:rFonts w:ascii="Times New Roman" w:cs="Times New Roman" w:eastAsia="Times New Roman" w:hAnsi="Times New Roman"/>
          <w:sz w:val="18"/>
          <w:szCs w:val="18"/>
          <w:color w:val="auto"/>
        </w:rPr>
        <w:t>. ASU 2018-11 provides entities another option for transition, allowing entities to not apply the new standard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comparative periods they present in their consolidated financial statements in the year of adoption. In June 2020, the FASB Issued ASU 2020-05,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(Topic 606)</w:t>
      </w:r>
      <w:r>
        <w:rPr>
          <w:rFonts w:ascii="Times New Roman" w:cs="Times New Roman" w:eastAsia="Times New Roman" w:hAnsi="Times New Roman"/>
          <w:sz w:val="18"/>
          <w:szCs w:val="18"/>
          <w:i w:val="1"/>
          <w:iCs w:val="1"/>
          <w:color w:val="auto"/>
        </w:rPr>
        <w:t xml:space="preserve"> and Leases (Topic 842)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Effective Dates for Certain Entities</w:t>
      </w:r>
      <w:r>
        <w:rPr>
          <w:rFonts w:ascii="Times New Roman" w:cs="Times New Roman" w:eastAsia="Times New Roman" w:hAnsi="Times New Roman"/>
          <w:sz w:val="18"/>
          <w:szCs w:val="18"/>
          <w:color w:val="auto"/>
        </w:rPr>
        <w:t>. The update defers the initial effective date of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2016-02 by one year for private companies and private not-for-profits. For these entities, the effective date is for fiscal years beginning after December 15, 2021, and interim periods within fiscal years beginning after December 15, 2022. The Company will present the impact of the new guidance in its annual statements as of December 31, 2022 and its interim statements thereafter. The Company is currently in the process of evaluating the impact adopting ASC 842 will have on its condensed consolidated financial statements and related disclosures.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(Topic 326):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new standard requires financial assets measured at amortized cost to be presented at the net amount expected to be collected, through an allowance for credit losses that is deducted from the amortized cost basis. The standard will be effective for the Company beginning January 1, 2023, with early application permitted. The Company does not expect adoption of this new guidance to have a material impact on its results of operations, financial condition and financial statement disclosures.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ASC Topic 820, Fair Value Measurement, defines fair value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defines a three-level valuation hierarchy for disclosure of fair value measurements as follows:</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1—Fair value is based on observable inputs such as quoted prices for identical assets or liabilities in active markets.</w:t>
      </w:r>
    </w:p>
    <w:p>
      <w:pPr>
        <w:spacing w:after="0" w:line="198" w:lineRule="exact"/>
        <w:rPr>
          <w:sz w:val="20"/>
          <w:szCs w:val="20"/>
          <w:color w:val="auto"/>
        </w:rPr>
      </w:pPr>
    </w:p>
    <w:p>
      <w:pPr>
        <w:ind w:left="1660" w:hanging="897"/>
        <w:spacing w:after="0" w:line="282" w:lineRule="auto"/>
        <w:rPr>
          <w:sz w:val="20"/>
          <w:szCs w:val="20"/>
          <w:color w:val="auto"/>
        </w:rPr>
      </w:pPr>
      <w:r>
        <w:rPr>
          <w:rFonts w:ascii="Times New Roman" w:cs="Times New Roman" w:eastAsia="Times New Roman" w:hAnsi="Times New Roman"/>
          <w:sz w:val="18"/>
          <w:szCs w:val="18"/>
          <w:color w:val="auto"/>
        </w:rPr>
        <w:t>Level 2—Fair value is determined using quoted prices for similar assets or liabilities in active markets or quoted prices for identical or similar assets or liabilities in markets that are not active or are directly or indirectly observable.</w:t>
      </w:r>
    </w:p>
    <w:p>
      <w:pPr>
        <w:spacing w:after="0" w:line="135" w:lineRule="exact"/>
        <w:rPr>
          <w:sz w:val="20"/>
          <w:szCs w:val="20"/>
          <w:color w:val="auto"/>
        </w:rPr>
      </w:pPr>
    </w:p>
    <w:p>
      <w:pPr>
        <w:ind w:left="1660" w:hanging="897"/>
        <w:spacing w:after="0" w:line="282" w:lineRule="auto"/>
        <w:rPr>
          <w:sz w:val="20"/>
          <w:szCs w:val="20"/>
          <w:color w:val="auto"/>
        </w:rPr>
      </w:pPr>
      <w:r>
        <w:rPr>
          <w:rFonts w:ascii="Times New Roman" w:cs="Times New Roman" w:eastAsia="Times New Roman" w:hAnsi="Times New Roman"/>
          <w:sz w:val="18"/>
          <w:szCs w:val="18"/>
          <w:color w:val="auto"/>
        </w:rPr>
        <w:t>Level 3—Fair value is determined using one or more significant inputs that are unobservable in active markets at the measurement date, such as an option pricing model, discounted cash flow, or similar technique.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Financial Assets and Liabilities Measured at Fair Value on a Recurring Basis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 recurring basis, the Company measures certain of its financial assets and liabilities at fair value. The fair value of the Company’s financial assets and liabilities measured at fair value on a recurring basis was determined using the following inputs: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As of March 31, 2022</w:t>
            </w: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7"/>
                <w:szCs w:val="17"/>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7"/>
                <w:szCs w:val="17"/>
                <w:color w:val="auto"/>
              </w:rPr>
            </w:pPr>
          </w:p>
        </w:tc>
      </w:tr>
      <w:tr>
        <w:trPr>
          <w:trHeight w:val="19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 liability</w:t>
            </w:r>
          </w:p>
        </w:tc>
        <w:tc>
          <w:tcPr>
            <w:tcW w:w="96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7,283</w:t>
            </w:r>
          </w:p>
        </w:tc>
        <w:tc>
          <w:tcPr>
            <w:tcW w:w="1140" w:type="dxa"/>
            <w:vAlign w:val="bottom"/>
            <w:gridSpan w:val="2"/>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7,283</w:t>
            </w:r>
          </w:p>
        </w:tc>
        <w:tc>
          <w:tcPr>
            <w:tcW w:w="60" w:type="dxa"/>
            <w:vAlign w:val="bottom"/>
          </w:tcPr>
          <w:p>
            <w:pPr>
              <w:spacing w:after="0"/>
              <w:rPr>
                <w:sz w:val="17"/>
                <w:szCs w:val="17"/>
                <w:color w:val="auto"/>
              </w:rPr>
            </w:pPr>
          </w:p>
        </w:tc>
      </w:tr>
      <w:tr>
        <w:trPr>
          <w:trHeight w:val="236"/>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960" w:type="dxa"/>
            <w:vAlign w:val="bottom"/>
            <w:tcBorders>
              <w:top w:val="single" w:sz="8" w:color="auto"/>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7,283</w:t>
            </w:r>
          </w:p>
        </w:tc>
        <w:tc>
          <w:tcPr>
            <w:tcW w:w="2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7,283</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-25400</wp:posOffset>
            </wp:positionV>
            <wp:extent cx="431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431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-25400</wp:posOffset>
            </wp:positionV>
            <wp:extent cx="342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342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342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342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w:t>
            </w: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3</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7"/>
                <w:szCs w:val="17"/>
                <w:color w:val="auto"/>
              </w:rPr>
            </w:pPr>
          </w:p>
        </w:tc>
      </w:tr>
      <w:tr>
        <w:trPr>
          <w:trHeight w:val="19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 liability</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87"/>
              </w:rPr>
              <w:t>—</w:t>
            </w:r>
          </w:p>
        </w:tc>
        <w:tc>
          <w:tcPr>
            <w:tcW w:w="1160" w:type="dxa"/>
            <w:vAlign w:val="bottom"/>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13,701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13,701</w:t>
            </w:r>
          </w:p>
        </w:tc>
        <w:tc>
          <w:tcPr>
            <w:tcW w:w="60" w:type="dxa"/>
            <w:vAlign w:val="bottom"/>
          </w:tcPr>
          <w:p>
            <w:pPr>
              <w:spacing w:after="0"/>
              <w:rPr>
                <w:sz w:val="17"/>
                <w:szCs w:val="17"/>
                <w:color w:val="auto"/>
              </w:rPr>
            </w:pPr>
          </w:p>
        </w:tc>
      </w:tr>
      <w:tr>
        <w:trPr>
          <w:trHeight w:val="236"/>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13,701</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13,701</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-25400</wp:posOffset>
            </wp:positionV>
            <wp:extent cx="431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431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-25400</wp:posOffset>
            </wp:positionV>
            <wp:extent cx="342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342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342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342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amounts of accounts payable and accrued expenses approximate their fair values because of the relatively short periods until they are required to be settled.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from the opening balances to the closing balances for Level 3 values: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7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13,701</w:t>
            </w:r>
          </w:p>
        </w:tc>
        <w:tc>
          <w:tcPr>
            <w:tcW w:w="80" w:type="dxa"/>
            <w:vAlign w:val="bottom"/>
            <w:shd w:val="clear" w:color="auto" w:fill="CFF0FC"/>
          </w:tcPr>
          <w:p>
            <w:pPr>
              <w:spacing w:after="0"/>
              <w:rPr>
                <w:sz w:val="17"/>
                <w:szCs w:val="17"/>
                <w:color w:val="auto"/>
              </w:rPr>
            </w:pPr>
          </w:p>
        </w:tc>
      </w:tr>
      <w:tr>
        <w:trPr>
          <w:trHeight w:val="203"/>
        </w:trPr>
        <w:tc>
          <w:tcPr>
            <w:tcW w:w="9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 liability transferred out of Level 3</w:t>
            </w:r>
          </w:p>
        </w:tc>
        <w:tc>
          <w:tcPr>
            <w:tcW w:w="76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(13,701 )</w:t>
            </w:r>
          </w:p>
        </w:tc>
      </w:tr>
      <w:tr>
        <w:trPr>
          <w:trHeight w:val="236"/>
        </w:trPr>
        <w:tc>
          <w:tcPr>
            <w:tcW w:w="92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2022</w:t>
            </w:r>
          </w:p>
        </w:tc>
        <w:tc>
          <w:tcPr>
            <w:tcW w:w="760" w:type="dxa"/>
            <w:vAlign w:val="bottom"/>
            <w:tcBorders>
              <w:top w:val="single" w:sz="8" w:color="auto"/>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-162560</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Transfers to/from Levels 1, 2 and 3 are recognized at the beginning of the reporting period in which a change in valuation technique or methodology occurs. During the first quarter of 2022 the trading price of the Public Warrants was used to value the Private Placement Warrants, and a third-party valuation was no longer deemed necessary resulting in the estimated fair value of the Private Placement Warrants being transferred from a Level 3 fair value measurement to a Level 2 fair value measurement.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Components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 Net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consist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60" w:type="dxa"/>
            <w:vAlign w:val="bottom"/>
          </w:tcPr>
          <w:p>
            <w:pPr>
              <w:spacing w:after="0"/>
              <w:rPr>
                <w:sz w:val="18"/>
                <w:szCs w:val="18"/>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6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Finished goods, net</w:t>
            </w: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inventories, net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6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-161925</wp:posOffset>
            </wp:positionV>
            <wp:extent cx="342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-161925</wp:posOffset>
            </wp:positionV>
            <wp:extent cx="342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inventory reserves of $0.3 million as of March 31, 2022 and December 31, 2021,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60" w:type="dxa"/>
            <w:vAlign w:val="bottom"/>
          </w:tcPr>
          <w:p>
            <w:pPr>
              <w:spacing w:after="0"/>
              <w:rPr>
                <w:sz w:val="18"/>
                <w:szCs w:val="18"/>
                <w:color w:val="auto"/>
              </w:rPr>
            </w:pPr>
          </w:p>
        </w:tc>
      </w:tr>
      <w:tr>
        <w:trPr>
          <w:trHeight w:val="19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Prepaid insurance</w:t>
            </w:r>
          </w:p>
        </w:tc>
        <w:tc>
          <w:tcPr>
            <w:tcW w:w="3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4,786</w:t>
            </w:r>
          </w:p>
        </w:tc>
        <w:tc>
          <w:tcPr>
            <w:tcW w:w="60" w:type="dxa"/>
            <w:vAlign w:val="bottom"/>
            <w:shd w:val="clear" w:color="auto" w:fill="CFF0FC"/>
          </w:tcPr>
          <w:p>
            <w:pPr>
              <w:spacing w:after="0"/>
              <w:rPr>
                <w:sz w:val="17"/>
                <w:szCs w:val="17"/>
                <w:color w:val="auto"/>
              </w:rPr>
            </w:pP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60" w:type="dxa"/>
            <w:vAlign w:val="bottom"/>
          </w:tcPr>
          <w:p>
            <w:pPr>
              <w:spacing w:after="0"/>
              <w:rPr>
                <w:sz w:val="17"/>
                <w:szCs w:val="17"/>
                <w:color w:val="auto"/>
              </w:rPr>
            </w:pPr>
          </w:p>
        </w:tc>
      </w:tr>
      <w:tr>
        <w:trPr>
          <w:trHeight w:val="203"/>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prepaid expense</w:t>
            </w:r>
          </w:p>
        </w:tc>
        <w:tc>
          <w:tcPr>
            <w:tcW w:w="3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60" w:type="dxa"/>
            <w:vAlign w:val="bottom"/>
            <w:shd w:val="clear" w:color="auto" w:fill="CFF0FC"/>
          </w:tcPr>
          <w:p>
            <w:pPr>
              <w:spacing w:after="0"/>
              <w:rPr>
                <w:sz w:val="17"/>
                <w:szCs w:val="17"/>
                <w:color w:val="auto"/>
              </w:rPr>
            </w:pP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60" w:type="dxa"/>
            <w:vAlign w:val="bottom"/>
          </w:tcPr>
          <w:p>
            <w:pPr>
              <w:spacing w:after="0"/>
              <w:rPr>
                <w:sz w:val="17"/>
                <w:szCs w:val="17"/>
                <w:color w:val="auto"/>
              </w:rPr>
            </w:pPr>
          </w:p>
        </w:tc>
      </w:tr>
      <w:tr>
        <w:trPr>
          <w:trHeight w:val="236"/>
        </w:trPr>
        <w:tc>
          <w:tcPr>
            <w:tcW w:w="4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3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6,969</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9,202</w:t>
            </w:r>
          </w:p>
        </w:tc>
        <w:tc>
          <w:tcPr>
            <w:tcW w:w="60" w:type="dxa"/>
            <w:vAlign w:val="bottom"/>
            <w:tcBorders>
              <w:bottom w:val="single" w:sz="8" w:color="CFF0FC"/>
            </w:tcBorders>
            <w:shd w:val="clear" w:color="auto" w:fill="CFF0FC"/>
          </w:tcPr>
          <w:p>
            <w:pPr>
              <w:spacing w:after="0"/>
              <w:rPr>
                <w:sz w:val="20"/>
                <w:szCs w:val="20"/>
                <w:color w:val="auto"/>
              </w:rPr>
            </w:pPr>
          </w:p>
        </w:tc>
      </w:tr>
      <w:tr>
        <w:trPr>
          <w:trHeight w:val="440"/>
        </w:trPr>
        <w:tc>
          <w:tcPr>
            <w:tcW w:w="4400" w:type="dxa"/>
            <w:vAlign w:val="bottom"/>
          </w:tcPr>
          <w:p>
            <w:pPr>
              <w:spacing w:after="0"/>
              <w:rPr>
                <w:sz w:val="24"/>
                <w:szCs w:val="24"/>
                <w:color w:val="auto"/>
              </w:rPr>
            </w:pPr>
          </w:p>
        </w:tc>
        <w:tc>
          <w:tcPr>
            <w:tcW w:w="328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4"/>
        </w:trPr>
        <w:tc>
          <w:tcPr>
            <w:tcW w:w="4400" w:type="dxa"/>
            <w:vAlign w:val="bottom"/>
            <w:tcBorders>
              <w:bottom w:val="single" w:sz="8" w:color="9A9A9A"/>
            </w:tcBorders>
          </w:tcPr>
          <w:p>
            <w:pPr>
              <w:spacing w:after="0"/>
              <w:rPr>
                <w:sz w:val="6"/>
                <w:szCs w:val="6"/>
                <w:color w:val="auto"/>
              </w:rPr>
            </w:pPr>
          </w:p>
        </w:tc>
        <w:tc>
          <w:tcPr>
            <w:tcW w:w="32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-376555</wp:posOffset>
            </wp:positionV>
            <wp:extent cx="342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-359410</wp:posOffset>
            </wp:positionV>
            <wp:extent cx="342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-376555</wp:posOffset>
            </wp:positionV>
            <wp:extent cx="342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-359410</wp:posOffset>
            </wp:positionV>
            <wp:extent cx="342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Pr>
          <w:p>
            <w:pPr>
              <w:spacing w:after="0"/>
              <w:rPr>
                <w:sz w:val="18"/>
                <w:szCs w:val="18"/>
                <w:color w:val="auto"/>
              </w:rPr>
            </w:pPr>
          </w:p>
        </w:tc>
        <w:tc>
          <w:tcPr>
            <w:tcW w:w="16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9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Robotics and manufacturing equipment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2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80" w:type="dxa"/>
            <w:vAlign w:val="bottom"/>
            <w:shd w:val="clear" w:color="auto" w:fill="CFF0FC"/>
          </w:tcPr>
          <w:p>
            <w:pPr>
              <w:spacing w:after="0"/>
              <w:rPr>
                <w:sz w:val="17"/>
                <w:szCs w:val="17"/>
                <w:color w:val="auto"/>
              </w:rPr>
            </w:pP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w:t>
            </w:r>
          </w:p>
        </w:tc>
        <w:tc>
          <w:tcPr>
            <w:tcW w:w="80" w:type="dxa"/>
            <w:vAlign w:val="bottom"/>
          </w:tcPr>
          <w:p>
            <w:pPr>
              <w:spacing w:after="0"/>
              <w:rPr>
                <w:sz w:val="17"/>
                <w:szCs w:val="17"/>
                <w:color w:val="auto"/>
              </w:rPr>
            </w:pPr>
          </w:p>
        </w:tc>
      </w:tr>
      <w:tr>
        <w:trPr>
          <w:trHeight w:val="20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Computer equipment</w:t>
            </w: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80" w:type="dxa"/>
            <w:vAlign w:val="bottom"/>
            <w:shd w:val="clear" w:color="auto" w:fill="CFF0FC"/>
          </w:tcPr>
          <w:p>
            <w:pPr>
              <w:spacing w:after="0"/>
              <w:rPr>
                <w:sz w:val="17"/>
                <w:szCs w:val="17"/>
                <w:color w:val="auto"/>
              </w:rPr>
            </w:pP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leased computer equipment</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80" w:type="dxa"/>
            <w:vAlign w:val="bottom"/>
          </w:tcPr>
          <w:p>
            <w:pPr>
              <w:spacing w:after="0"/>
              <w:rPr>
                <w:sz w:val="17"/>
                <w:szCs w:val="17"/>
                <w:color w:val="auto"/>
              </w:rPr>
            </w:pPr>
          </w:p>
        </w:tc>
      </w:tr>
      <w:tr>
        <w:trPr>
          <w:trHeight w:val="20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shd w:val="clear" w:color="auto" w:fill="CFF0FC"/>
          </w:tcPr>
          <w:p>
            <w:pPr>
              <w:spacing w:after="0"/>
              <w:rPr>
                <w:sz w:val="17"/>
                <w:szCs w:val="17"/>
                <w:color w:val="auto"/>
              </w:rPr>
            </w:pP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 and other fixed assets</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80" w:type="dxa"/>
            <w:vAlign w:val="bottom"/>
          </w:tcPr>
          <w:p>
            <w:pPr>
              <w:spacing w:after="0"/>
              <w:rPr>
                <w:sz w:val="17"/>
                <w:szCs w:val="17"/>
                <w:color w:val="auto"/>
              </w:rPr>
            </w:pPr>
          </w:p>
        </w:tc>
      </w:tr>
      <w:tr>
        <w:trPr>
          <w:trHeight w:val="203"/>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8,287</w:t>
            </w:r>
          </w:p>
        </w:tc>
        <w:tc>
          <w:tcPr>
            <w:tcW w:w="80" w:type="dxa"/>
            <w:vAlign w:val="bottom"/>
          </w:tcPr>
          <w:p>
            <w:pPr>
              <w:spacing w:after="0"/>
              <w:rPr>
                <w:sz w:val="17"/>
                <w:szCs w:val="17"/>
                <w:color w:val="auto"/>
              </w:rPr>
            </w:pPr>
          </w:p>
        </w:tc>
      </w:tr>
      <w:tr>
        <w:trPr>
          <w:trHeight w:val="20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depreciation and amortization</w:t>
            </w:r>
          </w:p>
        </w:tc>
        <w:tc>
          <w:tcPr>
            <w:tcW w:w="16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(1,504 )</w:t>
            </w:r>
          </w:p>
        </w:tc>
        <w:tc>
          <w:tcPr>
            <w:tcW w:w="1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(1,236 )</w:t>
            </w:r>
          </w:p>
        </w:tc>
      </w:tr>
      <w:tr>
        <w:trPr>
          <w:trHeight w:val="196"/>
        </w:trPr>
        <w:tc>
          <w:tcPr>
            <w:tcW w:w="77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6,841</w:t>
            </w: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7,051</w:t>
            </w:r>
          </w:p>
        </w:tc>
        <w:tc>
          <w:tcPr>
            <w:tcW w:w="80" w:type="dxa"/>
            <w:vAlign w:val="bottom"/>
            <w:tcBorders>
              <w:top w:val="single" w:sz="8" w:color="CFF0FC"/>
            </w:tcBorders>
          </w:tcPr>
          <w:p>
            <w:pPr>
              <w:spacing w:after="0"/>
              <w:rPr>
                <w:sz w:val="17"/>
                <w:szCs w:val="17"/>
                <w:color w:val="auto"/>
              </w:rPr>
            </w:pPr>
          </w:p>
        </w:tc>
      </w:tr>
      <w:tr>
        <w:trPr>
          <w:trHeight w:val="20"/>
        </w:trPr>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-427990</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-427990</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-162560</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-162560</wp:posOffset>
            </wp:positionV>
            <wp:extent cx="51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expenses were $0.3 million and $0.1 million, for the three months ended March 31, 2022 and 2021,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60" w:type="dxa"/>
            <w:vAlign w:val="bottom"/>
          </w:tcPr>
          <w:p>
            <w:pPr>
              <w:spacing w:after="0"/>
              <w:rPr>
                <w:sz w:val="18"/>
                <w:szCs w:val="18"/>
                <w:color w:val="auto"/>
              </w:rPr>
            </w:pPr>
          </w:p>
        </w:tc>
      </w:tr>
      <w:tr>
        <w:trPr>
          <w:trHeight w:val="19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Payroll and related costs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2,511</w:t>
            </w:r>
          </w:p>
        </w:tc>
        <w:tc>
          <w:tcPr>
            <w:tcW w:w="60" w:type="dxa"/>
            <w:vAlign w:val="bottom"/>
            <w:shd w:val="clear" w:color="auto" w:fill="CFF0FC"/>
          </w:tcPr>
          <w:p>
            <w:pPr>
              <w:spacing w:after="0"/>
              <w:rPr>
                <w:sz w:val="17"/>
                <w:szCs w:val="17"/>
                <w:color w:val="auto"/>
              </w:rPr>
            </w:pP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Consulting and professional services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60" w:type="dxa"/>
            <w:vAlign w:val="bottom"/>
          </w:tcPr>
          <w:p>
            <w:pPr>
              <w:spacing w:after="0"/>
              <w:rPr>
                <w:sz w:val="17"/>
                <w:szCs w:val="17"/>
                <w:color w:val="auto"/>
              </w:rPr>
            </w:pPr>
          </w:p>
        </w:tc>
      </w:tr>
      <w:tr>
        <w:trPr>
          <w:trHeight w:val="20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Legal accrual</w:t>
            </w:r>
          </w:p>
        </w:tc>
        <w:tc>
          <w:tcPr>
            <w:tcW w:w="1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60" w:type="dxa"/>
            <w:vAlign w:val="bottom"/>
            <w:shd w:val="clear" w:color="auto" w:fill="CFF0FC"/>
          </w:tcPr>
          <w:p>
            <w:pPr>
              <w:spacing w:after="0"/>
              <w:rPr>
                <w:sz w:val="17"/>
                <w:szCs w:val="17"/>
                <w:color w:val="auto"/>
              </w:rPr>
            </w:pP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60" w:type="dxa"/>
            <w:vAlign w:val="bottom"/>
          </w:tcPr>
          <w:p>
            <w:pPr>
              <w:spacing w:after="0"/>
              <w:rPr>
                <w:sz w:val="17"/>
                <w:szCs w:val="17"/>
                <w:color w:val="auto"/>
              </w:rPr>
            </w:pPr>
          </w:p>
        </w:tc>
      </w:tr>
      <w:tr>
        <w:trPr>
          <w:trHeight w:val="236"/>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431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431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60" w:type="dxa"/>
            <w:vAlign w:val="bottom"/>
          </w:tcPr>
          <w:p>
            <w:pPr>
              <w:spacing w:after="0"/>
              <w:rPr>
                <w:sz w:val="18"/>
                <w:szCs w:val="18"/>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Capital leases and other</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rent</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1,992</w:t>
            </w:r>
          </w:p>
        </w:tc>
        <w:tc>
          <w:tcPr>
            <w:tcW w:w="6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other non-current liabilities</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-25400</wp:posOffset>
            </wp:positionV>
            <wp:extent cx="342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342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Notes Payable</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Old Sarcos received two unsecured loans under the Paycheck Protection Program (“PPP”) administered by the Small Business Administration, pursuant to the Coronavirus Aid, Relief, and Economic Security Act. The first loan, with a principal amount of $2.4 million, was received in April 2020, and the second loan, with a principal amount of $2.0 million, was received in March 2021. These PPP loans had an interest rate of 1.00% per year. The first PPP loan of $2.4 million was forgiven during June 2021, and the second PPP loan of $2.0 million was forgiven during November 2021. As of March 31, 2022, the Company did not have any outstanding PPP loans.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Reverse Recapitalization</w:t>
      </w:r>
    </w:p>
    <w:p>
      <w:pPr>
        <w:spacing w:after="0" w:line="2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Pursuant to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Business Combination was accounted for as a reverse recapitalization, rather than a business combination, for financial accounting and reporting purposes. Accordingly, Old Sarcos was deemed the accounting acquirer (and legal acquiree) and Rotor was treated as the accounting acquiree (and legal acquirer). Under this method of accounting, the reverse recapitalization was treated as the equivalent of Old Sarcos issuing stock for the net assets of Rotor, accompanied by a recapitalization. The net assets of Rotor are stated at historical cost, with no goodwill or other intangible assets recorded. The consolidated assets, liabilities and results of operations prior to the Merger are those of Old Sarcos. The shares, and corresponding capital amounts and earnings per share available for common stockholders, prior to the Merger have been retroactively restated as shares reflecting the Exchange Ratio.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holder of Old Sarcos capital stock (including the Old Sarcos RSA) is entitled to a right to Contingent Merger Consideration following the closing of the Business Combination in the form of earn-outs, up to an aggregate of 28,125,000 shares of Common Stock. The earn-outs will become payable as follows:</w:t>
      </w:r>
    </w:p>
    <w:p>
      <w:pPr>
        <w:spacing w:after="0" w:line="61" w:lineRule="exact"/>
        <w:rPr>
          <w:sz w:val="20"/>
          <w:szCs w:val="20"/>
          <w:color w:val="auto"/>
        </w:rPr>
      </w:pPr>
    </w:p>
    <w:p>
      <w:pPr>
        <w:jc w:val="both"/>
        <w:ind w:left="1020" w:hanging="503"/>
        <w:spacing w:after="0" w:line="25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14,062,500 shares of Common Stock of the Company in the aggregate if the closing share price of a share of Common Stock of the Company is equal to or exceeds $15.00 for 20 trading days in any 30 consecutive trading day period at any time during the period beginning on the first anniversary of the Closing Date and ending on the fourth anniversary of the Closing Date.</w:t>
      </w:r>
    </w:p>
    <w:p>
      <w:pPr>
        <w:spacing w:after="0" w:line="61"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14,062,500 shares of Common Stock of the Company if the closing share price of a share of Common Stock of the Company is equal to or exceeds $20.00 for 20 trading days in any 30 consecutive trading day period at any time during the period beginning on the first anniversary of the Closing Date and ending on the fifth anniversary of the Closing Date.</w:t>
      </w:r>
    </w:p>
    <w:p>
      <w:pPr>
        <w:spacing w:after="0" w:line="17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Earn-Out Shares issuable to holders of Old Sarcos capital stock are accounted for as equity-linked instruments and recorded in additional paid-in capital, and the Earn-Out Shares issuable to holders of Old Sarcos capital stock subject to restricted stock awards are accounted for as share-based compensation. The earn-out shares are treated as equity-linked instruments as opposed to shares outstanding, and as such are not included in shares outstanding on the Company’s condensed consolidated balance sheets.</w:t>
      </w:r>
    </w:p>
    <w:p>
      <w:pPr>
        <w:spacing w:after="0" w:line="137"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Immediately following the Merger, the Company had 137,589,275 shares issued and outstanding of Common Stock. The following table presents the number of shares of the Company’s Common Stock outstanding immediately following the Merger:</w:t>
      </w:r>
    </w:p>
    <w:p>
      <w:pPr>
        <w:sectPr>
          <w:pgSz w:w="11900" w:h="16838" w:orient="portrait"/>
          <w:cols w:equalWidth="0" w:num="1">
            <w:col w:w="11240"/>
          </w:cols>
          <w:pgMar w:left="320" w:top="320" w:right="339" w:bottom="1440" w:gutter="0" w:footer="0" w:header="0"/>
        </w:sectPr>
      </w:pP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Rotor Class A Common Stock, outstanding prior to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Rotor Class B Common Stock, outstanding prior to Merger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Class A common stock issued to PIPE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Less: redemption of Rotor Common Stock</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shares from Merger and PIPE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Recapitalization of Old Sarcos common stock into Class A common stock</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Total shares of Common Stock immediately after the Merger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Number of Shares</w:t>
      </w:r>
    </w:p>
    <w:p>
      <w:pPr>
        <w:spacing w:after="0" w:line="3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27,600,000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-116205</wp:posOffset>
            </wp:positionV>
            <wp:extent cx="12255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6,405,960</w:t>
      </w:r>
    </w:p>
    <w:p>
      <w:pPr>
        <w:spacing w:after="0" w:line="1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22,000,000</w:t>
      </w:r>
    </w:p>
    <w:p>
      <w:pPr>
        <w:spacing w:after="0" w:line="1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(23,479,970 )</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32,525,990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-116205</wp:posOffset>
            </wp:positionV>
            <wp:extent cx="12255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105,063,285</w:t>
      </w:r>
    </w:p>
    <w:p>
      <w:pPr>
        <w:spacing w:after="0" w:line="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137,589,275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-116205</wp:posOffset>
            </wp:positionV>
            <wp:extent cx="12255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8840" w:space="720"/>
            <w:col w:w="1680"/>
          </w:cols>
          <w:pgMar w:left="320" w:top="320" w:right="339" w:bottom="1440" w:gutter="0" w:footer="0" w:header="0"/>
          <w:type w:val="continuous"/>
        </w:sectPr>
      </w:pPr>
    </w:p>
    <w:p>
      <w:pPr>
        <w:ind w:left="600" w:hanging="218"/>
        <w:spacing w:after="0" w:line="249" w:lineRule="auto"/>
        <w:tabs>
          <w:tab w:leader="none" w:pos="563" w:val="left"/>
        </w:tabs>
        <w:numPr>
          <w:ilvl w:val="1"/>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number of Old Sarcos shares was determined from the 21,483,286 shares of Old Sarcos Common Stock warrants, Common Stock and Preferred Stock outstanding immediately prior to the closing of the Business Combination, which are presented net of the Common and Preferred Stock redeemed, converted at the Exchange Ratio of 5.129222424. This excludes a restricted stock award for 5,129,222 shares that was unvested as of the date of the Merger. All fractional shares were rounded down.</w:t>
      </w:r>
    </w:p>
    <w:p>
      <w:pPr>
        <w:spacing w:after="0" w:line="174" w:lineRule="exact"/>
        <w:rPr>
          <w:rFonts w:ascii="Times New Roman" w:cs="Times New Roman" w:eastAsia="Times New Roman" w:hAnsi="Times New Roman"/>
          <w:sz w:val="23"/>
          <w:szCs w:val="23"/>
          <w:color w:val="auto"/>
          <w:vertAlign w:val="superscript"/>
        </w:rPr>
      </w:pPr>
    </w:p>
    <w:p>
      <w:pPr>
        <w:ind w:left="180" w:hanging="172"/>
        <w:spacing w:after="0"/>
        <w:tabs>
          <w:tab w:leader="none" w:pos="1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Non-controlling Interest</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non-controlling interest represents the membership interest in ZeptoVision, Inc. (“Zepto”), that was held by a holder other than the Company. Zepto was formed in April 2016 and the formation of Zepto was accounted for as a common control transaction at the time of formation. As of December 31, 2020, the Company’s ownership percentage in Zepto was 79%. The Company has consolidated the financial position and results of operations of Zepto and reflected the 21% interest as a non-controlling interest for the year ended December 31, 2020. The carrying amount of the non-controlling interest was adjusted to reflect the change in its ownership interest in the subsidiary, with the offset to equity attributable to the Company.</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February 16, 2021, the Company acquired the non-controlling interest’s shares in Zepto for a purchase price of $0.2 million making Zepto a wholly owned subsidiary of the Company. The acquisition of the remaining shares of Zepto resulted in the decrease of non-controlling interest to zero and adjustment to additional paid-in capital to reflect the Company’s increased ownership in Zepto.</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Warrants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January 31, 2020, Old Sarcos issued 250,000 Class A Common Stock warrants to one of the Series C Preferred Stock investors, at an exercise price of $11.3243 per share with an expiration date of January 31, 2030. Immediately prior to the Effective Time, all of the issued and outstanding warrants to purchase 250,000 shares of Class A Stock of Old Sarcos warrants were net exercised and then upon the Closing were exchanged for shares of the Company’s Common Stock in an amount determined by application of the Exchange Ratio, as discussed in Note 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16" w:name="page17"/>
    <w:bookmarkEnd w:id="16"/>
    <w:p>
      <w:pPr>
        <w:jc w:val="both"/>
        <w:spacing w:after="0" w:line="247" w:lineRule="auto"/>
        <w:rPr>
          <w:sz w:val="20"/>
          <w:szCs w:val="20"/>
          <w:color w:val="auto"/>
        </w:rPr>
      </w:pPr>
      <w:r>
        <w:rPr>
          <w:rFonts w:ascii="Times New Roman" w:cs="Times New Roman" w:eastAsia="Times New Roman" w:hAnsi="Times New Roman"/>
          <w:sz w:val="18"/>
          <w:szCs w:val="18"/>
          <w:color w:val="auto"/>
        </w:rPr>
        <w:t>On January 20, 2021, Rotor consummated the initial public offering (“IPO”) of 27,600,000 units (the “Units”), including the full exercise by the underwriters of their over-allotment option. Each Unit included one share of Class A Common Stock and one half of one warrant (the “Public Warrants”). Simultaneously with the closing of the IPO, Rotor consummated the sale of 7,270,000 warrants (the “Private Placement Warrants”) in a private placement to Rotor Sponsor LLC (the “Sponsor”), an affiliate of Rotor’s officers and directors, and certain funds and accounts managed by two qualified institutional buyers. At the Closing Date, Old Sarcos acquired the net liabilities from Rotor, including the Public Warrants, that were recorded as equity instruments, and the Private Placement Warrants, that were recorded as warrant liabilities (together the “Warrants”).</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Each whole Warrant entitles the registered holder to purchase one share of the Company's Common Stock at a price of $11.50 per share, subject to adjustment as discussed below, at any time commencing on January 20, 2022, provided that the Company has an effective registration statement under the Securities Act of 1933, as amended (the “Securities Act”) covering the shares of the Common Stock issuable upon exercise of the Warrants and a current prospectus relating to them is available (or the Company permits holders to exercise their Warrants on a cashless basis under the circumstances specified in the warrant agreement (the “Warrant Agreement”) entered into between Continental Stock Transfer &amp; Trust Company and Rotor and such shares are registered, qualified or exempt from registration under the securities laws of the state of residence of the holder. Pursuant to the Warrant Agreement, a Warrant holder may exercise its Warrants only for a whole number of shares of the Company's Common Stock. The Warrants will expire five years after the completion of the Business Combination, or September 24, 2026, at 5:00 p.m., New York City time, or earlier upon redemption or liquidation.</w:t>
      </w:r>
    </w:p>
    <w:p>
      <w:pPr>
        <w:spacing w:after="0" w:line="17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will not be obligated to deliver any Common Stock pursuant to the exercise of a Warrant and will have no obligation to settle such Warrant exercise unless a registration statement under the Securities Act with respect to the shares of Common Stock underlying the Warrants is then effective and a prospectus relating thereto is current, subject to the Company satisfying its obligations described below with respect to registration, or a valid exemption from registration is available. No Warrant will be exercisable, and the Company will not be obligated to issue a share of Common Stock upon exercise of a Warrant unless the share of the Company's Common Stock issuable upon such Warrant exercise has been registered, qualified or deemed to be exempt under the securities laws of the state of residence of the registered holder of the Warrants. If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a registration statement is not effective for the exercised Warrants, the purchaser in the Rotor IPO of a Unit containing such Warrant will have paid the full purchase price for the Unit solely for the share of the Company's Common Stock underlying such Unit.</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Except as described herein, the Private Placement Warrants have terms and provisions that are identical to those of the Public Warrants. If the Private Placement Warrants are held by holders other than the initial purchasers or their permitted transferees, the Private Placement Warrants will be redeemable by the Company in all redemption scenarios and exercisable by the holders on the same basis as the Public Warrants. The Private Placement Warrants will not be redeemable by the Company so long as they are held by the initial purchasers or their permitted transferees, subject to certain exceptions. The initial purchasers or their permitted transferees, have the option to exercise the Private Placement Warrants on a cashless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the Company's Common Stock Equals or Exceeds $18.00. </w:t>
      </w:r>
      <w:r>
        <w:rPr>
          <w:rFonts w:ascii="Times New Roman" w:cs="Times New Roman" w:eastAsia="Times New Roman" w:hAnsi="Times New Roman"/>
          <w:sz w:val="18"/>
          <w:szCs w:val="18"/>
          <w:color w:val="auto"/>
        </w:rPr>
        <w:t>Once the Warrants become exercisable,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may call the Warrants for redemption:</w:t>
      </w:r>
    </w:p>
    <w:p>
      <w:pPr>
        <w:spacing w:after="0" w:line="165"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 and</w:t>
      </w:r>
    </w:p>
    <w:p>
      <w:pPr>
        <w:spacing w:after="0" w:line="184" w:lineRule="exact"/>
        <w:rPr>
          <w:rFonts w:ascii="Times New Roman" w:cs="Times New Roman" w:eastAsia="Times New Roman" w:hAnsi="Times New Roman"/>
          <w:sz w:val="18"/>
          <w:szCs w:val="18"/>
          <w:color w:val="auto"/>
        </w:rPr>
      </w:pPr>
    </w:p>
    <w:p>
      <w:pPr>
        <w:jc w:val="both"/>
        <w:ind w:left="760" w:hanging="378"/>
        <w:spacing w:after="0" w:line="245"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the shares of the Company's Common Stock for any 20 trading days within a 30-trading day period commencing after the Warrants become exercisable and ending three business days before the Company sends the notice of redemption to the Warrant holders (which is referred to as the “Reference Value”) equals or exceeds $18.00 per share (as adjusted for stock splits, stock dividends, reorganizations, recapitalizations and the like).</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and when the Warrants become redeemable by the Company, the Company may exercise its redemption right even if it is unable to register or qualify the underlying securities for sale under all applicable state securities laws. However, the Company will not redeem the Warrants unless an effective registration statement under the Securities Act covering the shares of the Company's Common Stock issuable upon exercise of the Warrants is effective and a current prospectus relating to those shares of the Company's Common Stock is available throughout the 30-day redemption period.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Our Common Stock Equals or Exceeds $10.00. </w:t>
      </w:r>
      <w:r>
        <w:rPr>
          <w:rFonts w:ascii="Times New Roman" w:cs="Times New Roman" w:eastAsia="Times New Roman" w:hAnsi="Times New Roman"/>
          <w:sz w:val="18"/>
          <w:szCs w:val="18"/>
          <w:color w:val="auto"/>
        </w:rPr>
        <w:t>Once the Warrants become exercisable, the Company</w:t>
      </w:r>
    </w:p>
    <w:p>
      <w:pPr>
        <w:spacing w:after="0" w:line="2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may redeem the outstanding Warrants (except as described herein with respect to the Private Placement Warrants if the Company does not utilize this redemption provision):</w:t>
      </w:r>
    </w:p>
    <w:p>
      <w:pPr>
        <w:spacing w:after="0" w:line="153" w:lineRule="exact"/>
        <w:rPr>
          <w:sz w:val="20"/>
          <w:szCs w:val="20"/>
          <w:color w:val="auto"/>
        </w:rPr>
      </w:pPr>
    </w:p>
    <w:p>
      <w:pPr>
        <w:ind w:left="760" w:hanging="378"/>
        <w:spacing w:after="0"/>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the Company's Common Stock;</w:t>
      </w:r>
    </w:p>
    <w:p>
      <w:pPr>
        <w:spacing w:after="0" w:line="12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(as defined above) equals or exceeds $10.00 per share (as adjusted for stock splits, stock dividends, reorganizations, recapitalizations and the like); and</w:t>
      </w:r>
    </w:p>
    <w:p>
      <w:pPr>
        <w:spacing w:after="0" w:line="107"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$18.00 per share (as adjusted for stock splits, stock dividends, reorganizations, recapitalizations and the like) the Private Placement Warrants must also be concurrently called for redemption on the same terms (except as described above with respect to a holder’s ability to cashless exercise its Warrants) as the outstanding Public Warrants, as described above.</w:t>
      </w:r>
    </w:p>
    <w:p>
      <w:pPr>
        <w:spacing w:after="0" w:line="192"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Stock Plan</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Old Sarcos 2015 Equity Incentive Plan (the “2015 Plan”) provided stock option awards, RSUs and RSAs for issuance to Company employees, officers, directors, non-employee agents and consultants. These awards vest over three to five years and are exercisable up to 10 years from the date of grant. Unvested options are forfeited upon termination. Following the closing of the Merger, no further awards will be made under the 2015 Plan. Any forfeited awards will be added to the 2021 Plan.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Stock Plan</w:t>
      </w:r>
    </w:p>
    <w:p>
      <w:pPr>
        <w:spacing w:after="0" w:line="2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On September 15, 2021, the stockholders of the Company approved the Sarcos Technology and Robotics Corporation 2021 Equity Incentive Plan (the “2021 Plan”), and on the Closing Date, the 2021 Plan was approved by the board of directors. The 2021 Plan provides stock option awards, RSUs and RSAs for issuance to Company employees, officers, directors, non-employee agents and consultants. In general, these awards vest over one to four years and are exercisable up to 10 years from the date of grant. The maximum number of shares of Common Stock that may be issued pursuant to the 2021 Plan is (i) 30.0 million shares of Common Stock of the Company plus (ii) any shares of Common Stock subject to stock options and other awards that were assumed in the Business Commination and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pursuant to clause (ii) equal to 12.8 million shares of Common Stock. As of March 31, 2022, 29.6 million shares were available to grant under the 2021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stock option activity for the three months ended March 31, 2022: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00" w:type="dxa"/>
            <w:vAlign w:val="bottom"/>
          </w:tcPr>
          <w:p>
            <w:pPr>
              <w:spacing w:after="0"/>
              <w:rPr>
                <w:sz w:val="18"/>
                <w:szCs w:val="18"/>
                <w:color w:val="auto"/>
              </w:rPr>
            </w:pPr>
          </w:p>
        </w:tc>
        <w:tc>
          <w:tcPr>
            <w:tcW w:w="3760" w:type="dxa"/>
            <w:vAlign w:val="bottom"/>
            <w:tcBorders>
              <w:bottom w:val="single" w:sz="8" w:color="auto"/>
            </w:tcBorders>
            <w:gridSpan w:val="4"/>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5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5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240" w:type="dxa"/>
            <w:vAlign w:val="bottom"/>
          </w:tcPr>
          <w:p>
            <w:pPr>
              <w:spacing w:after="0"/>
              <w:rPr>
                <w:sz w:val="14"/>
                <w:szCs w:val="14"/>
                <w:color w:val="auto"/>
              </w:rPr>
            </w:pPr>
          </w:p>
        </w:tc>
        <w:tc>
          <w:tcPr>
            <w:tcW w:w="172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Remaining Contractual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4"/>
              </w:rPr>
              <w:t>Term</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0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60" w:type="dxa"/>
            <w:vAlign w:val="bottom"/>
          </w:tcPr>
          <w:p>
            <w:pPr>
              <w:spacing w:after="0"/>
              <w:rPr>
                <w:sz w:val="18"/>
                <w:szCs w:val="18"/>
                <w:color w:val="auto"/>
              </w:rPr>
            </w:pPr>
          </w:p>
        </w:tc>
        <w:tc>
          <w:tcPr>
            <w:tcW w:w="15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2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December 31, 2021</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10,027,094</w:t>
            </w:r>
          </w:p>
        </w:tc>
        <w:tc>
          <w:tcPr>
            <w:tcW w:w="2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40" w:type="dxa"/>
            <w:vAlign w:val="bottom"/>
            <w:shd w:val="clear" w:color="auto" w:fill="CFF0FC"/>
          </w:tcPr>
          <w:p>
            <w:pPr>
              <w:spacing w:after="0"/>
              <w:rPr>
                <w:sz w:val="17"/>
                <w:szCs w:val="17"/>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67,173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Exercised</w:t>
            </w: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(83,582 )</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24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Cancelled</w:t>
            </w: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(744,907 )</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March 31, 2022</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9,199,615</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240" w:type="dxa"/>
            <w:vAlign w:val="bottom"/>
            <w:tcBorders>
              <w:bottom w:val="single" w:sz="8" w:color="CFF0FC"/>
            </w:tcBorders>
            <w:shd w:val="clear" w:color="auto" w:fill="CFF0FC"/>
          </w:tcPr>
          <w:p>
            <w:pPr>
              <w:spacing w:after="0"/>
              <w:rPr>
                <w:sz w:val="17"/>
                <w:szCs w:val="17"/>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37,590</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 December 31, 2021</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5,176,464</w:t>
            </w:r>
          </w:p>
        </w:tc>
        <w:tc>
          <w:tcPr>
            <w:tcW w:w="2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Exercisable – March 31, 2022</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5,296,422</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24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32,547</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-299720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-299720</wp:posOffset>
            </wp:positionV>
            <wp:extent cx="342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-299720</wp:posOffset>
            </wp:positionV>
            <wp:extent cx="342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-299720</wp:posOffset>
            </wp:positionV>
            <wp:extent cx="342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-24765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-7620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-24765</wp:posOffset>
            </wp:positionV>
            <wp:extent cx="342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342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342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342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following summarizes the Company’s employee RSUs activity for the three months ended March 31,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tcPr>
          <w:p>
            <w:pPr>
              <w:spacing w:after="0"/>
              <w:rPr>
                <w:sz w:val="18"/>
                <w:szCs w:val="18"/>
                <w:color w:val="auto"/>
              </w:rPr>
            </w:pPr>
          </w:p>
        </w:tc>
        <w:tc>
          <w:tcPr>
            <w:tcW w:w="348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Restricted Stock Units Outstanding</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700" w:type="dxa"/>
            <w:vAlign w:val="bottom"/>
          </w:tcPr>
          <w:p>
            <w:pPr>
              <w:spacing w:after="0"/>
              <w:rPr>
                <w:sz w:val="13"/>
                <w:szCs w:val="13"/>
                <w:color w:val="auto"/>
              </w:rPr>
            </w:pPr>
          </w:p>
        </w:tc>
        <w:tc>
          <w:tcPr>
            <w:tcW w:w="18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3"/>
                <w:szCs w:val="13"/>
                <w:color w:val="auto"/>
              </w:rPr>
            </w:pPr>
          </w:p>
        </w:tc>
        <w:tc>
          <w:tcPr>
            <w:tcW w:w="1500" w:type="dxa"/>
            <w:vAlign w:val="bottom"/>
          </w:tcPr>
          <w:p>
            <w:pPr>
              <w:jc w:val="right"/>
              <w:ind w:right="99"/>
              <w:spacing w:after="0" w:line="156" w:lineRule="exact"/>
              <w:rPr>
                <w:sz w:val="20"/>
                <w:szCs w:val="20"/>
                <w:color w:val="auto"/>
              </w:rPr>
            </w:pPr>
            <w:r>
              <w:rPr>
                <w:rFonts w:ascii="Times New Roman" w:cs="Times New Roman" w:eastAsia="Times New Roman" w:hAnsi="Times New Roman"/>
                <w:sz w:val="16"/>
                <w:szCs w:val="16"/>
                <w:b w:val="1"/>
                <w:bCs w:val="1"/>
                <w:color w:val="auto"/>
              </w:rPr>
              <w:t>Weighted-Average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770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Grant-Date Fair 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December 31, 2021</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1,797,474</w:t>
            </w:r>
          </w:p>
        </w:tc>
        <w:tc>
          <w:tcPr>
            <w:tcW w:w="2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Released</w:t>
            </w:r>
          </w:p>
        </w:tc>
        <w:tc>
          <w:tcPr>
            <w:tcW w:w="1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(731,588 )</w:t>
            </w: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Cancelled</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(222,746 )</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March 31, 2022</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843,548</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employee RSAs activity for the three months ended March 31, 2022: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350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Restricted Stock Awards Outstanding</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7680" w:type="dxa"/>
            <w:vAlign w:val="bottom"/>
          </w:tcPr>
          <w:p>
            <w:pPr>
              <w:spacing w:after="0"/>
              <w:rPr>
                <w:sz w:val="12"/>
                <w:szCs w:val="12"/>
                <w:color w:val="auto"/>
              </w:rPr>
            </w:pPr>
          </w:p>
        </w:tc>
        <w:tc>
          <w:tcPr>
            <w:tcW w:w="18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2"/>
                <w:szCs w:val="12"/>
                <w:color w:val="auto"/>
              </w:rPr>
            </w:pPr>
          </w:p>
        </w:tc>
        <w:tc>
          <w:tcPr>
            <w:tcW w:w="1500" w:type="dxa"/>
            <w:vAlign w:val="bottom"/>
          </w:tcPr>
          <w:p>
            <w:pPr>
              <w:jc w:val="right"/>
              <w:ind w:right="99"/>
              <w:spacing w:after="0" w:line="145" w:lineRule="exact"/>
              <w:rPr>
                <w:sz w:val="20"/>
                <w:szCs w:val="20"/>
                <w:color w:val="auto"/>
              </w:rPr>
            </w:pPr>
            <w:r>
              <w:rPr>
                <w:rFonts w:ascii="Times New Roman" w:cs="Times New Roman" w:eastAsia="Times New Roman" w:hAnsi="Times New Roman"/>
                <w:sz w:val="16"/>
                <w:szCs w:val="16"/>
                <w:b w:val="1"/>
                <w:bCs w:val="1"/>
                <w:color w:val="auto"/>
              </w:rPr>
              <w:t>Weighted-Average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768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Grant-Date Fair Value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December 31, 2021</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5,129,222</w:t>
            </w:r>
          </w:p>
        </w:tc>
        <w:tc>
          <w:tcPr>
            <w:tcW w:w="2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Released</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(1,282,305 )</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March 31, 2022</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3,846,917</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Sarcos RSA holders are eligible to receive additional shares upon achievement of earn-out targets as discussed in Note 5 above.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stock-based compensation expense in the condensed consolidated statement of operations and comprehensive loss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60" w:type="dxa"/>
            <w:vAlign w:val="bottom"/>
          </w:tcPr>
          <w:p>
            <w:pPr>
              <w:spacing w:after="0"/>
              <w:rPr>
                <w:sz w:val="18"/>
                <w:szCs w:val="18"/>
                <w:color w:val="auto"/>
              </w:rPr>
            </w:pPr>
          </w:p>
        </w:tc>
      </w:tr>
      <w:tr>
        <w:trPr>
          <w:trHeight w:val="202"/>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6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10,549</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6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10,850</w:t>
            </w:r>
          </w:p>
        </w:tc>
        <w:tc>
          <w:tcPr>
            <w:tcW w:w="2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-24765</wp:posOffset>
            </wp:positionV>
            <wp:extent cx="342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342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Loss Per Share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attributable to common stockholders for the three months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and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gridSpan w:val="5"/>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02"/>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2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(19,202 )</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(5,198 )</w:t>
            </w:r>
          </w:p>
        </w:tc>
      </w:tr>
      <w:tr>
        <w:trPr>
          <w:trHeight w:val="20"/>
        </w:trPr>
        <w:tc>
          <w:tcPr>
            <w:tcW w:w="7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Weighted average shares outstanding, basic and diluted</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137,908,690</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104,059,652</w:t>
            </w:r>
          </w:p>
        </w:tc>
        <w:tc>
          <w:tcPr>
            <w:tcW w:w="8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and diluted net loss per share</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26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4"/>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Anti-dilutive securities, excluded</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62,564,533</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13,457,486</w:t>
            </w: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-167005</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-149860</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-167005</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-149860</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presented the unaudited basic and diluted net loss per share for the three months ended March 31, 2021, which has been adjusted to give effect to the conversion of the Old Sarcos Class B common stock and all convertible preferred stock into Old Sarcos Class A common stock as though the conversion had occurred as of the beginning of the period or the original date of issuance, if later.</w:t>
      </w:r>
    </w:p>
    <w:p>
      <w:pPr>
        <w:spacing w:after="0" w:line="169"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the same for the three months ended March 31, 2022 and 2021, because the inclusion of potential shares of Common Stock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for the periods presented.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determine the Company’s quarterly provision for income taxes, the Company used an estimated annual effective tax rate that is based on expected annual income and statutory tax rates in the various jurisdictions in which the Company operates. Certain significant unusual or infrequently occurring items that are separately reported are separately recognized in the quarter during which they occur and can be a source of variability in the effective tax rate from quarter to quarter.</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had no income tax expense for the three months ended March 31, 2022 and 2021, respectively. Income tax expense for the three months ended March 31, 2022 and 2021 is based on the Company’s estimated annualized effective tax rate for the fiscal years ending December 31, 2022 and December 31, 2021, respectively. For the three months ended March 31, 2022, the Company’s recognized effective tax rate differs from the U.S. federal statutory rate as the Company recorded net losses during the period and a full valuation allowance has been recorded on the Company’s net deferred tax assets.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has been and may be involved in various claims, lawsuits, investigations and other proceedings in the normal course of the business. The Company accrues a liability when management believes information available prior to the issuance of the condensed consolidated financial statements indicates it is probable a loss has been incurred as of the date of the financial statements and the amount of loss can be reasonably estimated. The Company adjusts its accruals to reflect the impact of negotiation, settlements, rulings, advice of legal counsel and other information and events pertaining to a particular case. Legal costs are expensed as incurred. Although claims are inherently unpredictable, the Company currently is not aware of any matters that may have a material adverse effect on its business, financial position, results of operations or cash flows. Accordingly, the Company has not recorded any material loss contingency in the balance sheet as of March 31, 2022 and December 31, 2021.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investors, directors, officers, employees, customers or vendors with respect to certain matters, including, but not limited to, losses arising out of the Company’s breach of such agreements, services to be provided by the Company or from 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As of March 31, 2022 and December 31, 2021, the Company has not accrued a liability for these indemnification obligations as the likelihood of incurring a material payment obligation in connection with these indemnification obligations is either not probable or reasonably estimable due to the unique facts and circumstances involved.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facilities under noncancelable operating lease agreements. Future minimum rental payments under the noncancelable operating leases, subsequent to March 31, 2022,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60" w:type="dxa"/>
            <w:vAlign w:val="bottom"/>
          </w:tcPr>
          <w:p>
            <w:pPr>
              <w:spacing w:after="0"/>
              <w:rPr>
                <w:sz w:val="18"/>
                <w:szCs w:val="18"/>
                <w:color w:val="auto"/>
              </w:rPr>
            </w:pPr>
          </w:p>
        </w:tc>
      </w:tr>
      <w:tr>
        <w:trPr>
          <w:trHeight w:val="19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6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6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6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60" w:type="dxa"/>
            <w:vAlign w:val="bottom"/>
          </w:tcPr>
          <w:p>
            <w:pPr>
              <w:spacing w:after="0"/>
              <w:rPr>
                <w:sz w:val="17"/>
                <w:szCs w:val="17"/>
                <w:color w:val="auto"/>
              </w:rPr>
            </w:pPr>
          </w:p>
        </w:tc>
      </w:tr>
      <w:tr>
        <w:trPr>
          <w:trHeight w:val="202"/>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6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 and thereafter</w:t>
            </w: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9,919</w:t>
            </w:r>
          </w:p>
        </w:tc>
        <w:tc>
          <w:tcPr>
            <w:tcW w:w="60" w:type="dxa"/>
            <w:vAlign w:val="bottom"/>
          </w:tcPr>
          <w:p>
            <w:pPr>
              <w:spacing w:after="0"/>
              <w:rPr>
                <w:sz w:val="17"/>
                <w:szCs w:val="17"/>
                <w:color w:val="auto"/>
              </w:rPr>
            </w:pPr>
          </w:p>
        </w:tc>
      </w:tr>
      <w:tr>
        <w:trPr>
          <w:trHeight w:val="236"/>
        </w:trPr>
        <w:tc>
          <w:tcPr>
            <w:tcW w:w="9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15,930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Rent expense related to noncancelable operating leases totaled $0.3 million for the three months ended March 31, 2022 and 2021. The operating lease term includes two three-year renewal options.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Leases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leases equipment under agreements expiring at various times during the next three years. The Company has recorded the capital lease obligations within its condensed consolidated balance sheets. Future minimum rental payments under the noncancelable capital leases, subsequent to March 31, 2022,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Pr>
          <w:p>
            <w:pPr>
              <w:spacing w:after="0"/>
              <w:rPr>
                <w:sz w:val="18"/>
                <w:szCs w:val="18"/>
                <w:color w:val="auto"/>
              </w:rPr>
            </w:pPr>
          </w:p>
        </w:tc>
        <w:tc>
          <w:tcPr>
            <w:tcW w:w="17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Capital Leases</w:t>
            </w:r>
          </w:p>
        </w:tc>
      </w:tr>
      <w:tr>
        <w:trPr>
          <w:trHeight w:val="19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7"/>
                <w:szCs w:val="17"/>
                <w:color w:val="auto"/>
              </w:rPr>
            </w:pPr>
          </w:p>
        </w:tc>
      </w:tr>
      <w:tr>
        <w:trPr>
          <w:trHeight w:val="203"/>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Minimum lease payment including interest</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Amount representing interest</w:t>
            </w:r>
          </w:p>
        </w:tc>
        <w:tc>
          <w:tcPr>
            <w:tcW w:w="28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(3 )</w:t>
            </w:r>
          </w:p>
        </w:tc>
      </w:tr>
      <w:tr>
        <w:trPr>
          <w:trHeight w:val="196"/>
        </w:trPr>
        <w:tc>
          <w:tcPr>
            <w:tcW w:w="9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Minimum lease payments excluding interest</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tcBorders>
              <w:top w:val="single" w:sz="8" w:color="CFF0FC"/>
            </w:tcBorders>
          </w:tcPr>
          <w:p>
            <w:pPr>
              <w:spacing w:after="0"/>
              <w:rPr>
                <w:sz w:val="17"/>
                <w:szCs w:val="17"/>
                <w:color w:val="auto"/>
              </w:rPr>
            </w:pPr>
          </w:p>
        </w:tc>
      </w:tr>
      <w:tr>
        <w:trPr>
          <w:trHeight w:val="20"/>
        </w:trPr>
        <w:tc>
          <w:tcPr>
            <w:tcW w:w="9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-427990</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-162560</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Unconditional Purchase Commitments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4, 2021, the Company entered into an agreement with Palantir Technologies (“Palantir”). Pursuant to that agreement, the Company committed to purchase licenses to access software products and utilize services from Palantir over a six year period for a total cost to the Company of $42.0 million. As of March 31, 2022, the Company has an unconditional purchase commitment with Palantir as detailed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Annual Service</w:t>
            </w:r>
          </w:p>
        </w:tc>
        <w:tc>
          <w:tcPr>
            <w:tcW w:w="60" w:type="dxa"/>
            <w:vAlign w:val="bottom"/>
          </w:tcPr>
          <w:p>
            <w:pPr>
              <w:spacing w:after="0"/>
              <w:rPr>
                <w:sz w:val="16"/>
                <w:szCs w:val="16"/>
                <w:color w:val="auto"/>
              </w:rPr>
            </w:pPr>
          </w:p>
        </w:tc>
      </w:tr>
      <w:tr>
        <w:trPr>
          <w:trHeight w:val="205"/>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60" w:type="dxa"/>
            <w:vAlign w:val="bottom"/>
          </w:tcPr>
          <w:p>
            <w:pPr>
              <w:spacing w:after="0"/>
              <w:rPr>
                <w:sz w:val="17"/>
                <w:szCs w:val="17"/>
                <w:color w:val="auto"/>
              </w:rPr>
            </w:pPr>
          </w:p>
        </w:tc>
      </w:tr>
      <w:tr>
        <w:trPr>
          <w:trHeight w:val="196"/>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8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6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6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17"/>
                <w:szCs w:val="17"/>
                <w:color w:val="auto"/>
              </w:rPr>
            </w:pPr>
          </w:p>
        </w:tc>
      </w:tr>
      <w:tr>
        <w:trPr>
          <w:trHeight w:val="236"/>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36,000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7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recognized $0.9 million in sales and marketing expenses related to services provided by Palantir during the three months ended March 31, 2022. The Company had a prepaid expense balance of $2.7 million related to the Palantir contract as of March 31,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Chief Executive Officer (“CEO”) is the Chief Operating Decision Maker (“CODM”). The CODM allocates resources and makes operating decisions based on financial information presented on a consolidated basis. The profitability of the Company’s product group is not a determining factor in allocating resources and the CODM does not evaluate profitability below the level of the consolidated company. Accordingly, the Company has determined that it has a single reportable segment and operating segment structure.</w:t>
      </w:r>
    </w:p>
    <w:p>
      <w:pPr>
        <w:spacing w:after="0" w:line="17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revenue is derived primarily from U.S. customers. During the three months ended March 31, 2022 and 2021, the Company had no material revenue earned from customers located outside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long-lived assets are maintained in the United States. All losses are attributable to operations within the United States.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May 16, 2021, the Company entered into an agreement with Sparks Marketing Corp. to begin the construction of an experiential marketing mobile display to be used for demonstrations of Company products at prospective customer locations as well as other marketing and demonstration events. Negotiations of this agreement involved an account executive at Sparks Marketing Corp. who is the brother-in-law of Mr. Wolff, our former CEO and current Executive Chairman of the Board. The Company has capitalized $0.8 million related to construction in progress for the experiential mobile display as of March 31, 2022.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14. Employee Benefits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a defined contribution 401(k) plan covering substantially all employees as of March 31, 2022. The plan allows employees to defer up to 100% of their employment income (subject to annual contribution limits imposed by the I.R.S.) after all taxes and applicable benefit deductions. The Company has not historically provided matching contributions for the employee contributions to the plans; therefore, no amounts have been accrued as of March 31, 2022 and December 31, 2021. In April 2022 the Company began providing employee 401(k) matching contributions.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April 25, 2022, the Company acquired RE2, Inc., a Pittsburgh, PA based developer of manipulator arms with human-like performance, intuitive robot interfaces, and advanced autonomy capabilities for use in any environment. At closing, the Company paid approximately $30 million in cash, net of cash acquired, issued approximately 10.8 million shares of Common Stock and assumed certain outstanding options to acquire RE2 common stock which, following such assumption, represent rights to acquire 3.9 million shares of Common Stock. The Company is in the process of allocating the purchase price to the acquired assets and liabilities based upon their estimated fair values as of the closing date of the acquisition.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i w:val="1"/>
          <w:iCs w:val="1"/>
          <w:color w:val="auto"/>
        </w:rPr>
        <w:t>Throughout this section, unless otherwise noted, the “Company,” “Sarcos Technology and Robotics Corporation,” "Sarcos," “we,” “us,” and “our” refers to Sarcos Technology and Robotics Corporation, and its subsidiaries, collectively. You should read the following discussion and analysis of our financial condition and results of operations in conjunction with our unaudited interim condensed consolidated financial statements and related notes thereto included elsewhere in this Quarterly Report (this “Report”) as well as our Annual Report on Form 10-K for the fiscal year ended December 31, 2021 (the “2021 Form 10-K”) and our other filings, including Current Reports on Form 8-K, that we have filed with the SEC through the date of this Report. As discussed in the Special Note Regarding Forward-Looking Statements below, in addition to historical information, the following discussion and analysis contains forward-looking statements that involve risks, uncertainties and assumptions. Our actual results may differ materially from those anticipated in these forward-looking statements as a result of certain factors, including those set forth in Part II Item 1A Risk Factors and elsewhere in this Report.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statements in this Report constitute “forward-looking statements” within the meaning of Section 27A of the Securities Act of 1933, as amended (the “Securities Act”) and Section 21E of the Securities Exchange Act of 1934, as amended (the “Exchange Act”). These forward-looking statements relate to expectations for future financial performance, business strategies or expectations for our business. Specifically, forward-looking statements may include statements relating to:</w:t>
      </w:r>
    </w:p>
    <w:p>
      <w:pPr>
        <w:spacing w:after="0" w:line="13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RE2 and achieve the expected benefits of the acquisition;</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our products to or obtain RaaS subscriptions from new and existing customers;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expand our product availability globally;</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roadmap, including the expected timing of new product releases;</w:t>
      </w:r>
    </w:p>
    <w:p>
      <w:pPr>
        <w:spacing w:after="0" w:line="18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overcome supply chain challenges, including increases in the cost of and an interruption in the supply or shortage of materials;</w:t>
      </w:r>
    </w:p>
    <w:p>
      <w:pPr>
        <w:spacing w:after="0" w:line="1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or future businesses and technologies;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and global economic conditions on our business and the business of our customers;</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and expenses;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modified or new laws and regulations applicable to our business;</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with the necessary experience;</w:t>
      </w:r>
    </w:p>
    <w:p>
      <w:pPr>
        <w:spacing w:after="0" w:line="18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that meet our customers’ requirements and to successfully transition to high volume manufacturing of our products by third-party manufacturers or by us;</w:t>
      </w:r>
    </w:p>
    <w:p>
      <w:pPr>
        <w:spacing w:after="0" w:line="1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financial and operating information;</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our products and services;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requirements and sources and uses of cash;</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protect our brand; and</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preceded by, followed by or that include the words “may,” “can,” “should,” “will,” “estimate,” “plan,” “project,” “forecast,”</w:t>
      </w:r>
    </w:p>
    <w:p>
      <w:pPr>
        <w:spacing w:after="0" w:line="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“intend,” “expect,” “anticipate,” “believe,” “seek,” “target” or similar expressions.</w:t>
      </w:r>
    </w:p>
    <w:p>
      <w:pPr>
        <w:ind w:left="55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3" w:name="page24"/>
    <w:bookmarkEnd w:id="23"/>
    <w:p>
      <w:pPr>
        <w:jc w:val="both"/>
        <w:spacing w:after="0" w:line="250"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Report and our management’s current expectations, forecasts and assumptions, and involve a number of judgments, risks and uncertainties. Accordingly, forward-looking statements should not be relied upon as representing our views as of any subsequent date, and, in any event, you should not place undue reliance on these forward-looking statements.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those factors described in Part II Item 1A Risk Factors of this Report. Should one or more of these risks or uncertainties materialize, or should any of the assumptions prove incorrect, actual results may vary in material respects from those projected in these forward-looking statements. Our Risk Factors are not guarantees that no such conditions exist as of the date of this report and should not be interpreted as an affirmative statement that such risks or conditions have not materialized, in whole or in part.</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 technology leader in industrial highly-dexterous mobile robotic systems for use in dynamic environments. Our mission is to increase worker productivity and longevity and prevent injuries through robotics. The robotic systems we are developing are designed to combine human intelligence, instinct, and judgment with the strength, endurance and precision of machines. This technologically advanced line of products augments, rather than replaces, humans.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plan to offer our Guardian XO and Guardian XT primarily through a Robot-as-a-Service, or RaaS, subscription-based service model that will give customers the convenience of on-going maintenance, support, remote monitoring and software upgrades in addition to use of our products. We currently do not have any RaaS subscription agreements. As a result of our acquisition of RE2 on April 25, 2022, we now offer RE2’s Sapien line of robotic arm products. Revenue from Sapien products are generally derived from development and sales contracts, rather than subscription arrangements, though we may decide to offer Sapien products under a RaaS subscription model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both our capital and operating expenditures will increase significantly in connection with our ongoing activities, as we:</w:t>
      </w:r>
    </w:p>
    <w:p>
      <w:pPr>
        <w:spacing w:after="0" w:line="171"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commercialize our products;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collaborate on production systems for manufacturing efforts in-house and by third-parties;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invest in our technology, research and development efforts and our product development efforts;</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and improve our operational, financial and management information systems;</w:t>
      </w:r>
    </w:p>
    <w:p>
      <w:pPr>
        <w:spacing w:after="0" w:line="184"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hire and retain additional personnel to support and sustain our needs in commercializing our products, producing them and delivering them to our customers;</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for commercial distribution and placement of our robotic systems;</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and administer our maintenance and servicing infrastructure;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and expand our intellectual property portfolio.</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 to COVID-19</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January 30, 2020, the World Health Organization declared the COVID-19 outbreak a “Public Health Emergency of International Concern” and on March 11, 2020, declared it to be a pandemic. Actions taken around the world to help mitigate the spread of COVID-19 include restrictions on travel, quarantines in certain areas and forced closures for certain types of public places and businesses. COVID-19 and actions taken to mitigate its spread have had and are expected to continue to have an adverse impact on the economies and financial markets of many countries, including the geographical areas in which Sarcos operates.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4" w:name="page25"/>
    <w:bookmarkEnd w:id="24"/>
    <w:p>
      <w:pPr>
        <w:jc w:val="both"/>
        <w:spacing w:after="0" w:line="250" w:lineRule="auto"/>
        <w:rPr>
          <w:sz w:val="20"/>
          <w:szCs w:val="20"/>
          <w:color w:val="auto"/>
        </w:rPr>
      </w:pPr>
      <w:r>
        <w:rPr>
          <w:rFonts w:ascii="Times New Roman" w:cs="Times New Roman" w:eastAsia="Times New Roman" w:hAnsi="Times New Roman"/>
          <w:sz w:val="18"/>
          <w:szCs w:val="18"/>
          <w:color w:val="auto"/>
        </w:rPr>
        <w:t>We have taken several actions in response to the COVID-19 pandemic which have the potential to result in a significant disruption to how we operate our business. Our customers and partners have adopted similar policies. These actions and policies of ours and our customers and partners are evolving as laws, regulations and recommendations evolve. We have experienced, and may continue to experience, an adverse impact on certain parts of our business as a result of measures to mitigate the COVID-19 pandemic and their resulting economic effects.</w:t>
      </w:r>
    </w:p>
    <w:p>
      <w:pPr>
        <w:spacing w:after="0" w:line="16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are currently experiencing disruptions in our supply chain, due in part to the global impact of the COVID-19 pandemic. Depending upon the duration of the ongoing COVID-19 pandemic and the associated business interruptions, our customers, suppliers, manufacturers and partners may suspend or delay their engagements with us, which could result in a material adverse effect on our financial condition and ability to meet current timelines. In an effort to manage potential supply chain risks we expect to accelerate purchases of materials and components during the latter part of the year to prepare for production of our commercial units. In addition, the COVID-19 pandemic has affected and may continue to affect our ability to recruit skilled employees to join our team. The conditions caused by the pandemic have adversely affected and may in the future adversely affect, among other things, demand for our products, the ability to test and assess our robotic systems with our potential customers, our IT and other expenses, our ability to recruit and the ability of our employees to travel, all of which could adversely affect our business, results of operations and financial condition. The ultimate duration and extent of the COVID-19 pandemic cannot be accurately predicted at this time, and the direct or indirect impact on our business, results of operations and financial condition will depend on future developments that are highly uncertain.</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have also experienced, and may continue to experience, certain positive financial impacts on other aspects of our business, including a reduction in certain operating expenses due to reduced business travel, deferred hiring for some positions, and the virtualization or cancellation of customer and employee events. However, as restrictions ease we are likely to begin to incur increased travel and other such expenses, though the exact timing and amounts are not predictable. Additionally, we believe that the COVID-19 pandemic could also enhance customer interest in our Guardian products as a means to assist and protect the current labor force and that our products are well suited to the new working environment as a result of the pandemic.</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global impact of COVID-19 continues to rapidly evolve, and we will continue to monitor the situation and the effects on our business and operations closely. We do not yet know the full extent of potential impacts on our business or operations. In particular, the effect of the COVID-19 pandemic may not be fully reflected in our operating results until future periods. Given the uncertainty, we cannot reasonably estimate the impact of the COVID-19 pandemic on our future results of operations, cash flows, or financial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RE2, Inc.</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April 25, 2022, we acquired RE2, Inc., a Pittsburgh, PA based developer of manipulator arms with human-like performance, intuitive robot interfaces and advanced autonomy capabilities for use in any environment. At closing, the Company paid approximately $30 million in cash, net of cash acquired, issued approximately 10.8 million shares of Common Stock and assumed certain outstanding options to acquire RE2 common stock which, following such assumption, represent rights to acquire 3.9 million shares of Common Stock. The results presented and discussed below are those of the Company alone and do not reflect the impact of the RE2 acquisition.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Operating Results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several factors that present significant opportunities for us but also pose risks and challenges, including those discussed below and in Part II Item 1A 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Testing and Commercial Launch of the Guardian XO and Guardian XT Products</w:t>
      </w:r>
    </w:p>
    <w:p>
      <w:pPr>
        <w:spacing w:after="0" w:line="20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currently expect to derive revenue from the commercial launch of our Guardian XO and Guardian XT products, with initial production of commercial units beginning at the end of 2022 for delivery to customers in early 2023. Such timeline may be delayed, including due to challenges in recruiting skilled employees, difficulties in securing components and materials, development delays, difficulties relating to manufacturing of the units and other factors discussed under Part II Item 1A Risk Factors “</w:t>
      </w:r>
      <w:r>
        <w:rPr>
          <w:rFonts w:ascii="Times New Roman" w:cs="Times New Roman" w:eastAsia="Times New Roman" w:hAnsi="Times New Roman"/>
          <w:sz w:val="18"/>
          <w:szCs w:val="18"/>
          <w:i w:val="1"/>
          <w:iCs w:val="1"/>
          <w:color w:val="auto"/>
        </w:rPr>
        <w:t>Initial production of commercial units of our core products, the Guardian XO and Guardian XT, may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delayed beyond the end of 2022 and therefore initial delivery to customers could be beyond early 2023.</w:t>
      </w:r>
      <w:r>
        <w:rPr>
          <w:rFonts w:ascii="Times New Roman" w:cs="Times New Roman" w:eastAsia="Times New Roman" w:hAnsi="Times New Roman"/>
          <w:sz w:val="18"/>
          <w:szCs w:val="18"/>
          <w:color w:val="auto"/>
        </w:rPr>
        <w:t>” Such challenges may result in further delay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anticipated commercial launch of one or more of our products, which would adversely affect our financial condition and operating results.</w:t>
      </w:r>
    </w:p>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Prior to commercialization, we must complete the development, testing and manufacturing requirements of these products. As a result, we will spend a material portion of our cash on hand to develop our products and fund operations for the foreseeable future. The amount and timing of our future funding requirements, if any, will depend on many factors, including the pace and results of our product development efforts. Any delays in the successful completion of the commercialization of our Guardian XO and Guardian XT products will impact our ability to generate revenue, our profitability and our overall operating performance.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Integration with RE2</w:t>
      </w:r>
    </w:p>
    <w:p>
      <w:pPr>
        <w:spacing w:after="0" w:line="2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are in the early stages of integrating with RE2, which we acquired on April 25, 2022. While we believe that the organizations share common values and cultures and that the acquisition will help us expand our product portfolio, serve additional markets and further our product development efforts, integration involves significant risk and management attention. If these efforts divert management time and company resources from our product development efforts, the commercial production and release of our Guardian XO and Guardian XT products could be delayed. The development and sales of our Sapien products could also be adversely affected. If we are not able to successfully integrate RE2 and achieve the expected benefits of the acquisition while managing the development and commercialization of our core products, the Guardian XO and Guardian XT, commercialization of the Guardian XO and Guardian XT could be delayed, which would adversely impact our operating results and financial condition, and the value of our investment in RE2 could be impaired.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Demand</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Although our Guardian XO and Guardian XT units are not yet commercially available, we have received interest from potential customers that have tested or witnessed demonstrations of our prototypes and alpha units. However, because our robotic systems represent a new product category in markets that currently rely on conventional, manual systems, the market demand for our products is unproven, and important assumptions about the characteristics of targeted markets, pricing and sales cycle may be inaccurate. If customer demand does not develop as expected or we do not accurately forecast pricing, adoption rates and sales cycle for our products, our business, results of operations and financial condition will be adversely affected.</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expect to offer our Guardian XO and Guardian XT primarily through a RaaS subscription model, which we believe will drive accelerated adoption of our product offerings following their commercial launch. We believe the RaaS subscription model will be attractive to our customers and accelerate market adoption of our robotic systems because it will lower the upfront costs of deployment, shift customers’ capital expenditures to operating expenditures, allow customers to more nimbly scale deployments up or down in response to market conditions and make our products more accessible to customers of all sizes. However, our RaaS subscription model is unproven and may fail to gain commercial acceptance. Going forward, we expect the volume of our committed RaaS contracts to be an important indicator of our future performance.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and Innovation</w:t>
      </w:r>
    </w:p>
    <w:p>
      <w:pPr>
        <w:spacing w:after="0" w:line="20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are a pioneer in the robotic systems industry and benefit from lessons learned over 30 years and more than $300 million in research and development investment in our proprietary technologies and our extensive patent portfolio. However, our financial performance is significantly dependent on our ability to maintain this leading position and further dependent on the investments we make in research and development. It is important that we continually identify and respond to rapidly evolving customer requirements, develop and introduce innovative new products, enhance and service existing products and generate active market demand for our robotic systems. If we fail to do this, our market position and revenue may be adversely affected, and our investments into these technologies will not be recovered.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discussion below regarding our results of operation for the three months ended March 31, 2022, does not include the financial results of RE2 as we had not acquired RE2 as of March 31, 2022. However, upon our acquisition of RE2 on April 25, 2022, RE2’s financial results began to be consolidated with ours. As a result, beginning with our Quarterly Report on Form 10-Q for the quarter ending June 30, 2022, we will report our financial results on a combined basis and our results of operations will include those of RE2 from the acquisition date. Our results will not include RE2’s financial information prior to the acquisition. Beginning with our Quarterly Report on Form 10-Q for the quarter ending June 30, 2022, our revenue and expenses will increase as compared to the corresponding periods in 2021 in large part due to incorporating the operating results of RE2. Where we indicate our beliefs as to future trends in financial performance in our discussion below and elsewhere in this Report, we focus on business drivers of those trends and, except as expressly stated, do not repeat the general impact of combining RE2’s financial performance or condition with ours as a driver of future changes.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2022, and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 for the three months ended March 31, 2022 and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 vs. 2021 Change</w:t>
            </w:r>
          </w:p>
        </w:tc>
      </w:tr>
      <w:tr>
        <w:trPr>
          <w:trHeight w:val="202"/>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80" w:type="dxa"/>
            <w:vAlign w:val="bottom"/>
          </w:tcPr>
          <w:p>
            <w:pPr>
              <w:spacing w:after="0"/>
              <w:rPr>
                <w:sz w:val="17"/>
                <w:szCs w:val="17"/>
                <w:color w:val="auto"/>
              </w:rPr>
            </w:pPr>
          </w:p>
        </w:tc>
      </w:tr>
      <w:tr>
        <w:trPr>
          <w:trHeight w:val="19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Research and Development Services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2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80" w:type="dxa"/>
            <w:vAlign w:val="bottom"/>
            <w:gridSpan w:val="2"/>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2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(189 )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(95 )%</w:t>
            </w:r>
          </w:p>
        </w:tc>
      </w:tr>
      <w:tr>
        <w:trPr>
          <w:trHeight w:val="236"/>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180" w:type="dxa"/>
            <w:vAlign w:val="bottom"/>
            <w:tcBorders>
              <w:bottom w:val="single" w:sz="8" w:color="CFF0FC"/>
            </w:tcBorders>
            <w:gridSpan w:val="2"/>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342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342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342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342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decreased by $1.1 million, or 59%, from $1.8 million for the three months ended March 31, 2021, to $0.7 million for the three months ended March 31, 2022, as explained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Services</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Revenue derived from research and development services decreased by $0.9 million, or 54%, from $1.6 million for the three months ended March 31, 2021 to $0.7 million for the three months ended March 31, 2022. The decrease was a result of a net change in work efforts for various projects during the comparable periods and a decision to focus only on projects fully aligned with our product commercialization efforts. We expect future revenue from research and development services to fluctuate as we develop our products and narrow our focus to accepting only those development contracts that are fully aligned with our product commercialization efforts.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derived from product sales decreased by $0.2 million, or 95%, from $0.2 million during the three months ended March 31, 2021 to $0.0 million for the three months ended March 31, 2022. During the three months ended March 31, 2022, we had minimal product sales compared to $0.2 million in sales of our Guardian S during the three months ended March 31, 2021.</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operating expenses for the three months ended March 31, 2022 and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4"/>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2022 vs. 2021 Change</w:t>
            </w:r>
          </w:p>
        </w:tc>
      </w:tr>
      <w:tr>
        <w:trPr>
          <w:trHeight w:val="202"/>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80" w:type="dxa"/>
            <w:vAlign w:val="bottom"/>
          </w:tcPr>
          <w:p>
            <w:pPr>
              <w:spacing w:after="0"/>
              <w:rPr>
                <w:sz w:val="17"/>
                <w:szCs w:val="17"/>
                <w:color w:val="auto"/>
              </w:rPr>
            </w:pPr>
          </w:p>
        </w:tc>
      </w:tr>
      <w:tr>
        <w:trPr>
          <w:trHeight w:val="19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r>
      <w:tr>
        <w:trPr>
          <w:trHeight w:val="203"/>
        </w:trPr>
        <w:tc>
          <w:tcPr>
            <w:tcW w:w="5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(714 )</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(59 )%</w:t>
            </w:r>
          </w:p>
        </w:tc>
      </w:tr>
      <w:tr>
        <w:trPr>
          <w:trHeight w:val="203"/>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5,881</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2,815</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2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109 %</w:t>
            </w:r>
          </w:p>
        </w:tc>
      </w:tr>
      <w:tr>
        <w:trPr>
          <w:trHeight w:val="203"/>
        </w:trPr>
        <w:tc>
          <w:tcPr>
            <w:tcW w:w="5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15,478</w:t>
            </w:r>
          </w:p>
        </w:tc>
        <w:tc>
          <w:tcPr>
            <w:tcW w:w="22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669 %</w:t>
            </w:r>
          </w:p>
        </w:tc>
      </w:tr>
      <w:tr>
        <w:trPr>
          <w:trHeight w:val="203"/>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2,211</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22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237 %</w:t>
            </w:r>
          </w:p>
        </w:tc>
      </w:tr>
      <w:tr>
        <w:trPr>
          <w:trHeight w:val="196"/>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26,372</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6,987</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19,385</w:t>
            </w:r>
          </w:p>
        </w:tc>
        <w:tc>
          <w:tcPr>
            <w:tcW w:w="22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277 %</w:t>
            </w:r>
          </w:p>
        </w:tc>
      </w:tr>
      <w:tr>
        <w:trPr>
          <w:trHeight w:val="20"/>
        </w:trPr>
        <w:tc>
          <w:tcPr>
            <w:tcW w:w="5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-162560</wp:posOffset>
            </wp:positionV>
            <wp:extent cx="431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-162560</wp:posOffset>
            </wp:positionV>
            <wp:extent cx="342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-162560</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revenue decreased by $0.7 million, or 59%, from $1.2 million for the three months ended March 31, 2021, to $0.5 million for the three months ended March 31, 2022. Cost of revenue decreased at a similar rate as revenue decreased, driven by a decrease in expense in the use of direct labor, applied overhead and the use of third-party contractors.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increased by $3.1 million, or 109% from $2.8 million for the three months ended March 31, 2021, to $5.9 million for the three months ended March 31, 2022. The increase was driven primarily by an increase in labor and overhead expense as a result of increased headcount and our focus on the development and commercialization of our Guardian XO and Guardian XT products. We expect our research and development expenses to continue to increase due to our focus on product development.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General and administrative expenses increased by $15.5 million, or 669%, from $2.3 million for the three months ended March 31, 2021, to $17.8 million for the three months ended March 31, 2022. The largest portion of the increase, $10.5 million, is due to stock-based compensation expense, mainly for stock grants that began vesting upon the closing of the Merger. Additionally, general and administrative expense increased primarily due to increased legal expenses and business insurance expense. We expect our general and administrative expenses to be higher year-over-year for the remainder of 2022 as we work on our commercialization pathway.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Sales and marketing expenses increased by $1.6 million, or 237%, from $0.7 million for the three months ended March 31, 2021, to $2.2 million for the three months ended March 31, 2022. This increase was driven by an increase in professional service fees due to the engagement of a third-party vendor utilized in data management of our products and services and stock-based compensation expense. We expect our sales and marketing expenses to be higher year-over-year for the remainder of 2022 as we work on our commercialization pathway.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other income for the three months ended March 31, 2022 and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gridSpan w:val="5"/>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4"/>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2022 vs. 2021 Change</w:t>
            </w:r>
          </w:p>
        </w:tc>
      </w:tr>
      <w:tr>
        <w:trPr>
          <w:trHeight w:val="202"/>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80" w:type="dxa"/>
            <w:vAlign w:val="bottom"/>
          </w:tcPr>
          <w:p>
            <w:pPr>
              <w:spacing w:after="0"/>
              <w:rPr>
                <w:sz w:val="17"/>
                <w:szCs w:val="17"/>
                <w:color w:val="auto"/>
              </w:rPr>
            </w:pPr>
          </w:p>
        </w:tc>
      </w:tr>
      <w:tr>
        <w:trPr>
          <w:trHeight w:val="19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(loss)</w:t>
            </w: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r>
      <w:tr>
        <w:trPr>
          <w:trHeight w:val="203"/>
        </w:trPr>
        <w:tc>
          <w:tcPr>
            <w:tcW w:w="5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(210 )%</w:t>
            </w:r>
          </w:p>
        </w:tc>
      </w:tr>
      <w:tr>
        <w:trPr>
          <w:trHeight w:val="203"/>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Gain on warrant liability</w:t>
            </w: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6,414</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6,414</w:t>
            </w: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*NM</w:t>
            </w:r>
          </w:p>
        </w:tc>
      </w:tr>
      <w:tr>
        <w:trPr>
          <w:trHeight w:val="203"/>
        </w:trPr>
        <w:tc>
          <w:tcPr>
            <w:tcW w:w="5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income, net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*NM</w:t>
            </w:r>
          </w:p>
        </w:tc>
      </w:tr>
      <w:tr>
        <w:trPr>
          <w:trHeight w:val="236"/>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other income (loss)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6,427</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6,437</w:t>
            </w:r>
          </w:p>
        </w:tc>
        <w:tc>
          <w:tcPr>
            <w:tcW w:w="1460" w:type="dxa"/>
            <w:vAlign w:val="bottom"/>
            <w:tcBorders>
              <w:bottom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(64,370 )%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-25400</wp:posOffset>
            </wp:positionV>
            <wp:extent cx="342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342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342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342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(loss) increased by $6.4 million for the three months ended March 31, 2022 as compared to the prior year period, as a result of the $6.4 million in unrealized mark-to-market gain on our outstanding private placement warrants.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the closing of the Business Combination, Old Sarcos financed its operations through private placements of redeemable convertible preferred stock, from the limited sale of Guardian S units and other commercially available products and by providing research and development services under Small Business Innovation Research contracts and as a subcontractor for prime contractors working with the U.S. Department of Defense.</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closing of the Business Combination, we retained approximately $228.8 million in cash proceeds, net of fees and expenses related to the Business Combination, including $220.0 million, from the PIPE Financing.</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currently use cash to fund operations and capital expenditures and meet working capital requirements. As of March 31, 2022, we had $199.0 million in cash and cash equivalents. In the second quarter of 2022, we used approximately $30 million in cash, net of cash acquired, in connection with our acquisition of RE2. We believe that our cash and cash equivalents on hand will be sufficient to support operations, working capital and capital expenditure requirements for at least the next 12 months.</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our revenue growth rate, our ability to commercialize and deploy into the market our Guardian XO and Guardian XT products, our decision to outsource manufacturing of our robotic systems or develop high-volume production manufacturing capabilities in-house, unanticipated supply chain delays, the impact of inflation on the cost of labor, materials and components, availability of required materials and components, the extent to which we use capital to support further infrastructure development and research and development efforts, additional capital expenditures required for existing and new facilities, the expansion of sales, marketing, service and maintenance efforts, and development expenses related to designing and developing of new product capabilities.</w:t>
      </w:r>
    </w:p>
    <w:p>
      <w:pPr>
        <w:spacing w:after="0" w:line="18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we may enter into arrangements to acquire or invest in complementary businesses, services, and technologies, which may require acquisition capital as well as operational capital for these acquisitions or arrangements. We may be required to seek additional equity or debt financing to facilitate these arrangements.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8" w:name="page29"/>
    <w:bookmarkEnd w:id="28"/>
    <w:p>
      <w:pPr>
        <w:jc w:val="both"/>
        <w:spacing w:after="0" w:line="245" w:lineRule="auto"/>
        <w:rPr>
          <w:sz w:val="20"/>
          <w:szCs w:val="20"/>
          <w:color w:val="auto"/>
        </w:rPr>
      </w:pPr>
      <w:r>
        <w:rPr>
          <w:rFonts w:ascii="Times New Roman" w:cs="Times New Roman" w:eastAsia="Times New Roman" w:hAnsi="Times New Roman"/>
          <w:sz w:val="18"/>
          <w:szCs w:val="18"/>
          <w:color w:val="auto"/>
        </w:rPr>
        <w:t>We expect our operating and capital expenditures to increase as we increase headcount, expand our operations and grow our customer base. If additional funds are required to support our working capital requirements, for acquisitions or for other purposes, we may seek to raise funds through additional debt or equity financings or from other sources. If we raise additional funds through the issuance of equity or convertible debt securities,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additional interest expense. Additional financing may not be available at all or, if available, may not be available on terms favorable to us or that we find acceptable.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periods presented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5"/>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4"/>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2022 vs. 2021 Change</w:t>
            </w:r>
          </w:p>
        </w:tc>
      </w:tr>
      <w:tr>
        <w:trPr>
          <w:trHeight w:val="202"/>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80" w:type="dxa"/>
            <w:vAlign w:val="bottom"/>
          </w:tcPr>
          <w:p>
            <w:pPr>
              <w:spacing w:after="0"/>
              <w:rPr>
                <w:sz w:val="17"/>
                <w:szCs w:val="17"/>
                <w:color w:val="auto"/>
              </w:rPr>
            </w:pPr>
          </w:p>
        </w:tc>
      </w:tr>
      <w:tr>
        <w:trPr>
          <w:trHeight w:val="19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1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r>
      <w:tr>
        <w:trPr>
          <w:trHeight w:val="203"/>
        </w:trPr>
        <w:tc>
          <w:tcPr>
            <w:tcW w:w="5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(12,452 )</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(3,871 )</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(8,581 )</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222 %</w:t>
            </w:r>
          </w:p>
        </w:tc>
      </w:tr>
      <w:tr>
        <w:trPr>
          <w:trHeight w:val="203"/>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(514 )</w:t>
            </w:r>
          </w:p>
        </w:tc>
        <w:tc>
          <w:tcPr>
            <w:tcW w:w="2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(962 )</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2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(47 )%</w:t>
            </w:r>
          </w:p>
        </w:tc>
      </w:tr>
      <w:tr>
        <w:trPr>
          <w:trHeight w:val="203"/>
        </w:trPr>
        <w:tc>
          <w:tcPr>
            <w:tcW w:w="5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40" w:type="dxa"/>
            <w:vAlign w:val="bottom"/>
          </w:tcPr>
          <w:p>
            <w:pPr>
              <w:spacing w:after="0"/>
              <w:rPr>
                <w:sz w:val="17"/>
                <w:szCs w:val="17"/>
                <w:color w:val="auto"/>
              </w:rPr>
            </w:pP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(5,190 )</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(7,009 )</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(385 )%</w:t>
            </w:r>
          </w:p>
        </w:tc>
      </w:tr>
      <w:tr>
        <w:trPr>
          <w:trHeight w:val="236"/>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(18,156</w:t>
            </w:r>
          </w:p>
        </w:tc>
        <w:tc>
          <w:tcPr>
            <w:tcW w:w="22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(15,142</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502 %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-25400</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514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514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514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Cash flows used in operating activities during the three months ended March 31, 2022 increased by $8.6 million to $12.5 million from $3.9 million during the same period in 2021. The increase to net cash used in operating activities was primarily attributable to a $14.0 million increase to net loss, partially offset by an increase of $4.4 million in stock-based compensation expense and other non-cash expenses. Additionally, net cash used in operating activities related to changes in operating assets and liabilities increased by $1.0 million, driven mainly by increases in prepaid expenses, partially offset by increases in operating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cash used in investing activities decreased by $0.4 million due to the timing of purchases of property and equipment.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Financing Activities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overall cash used in financing activities increased by $7.0 million. The increase was due mainly to $5.3 million for shares repurchased for payment of tax withholding obligations upon the vesting of equity awards during the three months ended March 31, 2022, as compared to $2.0 million of proceeds from loans received under the Paycheck Protection Program for the three months ended March 31, 2021.</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We will remain an emerging growth company until the earliest of (i) the last day of the fiscal year in which the market value of Common Stock that is held by non-affiliates exceeds $700 million as of the end of that year’s second fiscal quarter,</w:t>
      </w:r>
    </w:p>
    <w:p>
      <w:pPr>
        <w:spacing w:after="0" w:line="1" w:lineRule="exact"/>
        <w:rPr>
          <w:sz w:val="20"/>
          <w:szCs w:val="20"/>
          <w:color w:val="auto"/>
        </w:rPr>
      </w:pPr>
    </w:p>
    <w:p>
      <w:pPr>
        <w:jc w:val="both"/>
        <w:ind w:firstLine="8"/>
        <w:spacing w:after="0" w:line="242" w:lineRule="auto"/>
        <w:tabs>
          <w:tab w:leader="none" w:pos="2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total annual gross revenue of $1.07 billion or more during such fiscal year (as indexed for inflation), (iii) the date on which we have issued more than $1 billion in non-convertible debt in the prior three-year period or (iv) December 31, 2025,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There have been no material changes to our critical accounting policies or estimates as disclosed in the Company’s 2021 Form 10-K.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See Note 1, Basis of Presentation and Summary of Significant Accounting Policies, to our unaudited interim condensed consolidated financial statements included elsewhere in this Report for recently adopted accounting pronouncements and recently issued accounting pronouncements not yet adopted as of the date of this Report.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chief executive officer and chief financial officer (our “Certifying Officers”), the effectiveness of our disclosure controls and procedures as of the end of the fiscal quarter ended March 31, 2022, pursuant to Rule 13a-15(b) under the Exchange Act. Based upon that evaluation, our Certifying Officers concluded that, due to technical issues associated with certain unique, unusual and nonstandard transactions within the Company’s equity described under “</w:t>
      </w:r>
      <w:r>
        <w:rPr>
          <w:rFonts w:ascii="Times New Roman" w:cs="Times New Roman" w:eastAsia="Times New Roman" w:hAnsi="Times New Roman"/>
          <w:sz w:val="18"/>
          <w:szCs w:val="18"/>
          <w:i w:val="1"/>
          <w:iCs w:val="1"/>
          <w:color w:val="auto"/>
        </w:rPr>
        <w:t>Risk Factors—Both Old Sarcos and Rotor identified a material weakness in their internal control over financial reporting prior to</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the closing of the Business Combination.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r>
        <w:rPr>
          <w:rFonts w:ascii="Times New Roman" w:cs="Times New Roman" w:eastAsia="Times New Roman" w:hAnsi="Times New Roman"/>
          <w:sz w:val="18"/>
          <w:szCs w:val="18"/>
          <w:color w:val="auto"/>
        </w:rPr>
        <w:t>” our disclosure controls and procedures were not effective as of March 31, 2022.</w:t>
      </w:r>
    </w:p>
    <w:p>
      <w:pPr>
        <w:spacing w:after="0" w:line="1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0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Other than as discussed herein, there was no change in our internal control over financial reporting that occurred during the fiscal quarter ended March 31, 2022 covered by this Report that has materially affected, or is reasonably likely to materially affect, our internal control over financial reporting. Management is implementing remediation steps to address the material weakness and to improve our internal control over financial reporting. Specifically, we have made an assessment of the accounting personnel and have strengthened our compliance and accounting functions with additional experienced hires to assist in our risk assessment process and the design and implementation of controls. In addition, we have engaged a third-party consulting firm that specializes in internal audit,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0" w:name="page31"/>
    <w:bookmarkEnd w:id="30"/>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and control processes and procedures to assist us in developing and implementing controls to address the remaining material weakness. We continue to make significant progress on these remediation steps and anticipate these actions will allow us to sufficiently address and remediate the remaining material weakness.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contained in this Report, including “Management’s Discussion and Analysis of Financial Condition and Results of Operations” and our unaudited condensed consolidated financial statements and related notes. If any of the events described in the following risk factors and the risks described elsewhere in this report occurs, our business, operating results and financial condition could be materially harmed. This Report also contains forward-looking statements that involve risks and uncertainties. Our actual results could differ materially from those anticipated in the forward-looking statements as a result of factors that are described below and elsewhere in this Report or other risks that we currently deem immaterial or that may be unknown to us. References in this Item 1A Risk Factors to financial information as of dates or for periods ended on or prior to March 31, 2022 do not include the financial information of RE2 as of those dates or for those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 early stage company with a history of losses, and expect to incur significant expenses for the foreseeable future.</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incurred a net loss of $19.2 million for the three months ended March 31, 2022, and a net loss of $81.5 million for the year ended December 31, 2021. We believe that we will continue to incur operating and net losses through at least 2023. Even if we are able to successfully develop our robotic systems and attract customers for commercial sales or RaaS subscriptions of our products, we may not become profitable. Our potential profitability is dependent upon the successful development and successful commercial introduction and adoption on a larger scale of our robotic systems, which may not occur.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the rate at which we will incur losses will be significantly higher in future periods as we:</w:t>
      </w:r>
    </w:p>
    <w:p>
      <w:pPr>
        <w:spacing w:after="0" w:line="212"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design, develop, manufacture and commercialize our robotic systems;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utilize and develop potential new relationships with third-party partners for supply, design to manufacturing and manufacturing;</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production capabilities, including costs associated with the potential outsourcing of the manufacturing of our robotic systems;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up inventories of parts and components for our robotic systems;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maintenance and servicing capacity, capabilities and replacement parts inventory;</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an inventory of our robotic systems;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activities and develop our sales and distribution infrastructure;</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remote monitoring, updating and other cloud-based services;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safety measures for our products and as our customers evaluate and test the efficacy of those safety measures;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expand our technology infrastructure and cybersecurity measures, policies and controls; and</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1" w:name="page32"/>
    <w:bookmarkEnd w:id="31"/>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general and administrative functions and systems to support our growing operations and to operate as a public company.</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we will incur costs and expenses from these efforts before we receive incremental revenues with respect thereto, we expect that our losses in future periods will be significant. In addition, we may find that these efforts are more expensive than we currently anticipate or that these efforts may not result in any additional revenues, which would further increase our losses.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we may not be able to design, develop, manufacture, market and launch our robotic systems successfully.</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invest significantly in order to expand our business. Any failure to manage our growth effectively could materially and adversely affect our business, prospects, financial condition and operating results. We intend to expand our operations significantly. We expect our expansion to include:</w:t>
      </w:r>
    </w:p>
    <w:p>
      <w:pPr>
        <w:spacing w:after="0" w:line="162"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management, engineering and product teams;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recruiting individuals with the appropriate relevant experience;</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training new personnel;</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commercialization of our products;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forecasting production and revenue and implementing ERP systems;</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relationships with one or more third-party design for manufacturing partners and third-party manufacturers and/or expanding our internal manufacturing capabilities;</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expenses and investments in anticipation of expanded operations;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out acquisitions and entering into collaborations, in-licensing arrangements, joint ventures, strategic alliances or partnerships;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internal information technology, safety and security systems;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or expanding sales, customer service and maintenance and servicing facilities and organizations;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demonstrations of robotic systems;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agreements with suppliers and service providers; and</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enhancing administrative infrastructure, systems and processes.</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We intend to continue to hire a significant number of additional personnel, including engineers, design and production personnel and service technicians for our robotic systems. Because of the innovative nature of our technology, individuals with the necessary experience have not been, and likely will continue not to be, readily available to hire, and as a result, we will need to expend significant time and expense to recruit and retain experienced employees and appropriately train any newly hired employees. Competition for individuals with experience designing, producing and servicing dexterous robots and their software is intense, and we may not be able to attract, integrate, train, motivate or retain additional highly qualified personnel. Further, we have recently hired a significant number of new employees, including Kiva Allgood, our new CEO, in December 2021 and other senior employees, as well as over 100 employees as a result of our acquisition of RE2. Integrating a large number of new employees in a short time can cause disruptions to processes, projects, culture, priorities and a company as a whole. New employees may not perform as expected or may not fit culturally, and long-term employees may not embrace new leaders, priorities, methods, processes or other changes and may decide to leave or may not perform as well as in the past. Further, we face these and other risks as a result of our acquisition of RE2. See - </w:t>
      </w:r>
      <w:r>
        <w:rPr>
          <w:rFonts w:ascii="Times New Roman" w:cs="Times New Roman" w:eastAsia="Times New Roman" w:hAnsi="Times New Roman"/>
          <w:sz w:val="18"/>
          <w:szCs w:val="18"/>
          <w:i w:val="1"/>
          <w:iCs w:val="1"/>
          <w:color w:val="auto"/>
        </w:rPr>
        <w:t>The success of our acquisition of RE2, Inc. is subject to numerous risks and uncertainties.</w:t>
      </w:r>
      <w:r>
        <w:rPr>
          <w:rFonts w:ascii="Times New Roman" w:cs="Times New Roman" w:eastAsia="Times New Roman" w:hAnsi="Times New Roman"/>
          <w:sz w:val="18"/>
          <w:szCs w:val="18"/>
          <w:color w:val="auto"/>
        </w:rPr>
        <w:t xml:space="preserve"> Any failure to attract, integrate, train, motivate and retain employees or difficulty adjusting to a larger organization with a new CEO and a large number of new employees could significantly delay our product development and commercial release and materially harm our business, prospects, financial condition and operating results.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acquisition of RE2, Inc. is subject to numerous risks and uncertainties, including integration risks.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25, 2022, we completed our acquisition of RE2, Inc. We believe that RE2's business is complementary to ours, and that both RE2 and Sarcos will benefit from the combination of the two companies. Upon consummation of the acquisition of RE2, we became subject to risks associated with RE2's business, many of which are the same risks that we currently face. Other risks include:</w:t>
      </w:r>
    </w:p>
    <w:p>
      <w:pPr>
        <w:spacing w:after="0" w:line="264"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RE2's products and technology;</w:t>
      </w:r>
    </w:p>
    <w:p>
      <w:pPr>
        <w:spacing w:after="0" w:line="117"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risks, such as risks associated with combining two organizations and cultures in two different geographies and integrating systems and maintaining IT security;</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focus on business and product development objectives;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customer and supplier relationships;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inability to allocate resources appropriately across product lines;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inability to retain employees;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whether we can achieve the expected benefits of the acquisition.</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effectively manage these and any other risks resulting from the acquisition, the value of our investment in RE2 may be adversely affected and the expected benefits of the acquisition may not be realized.</w:t>
      </w:r>
    </w:p>
    <w:p>
      <w:pPr>
        <w:spacing w:after="0" w:line="1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are in the early stages of integrating with RE2, which we acquired on April 25, 2022. While we believe that the organizations share common values and cultures and that the acquisition will help us expand our product portfolio, serve additional markets and further our product development efforts, integration involves significant risk and management attention. If these efforts divert management time and company resources from our product development efforts, the commercial production and release of our Guardian XO and Guardian XT products could be delayed. The development and sales of our Sapien products could also be adversely affected. If we are not able to successfully integrate RE2 and achieve the expected benefits of the acquisition while managing the development and commercialization of our core products, the Guardian XO and Guardian XT, commercialization of the Guardian XO and Guardian XT could be delayed, which would adversely impact our ability to generate revenue, our overall profitability and our operating performance, and the value of our investment in RE2 could be adversely affected.</w:t>
      </w:r>
    </w:p>
    <w:p>
      <w:pPr>
        <w:spacing w:after="0" w:line="18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operating and financial projections rely on management assumptions and analyses. If these assumptions or analyses prove to be incorrect, our actual operating results may be materially different from our forecasted results.</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a development stage company, with very limited experience commercializing our products. Our projected financial and operating information reflect estimates of future performance and are based on multiple financial, technical and operational assumptions, including timely hiring of additional skilled personnel, timing of commercial launch of our robotic systems, the level of demand for our robotic systems, the performance of our robotic systems, the utilization of the robot fleet, commercial interest in the RaaS subscription model and product pricing, the useable life of the robotic systems, cost of manufacturing, cost of components and availability of adequate supply, number of units that will need to be manufactured in each batch, the nature and length of the sales cycle, maintenance and servicing costs and the costs of refurbishing the robotic systems. However, given our limited commercial experience, it is likely that many of these assumptions will prove incorrect. Projections and other statements about future expectations are forward-looking statements that are inherently subject to significant risks, uncertainties and contingencies, many of which are beyond our control (in addition to the information contained in these Risk Factors, see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w:t>
      </w:r>
      <w:r>
        <w:rPr>
          <w:rFonts w:ascii="Times New Roman" w:cs="Times New Roman" w:eastAsia="Times New Roman" w:hAnsi="Times New Roman"/>
          <w:sz w:val="18"/>
          <w:szCs w:val="18"/>
          <w:color w:val="auto"/>
        </w:rPr>
        <w:t>”). Some of these risks, uncertainties and contingencies that could determine whether actual operating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results and business developments will be consistent with our expectations and assumptions include:</w:t>
      </w:r>
    </w:p>
    <w:p>
      <w:pPr>
        <w:spacing w:after="0" w:line="175" w:lineRule="exact"/>
        <w:rPr>
          <w:sz w:val="20"/>
          <w:szCs w:val="20"/>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time and attention needed from management to integrate RE2 into our business, as well as any resulting disruption to or delay in our product development efforts;</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able to successfully integrate RE2 into our business and achieve the expected benefits of the acquisition;</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adequately address customer safety requirements;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obtain sufficient capital to sustain and grow our business;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including the integration of RE2 into our business;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3" w:name="page34"/>
    <w:bookmarkEnd w:id="33"/>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terms of agreements with customers, suppliers and manufacturing partners, and whether we can effectively manage and maintain relationships with these third-parties;</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costs of components and materials;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the required marketing and promotional efforts;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each sale or RaaS subscription;</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customers and their employees will adopt the robotic systems offered by us;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required and success of customer testing of our technology;</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including from established and future competitors;</w:t>
      </w:r>
    </w:p>
    <w:p>
      <w:pPr>
        <w:spacing w:after="0" w:line="21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key management, to attract additional leaders, to integrate recent hires, including RE2’s employees, and to attract, retain and motivate qualified personnel, including engineers, design and production personnel and service technicians;</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strength and stability of domestic and international economies;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currently available and future robots;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and political changes; and</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requirements and preferences.</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Unfavorable changes in any of these or other factors could cause us to fail to meet our operating and financial projections and could materially and adversely affect our business, prospects, financial condition and operating results.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Initial production of commercial units of our core products, the Guardian XO and Guardian XT, may be delayed beyond the end of 2022 and therefore initial delivery to customers could be beyond early 2023.</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expect to commence initial production of commercial units of our core products, the Guardian XO and the Guardian XT, by the end of 2022 for delivery to customers in early 2023, there are significant risks and challenges that could delay our continued development efforts and initial production of commercial units and therefore initial delivery to customers could be beyond early 2023, including:</w:t>
      </w:r>
    </w:p>
    <w:p>
      <w:pPr>
        <w:spacing w:after="0" w:line="169" w:lineRule="exact"/>
        <w:rPr>
          <w:sz w:val="20"/>
          <w:szCs w:val="20"/>
          <w:color w:val="auto"/>
        </w:rPr>
      </w:pPr>
    </w:p>
    <w:p>
      <w:pPr>
        <w:ind w:left="760" w:hanging="378"/>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general labor shortages of qualified applicants has affected and is likely to continue to affect our ability to recruit skilled employees to join our team, negatively affecting the development and commercial launch timelines for our products.</w:t>
      </w:r>
    </w:p>
    <w:p>
      <w:pPr>
        <w:spacing w:after="0" w:line="162" w:lineRule="exact"/>
        <w:rPr>
          <w:rFonts w:ascii="Times New Roman" w:cs="Times New Roman" w:eastAsia="Times New Roman" w:hAnsi="Times New Roman"/>
          <w:sz w:val="18"/>
          <w:szCs w:val="18"/>
          <w:color w:val="auto"/>
        </w:rPr>
      </w:pPr>
    </w:p>
    <w:p>
      <w:pPr>
        <w:jc w:val="both"/>
        <w:ind w:left="760" w:hanging="378"/>
        <w:spacing w:after="0" w:line="245"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suppliers are currently experiencing increases in the cost of and an interruption in the supply or shortage of materials. Due to the complexity of our products, each unit is expected to contain several thousand components. Difficulty securing any components and materials could result in delays in the development of our core products or our ability to manufacture commercial quantities of our products, which delays could be compounded if components or units require redesign or reengineering.</w:t>
      </w:r>
    </w:p>
    <w:p>
      <w:pPr>
        <w:spacing w:after="0" w:line="180" w:lineRule="exact"/>
        <w:rPr>
          <w:rFonts w:ascii="Times New Roman" w:cs="Times New Roman" w:eastAsia="Times New Roman" w:hAnsi="Times New Roman"/>
          <w:sz w:val="18"/>
          <w:szCs w:val="18"/>
          <w:color w:val="auto"/>
        </w:rPr>
      </w:pPr>
    </w:p>
    <w:p>
      <w:pPr>
        <w:jc w:val="both"/>
        <w:ind w:left="760" w:hanging="378"/>
        <w:spacing w:after="0" w:line="247"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development of the Guardian XO and Guardian XT due to these challenges also affect discussions with third-party contract manufacturers, as such discussions are more complicated if the units and/or components are undergoing design changes and improvements. If we are unable to enter into definitive agreements or are only able to do so on terms that are less commercially favorable to us, our expected contract manufacturing costs could increase and/or we may need to develop our own manufacturing and production capabilities. The decision to manufacture units in-house would significantly increase our capital and operating expenditures and could significantly delay production of our robotic systems.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4" w:name="page35"/>
    <w:bookmarkEnd w:id="34"/>
    <w:p>
      <w:pPr>
        <w:jc w:val="both"/>
        <w:spacing w:after="0" w:line="246" w:lineRule="auto"/>
        <w:rPr>
          <w:sz w:val="20"/>
          <w:szCs w:val="20"/>
          <w:color w:val="auto"/>
        </w:rPr>
      </w:pPr>
      <w:r>
        <w:rPr>
          <w:rFonts w:ascii="Times New Roman" w:cs="Times New Roman" w:eastAsia="Times New Roman" w:hAnsi="Times New Roman"/>
          <w:sz w:val="18"/>
          <w:szCs w:val="18"/>
          <w:color w:val="auto"/>
        </w:rPr>
        <w:t>Our current estimates for completion of our pre-commercialization development efforts and the commencement of initial production of commercial units and initial delivery to customers of the Guardian XO and Guardian XT are dependent on our ability to continue to hire and retain qualified employees and the availability of components on a timely basis. In addition, we have seen a significant increase in personnel and materials costs due to shortages of qualified personnel in the labor market and general inflationary pressures. Geopolitical events, such as the continuing effects of the COVID-19 pandemic and the current conflict between Russia and Ukraine, and responses thereto are also contributing to supply shortages and price increases. Over the past year we have experienced, and we continue to experience, challenges in both of these areas, which have negatively impacted our product development schedules and progress. We expect these challenges to continue and, if they do and if we are unable to effectively mitigate their impact, it is likely that we will be unable to meet our currently expected timelines.</w:t>
      </w:r>
    </w:p>
    <w:p>
      <w:pPr>
        <w:spacing w:after="0" w:line="1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Also, if ongoing product testing demonstrates that the units have not been designed or assembled to deliver the performance, reliability and/or safety that we expect, initial production of commercial units and therefore initial delivery to customers may be delayed as we work to address the deficiencies. Delays in the commercial launch of these products will result in a commensurate delay in revenue and profitability. For example, a delay in the commercial launch of the Guardian XO and Guardian XT to the end of 2023 would defer the revenue projected for 2023 to 2024. Any such delay in achieving projected revenues would materially and adversely affect our results of operations and financial condition, and any such delay in developing and commencing initial production of commercial units of products with the performance, reliability and/or safety we and our potential customers are expecting could materially harm our reputation and lead potential customers to seek alternative solutions.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very limited experience commercializing our products and may not be able to do so efficiently or effectively.</w:t>
      </w:r>
    </w:p>
    <w:p>
      <w:pPr>
        <w:spacing w:after="0" w:line="2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Although we have sold products to individual customers in the past, we have very limited experience commercializing robotic systems at a large scale and may not be able to do so efficiently or effectively. Moreover, commercialization may be delayed due to the challenges discussed under “</w:t>
      </w:r>
      <w:r>
        <w:rPr>
          <w:rFonts w:ascii="Times New Roman" w:cs="Times New Roman" w:eastAsia="Times New Roman" w:hAnsi="Times New Roman"/>
          <w:sz w:val="18"/>
          <w:szCs w:val="18"/>
          <w:i w:val="1"/>
          <w:iCs w:val="1"/>
          <w:color w:val="auto"/>
        </w:rPr>
        <w:t>— 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production of commercial units of our core products, the Guardian XO and Guardian XT, may be delayed beyond the end of 2022 and therefore initial delivery to customers could be beyond early 2023.</w:t>
      </w:r>
      <w:r>
        <w:rPr>
          <w:rFonts w:ascii="Times New Roman" w:cs="Times New Roman" w:eastAsia="Times New Roman" w:hAnsi="Times New Roman"/>
          <w:sz w:val="18"/>
          <w:szCs w:val="18"/>
          <w:color w:val="auto"/>
        </w:rPr>
        <w:t>” A key element of our long-term business strategy is the continued growth in sales, marketing, training,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service and maintenance and servicing operations, including hiring personnel with the necessary experience. Managing and maintaining these operations is expensive and time consuming, and an inability to leverage such an organization effectively or at all could inhibit potential sales or subscriptions and the penetration and adoption of our products into new markets. In addition, certain decisions we make regarding staffing in these areas in our efforts to maintain an adequate spending level while responsibly managing our financial resources could have unintended negative effects on our revenues, such as by weakening the sales, marketing and maintenance and servicing infrastructures or lowering the quality of customer service.</w:t>
      </w:r>
    </w:p>
    <w:p>
      <w:pPr>
        <w:spacing w:after="0" w:line="1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require a significant amount of capital. Our future capital needs may require us to sell additional equity or debt securities that may dilute our stockholders or introduce covenants that may restrict our operations or our ability to pay dividends.</w:t>
      </w:r>
    </w:p>
    <w:p>
      <w:pPr>
        <w:spacing w:after="0" w:line="1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will require significant capital to operate our business and fund our capital expenditures for the next several years. While we expect that we have sufficient capital to fund our currently planned operations for at least the next 12 months, it is possible that we will need to raise significant amounts of additional capital to fund our business thereafter, including to finance ongoing research and development costs, manufacturing, any significant unplanned or accelerated expenses and new strategic alliances or acquisitions. The fact that we have limited experience commercializing our robotic systems on a large scale, coupled with the fact that our products represent a new product category in the commercial and industrial robotic market, means we have limited to no historical data on the demand for our robotic systems. In addition, we expect our capital expenditures to continue to be significant in the foreseeable future as we complete the designing and testing of and launch our products, and that our level of capital expenditures will be significantly affected by customer demand for our robotic systems. As a result, our future capital requirements may be uncertain and actual capital requirements may be different from those we currently anticipate. We may need to seek equity or debt financing to finance a portion of our capital expenditures. Such financing might not be available to us in a timely manner or on terms that are acceptable, or at all.</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ability to obtain the necessary financing to carry out our business plan is subject to a number of factors, including general market conditions and investor acceptance of our business model. These factors may make the timing, amount, terms and conditions of such financing unattractive or unavailable to us. If we are unable to raise sufficient funds, we will have to significantly reduce our spending, delay or cancel our planned activities or substantially change our corporate structure. We might not be able to obtain any funding, and might not have sufficient resources to conduct our business as projected, both of which could mean that we would be forced to curtail or discontinue our operations.</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our future capital needs and other business reasons could require us to sell additional equity or debt securities or obtain a credit facility. The sale of additional equity or equity-linked securities could dilute our stockholders. The incurrence of indebtedness would result in increased debt service obligations and could result in operating and financing covenants that would restrict our operations.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If we cannot raise additional funds when we need or want them, our operations and prospects could be materially and adversely affected.</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core products represent a new product category, and important assumptions about the market demand, pricing, adoption rates and sales cycle for our current and future products may be inaccurate.</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industrial highly-dexterous mobile robotic systems, including our core products the Guardian XO and Guardian XT, are a new product category in markets that are currently dominated by conventional, manual systems and artificial intelligence and automation. The market demand for and adoption of our products is unproven, and important assumptions about the characteristics of targeted markets, pricing and sales cycles may be inaccurate. Although we have engaged in ongoing dialogue with potential customers, we have no outstanding binding commitments with commercial customers to purchase or to enter into RaaS subscriptions for our core products, the Guardian XO and Guardian XT. While we do have binding commitments with commercial customers to develop and purchase Sapien products, sales volumes under these commitments are relatively limited. Existing or new regulatory or safety standards, or resistance by customer employees and labor unions, all of which are outside of our control, could cause delays or otherwise impair adoption of our products, which could materially and adversely affect our growth, operating results, financial condition and prospects. Given the evolving nature of the markets in which we operate, it is difficult to predict customer demand or adoption rates for our products or the future growth of the markets we expect to target. If one or more of the targeted markets experience a shift in customer demand, whether due to new solutions that better address customer needs or otherwise, our products may not compete as effectively, if at all, and they may not be fully developed into commercial products. If demand does not develop as expected or if we cannot accurately forecast pricing, adoption rates and sales cycle for our products, our business, results of operations and financial condition will be adversely affected, perhaps materially.</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With many of our products still under development, we have limited current customers and no pending orders for the upcoming commercial version of our core products, the Guardian XO and Guardian XT, and expected customer trials and discussions with respect to those products may not result in binding orders or subscriptions.</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expect to commence initial production of commercial units of our core products, the Guardian XO and Guardian XT, at the end of 2022 for delivery to customers in early 2023. With these core products still under development, we have limited current customers and no binding customer commitments for the commercial version of these products. At present, we have contracts for delivery of pre-production units with U.S. government customers and we also have had and currently have revenue generating contracts with both commercial and U.S. government customers for the development and testing of our Guardian XO and Guardian XT products. Although we have engaged in dialogue with potential customers about their interest in these core products, expected customer trials and discussions may not result in binding orders or sales. We have limited knowledge of the customer testing that will be required in order for customers to adopt our robotic systems. As such, customer testing may be longer than anticipated by us, and we may not be able to provide such testing to the satisfaction of prospective customers, which could result in longer sales cycles and fewer orders than anticipated. In addition, in order to build and maintain our business, we must maintain confidence among customers, suppliers, analysts, ratings agencies and other parties in our robotic systems, long-term financial viability and business prospects. Maintaining such confidence may be particularly complicated by certain factors including those that are largely outside of our control, such as our limited commercial experience, customer unfamiliarity with our products, any delays in scaling production, ability of delivery and service operations to meet demand, competition and uncertainty regarding the future of robotics. If we do not receive a sufficient number of binding purchase orders or RaaS subscriptions for our core products, our business, prospects, financial condition and operating results would be materially and adversely affected.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benefits of our products to customers and projected return on investment have not been substantiated through long-term trials or use.</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core products, the Guardian XO and Guardian XT, are still under development and their benefits to customers and projected return on investment have not been substantiated through long-term trials or use. We currently have a limited frame of reference by which to evaluate the performance of our robotic systems upon which our business prospects depend, and our products may not provide the expected benefits to customers. Our robotic systems may not perform consistent with customers’ expectations or consistent with other robotics products which may become available. Any failure of our robotic systems and software to perform as expected could harm our reputation and result in adverse publicity, lost revenue, delivery delays, product recalls, product liability claims and significant warranty and other expenses and could have a material adverse impact on our business, prospects, financial condition and operating results. Additionally, problems and defects experienced by competitors or others in the robotics market could, by association, have a negative impact on perception and customer demand for our robotic systems.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attract or retain customers at sufficient rates or at all.</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core products are still under development. We have very limited experience commercializing our products and may not be able to do so efficiently or effectively. Although we have engaged in ongoing dialogue with potential future customers, there are currently no binding commitments with commercial customers to purchase or enter into RaaS agreements with respect to our Guardian XO and Guardian XT products. Further, although we have binding commitments with commercial customers to develop and purchase our Sapien products, these commitments are for relatively limited quantities and we will need to grow our sales of our Sapien products. To grow our customer base, we must achieve binding commitments from expected customers and add new customers, which we may not be able to do in sufficient numbers or at all. Even if we are able to attract customers, these customers may not maintain a high level of commitment to our products or purchase our products in large volumes. In addition, we will incur marketing, sales or other expenses, including referral fees, to attract new customers, which will offset revenues from such customers. For these and other reasons, we could fail to achieve revenue growth, which would adversely affect our results of operations, prospects and financial condition.</w:t>
      </w:r>
    </w:p>
    <w:p>
      <w:pPr>
        <w:spacing w:after="0" w:line="1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If customers or their employees do not perceive our product offerings to be of value or to be easy and comfortable to use, we may not be able to attract and retain customers and customers may fail to purchase additional units or renew their RaaS subscriptions. If our efforts to satisfy and retain our existing customers are not successful, we may not be able to attract customers, and as a result, our ability to maintain and/or grow our business will be adversely affected. Customers may fail to purchase additional units or cancel our subscription for many reasons, including difficulties by employees in using the products, customers not using the robotic systems sufficiently, negative reception by employees or labor unions and customer service or maintenance and servicing issues that are not satisfactorily resolved. Customer retention will also be largely dependent on the quality and effectiveness of our customer service and maintenance and servicing operations, which may be handled internally by our personnel and also by third-party service providers. Outsourcing of certain customer service and claims administration or maintenance and servicing functions may reduce our ability to ensure consistency in our overall customer service processes. If we are unable to successfully retain existing customers and attract new customers and achieve volume sales of our products, our business, prospects, financial condition and operating results will be materially and adversely affected.</w:t>
      </w:r>
    </w:p>
    <w:p>
      <w:pPr>
        <w:spacing w:after="0" w:line="1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we successfully market our products, the purchase or subscription, adoption and use of the products may be materially and negatively impacted if the employees of our customers resist the use and adoption of the products.</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designing our robotic systems with the goal of augmenting the workforce to increase productivity and reduce workplace injuries. Even if we successfully market our products to customers, the purchase or subscription, adoption and the use of the products may be materially and negatively impacted if the employees of our customers resist the use and adoption of the products. Customer employees may resist the adoption of our products for several reasons, including lack of instruction on how to safely and effectively use the units, a perception that the benefit of the use of the products does not outweigh the perceived difficulties or discomfort associated with use, resistance by labor unions and workplace injuries resulting from use of the products, among others. We will spend significant time and resources on beta units of our Guardian XO and Guardian XT for customer testing. If the employees of our customers resist adoption of our robotic systems, our business, prospects, financial condition and operating results will be materially and adversely affected.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RaaS subscription model has yet to be tested and may fail to gain commercial acceptance.</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success of our strategy to build recurring revenue streams through our RaaS subscription model depends on our ability to successfully market our products and the benefits to customers of the RaaS subscription model and to successfully develop a network of ongoing customers for our new RaaS revenue model. Investors should be aware of the difficulties normally encountered by a new business model, many of which are beyond our control, including substantial risks and expenses while establishing or entering new markets, setting up operations and undertaking marketing activities. Customers may not perceive benefits to the RaaS subscription model.</w:t>
      </w:r>
    </w:p>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Because we will continue to own units while they are used by our RaaS customers, we will be subject to risks associated with ongoing ownership of the units, including the risks of deterioration, damage or theft and higher maintenance and servicing costs, as well as potential product liability risks. All of these could result in higher costs to us, and could lead to customer dissatisfaction. The likelihood of our success must be considered in light of these risks, expenses, complications and delays and the competitive environment in which we operate. There is, therefore, nothing at this time upon which to base an assumption that our RaaS business model will prove successful.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successful in commercializing our products, our revenue will be concentrated in a limited number of models for the foreseeable future.</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If we are successful in commercializing our products, our revenue will be concentrated in a limited number of models for the foreseeable future. We launched the Guardian S mobile IoT platform in 2018 and expect to commence initial production of commercial units of the Guardian XO exoskeleton and Guardian XT robotic system at the end of 2022 for delivery to customers in early 2023. Such timeline may be delayed, including due to challenges in recruiting skilled employees, difficulties in securing components and materials, development delays, difficulties relating to manufacturing of the units and other factors. See “</w:t>
      </w:r>
      <w:r>
        <w:rPr>
          <w:rFonts w:ascii="Times New Roman" w:cs="Times New Roman" w:eastAsia="Times New Roman" w:hAnsi="Times New Roman"/>
          <w:sz w:val="18"/>
          <w:szCs w:val="18"/>
          <w:i w:val="1"/>
          <w:iCs w:val="1"/>
          <w:color w:val="auto"/>
        </w:rPr>
        <w:t>—Initial production of commercial units of our core products, the Guardian XO and Guardian XT, may be delayed beyond the end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2022 and therefore initial delivery to customers could be beyond early 2023.</w:t>
      </w:r>
      <w:r>
        <w:rPr>
          <w:rFonts w:ascii="Times New Roman" w:cs="Times New Roman" w:eastAsia="Times New Roman" w:hAnsi="Times New Roman"/>
          <w:sz w:val="18"/>
          <w:szCs w:val="18"/>
          <w:color w:val="auto"/>
        </w:rPr>
        <w:t>” Such challenges may result in delay of the anticipated commercial launch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or more of these products, which would adversely affect our financial and operating results. Further, although we have expanded our product offering through the acquisition of RE2 and its Sapien products, we expect that our revenue will still be concentrated in a relatively limited number of models for the foreseeable future, and we will need to continue to develop these products and expand the customer base for these products to diversify our revenues and customers. To the extent our products do not meet customer expectations, or cannot be completed or manufactured on their projected timelines and in line with cost and volume targets, our future sales and operating results may be adversely affected. Given that for the foreseeable future our business will depend on a limited number of models, both before and after we begin commercial sales of our Guardian XO and Guardian XT products, to the extent a particular model is not well-received by the market, our sales volumes and revenues would likely be materially and adversely affected, which would have a material adverse effect on our business, prospects, financial condition and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complete or enhance our product offerings through our research and development efforts.</w:t>
      </w:r>
    </w:p>
    <w:p>
      <w:pPr>
        <w:spacing w:after="0" w:line="20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order to commence initial production of commercial units of our core products, the Guardian XO and Guardian XT, we will need to complete our development efforts. We will also likely need to continue to advance and evolve our products in response to the evolving demands of our customers in the various industries we expect to serve. We expect to commence initial production of commercial units of our core products, the Guardian XO and Guardian XT, by the end of 2022 for delivery to customers in early 2023. Further, the models forming our Sapien product line are in various stages of development and commercialization. We will incur significant additional product development efforts and expenses, and we may not be successful in commercializing or marketing such products at all or within our currently expected timelines.</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notwithstanding our market research efforts, our current and future products may not be accepted by customers or their employees. The success of any proposed product offerings will depend on numerous factors, including our ability to:</w:t>
      </w:r>
    </w:p>
    <w:p>
      <w:pPr>
        <w:spacing w:after="0" w:line="135"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recruit and retain qualified personnel, including engineers, design and production personnel and service technicians;</w:t>
      </w:r>
    </w:p>
    <w:p>
      <w:pPr>
        <w:spacing w:after="0" w:line="21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preferred product features in multiple industries, such as aerospace, automotive, logistics, defense, oil and gas, power and utilities, construction and manufacturing, and successfully incorporate those features into our products;</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proposed products in sufficient quantities and in a timely manner;</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protect our intellectual property and avoid infringing upon the intellectual property rights of third parties;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productivity, efficacy and safety benefits of our products.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managed and expect to continue to manage our product development efforts through the development of alpha units, beta units and commercial units, though we also make iterative improvements throughout the development process. If we fail to adequately communicate to customers product improvements throughout the development process, or if customer feedback is not adequately reflected in our product improvements, customers may not be persuaded of the value of our products. If we fail to generate demand by developing products that incorporate features desired by customers or their employees, we may fail to generate revenues sufficient to achieve or maintain profitability. We have in the past experienced, and may in the future experience, delays in various phases of product development, including during research and development, manufacturing, limited release testing, marketing and customer education efforts. Further, delays in product development would postpone demonstrations and customer testing, which are important opportunities for customer engagement, and cause us to miss expected timelines. Such delays could cause customers to delay or forgo purchases of or subscriptions to our products, or to purchase or subscribe for competitors’ products. Even if we are able to successfully develop our products when anticipated, these products may not produce sales in excess of the costs of development, and they may be quickly rendered obsolete by changing customer preferences or the introduction by competitors of products embodying new technologies or features. If we are unable to successfully manage our product development and communications with customers, customers may choose to not adopt, to cancel or to not renew RaaS subscriptions, which would adversely affect our business, prospects, financial condition and operating results.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8" w:name="page39"/>
    <w:bookmarkEnd w:id="3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benefits to customers of our products could be supplanted by other technologies or solutions or competitors' products that utilize similar technology to ours in a more effective way.</w:t>
      </w:r>
    </w:p>
    <w:p>
      <w:pPr>
        <w:spacing w:after="0" w:line="1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benefits to customers of our products could be supplanted by other technologies or solutions (such as industrial automation) or competitors' products that utilize similar technology to ours (such as artificial intelligence) in a more effective way. Although we believe that by seeking to augment, rather than replace, humans for jobs that cannot be or are not practical to be automated, our products will be superior to artificial intelligence and industrial automation products currently available, we cannot be sure that alternative technologies or improvements to artificial intelligence, industrial automation or other technologies, processes or industries will not match or exceed the benefits introduced by our products or be more cost effective than our products. The development of any alternative technology that can compete with or supplant our products may materially and adversely affect our business, prospects, financial condition and operating results, including in ways we do not currently anticipate. Any failure by us to develop new or enhanced technologies or processes, or to react to changes in existing technologies, could materially delay our development and introduction of new and enhanced products, which could result in the loss of competitiveness of our robotic systems, decreased revenue and a loss of market share to competitors. Our research and development efforts may not be sufficient to adapt to new or changing technologies. While we plan to upgrade and adapt our robotic systems as we or others develop new technology, our robotic systems may not compete effectively with alternative products if we are not able to source and integrate the latest technology into our units.</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Design flaws, defects, glitches or malfunctions in our products or the software that operates them, failure of our products to perform as expected, connectivity issues or user errors can result in product recalls, lower than expected return on investment for customers, harm to users and significant safety concerns, each of which could materially and adversely affect our results of operations, financial condition or reputation.</w:t>
      </w:r>
    </w:p>
    <w:p>
      <w:pPr>
        <w:spacing w:after="0" w:line="1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design, manufacture and marketing of our products involve certain inherent risks. Manufacturing or design defects, glitches, malfunctions, connectivity issues between the central processing unit and the robotic system, unanticipated use of our robotic systems, user errors or inadequate disclosure of risks relating to the use of the robotic systems, among others, can lead to injury, property damage or other adverse events. For example, the absence of redundant sub-systems in the Guardian XO could result in injury to person or property if a sub-system fails while the robot is in use. We conduct extensive testing of our units, in some instances in collaboration with our customers, to ensure that any such issues can be identified and addressed in advance of commercial launch of the products. However, we may not be able to identify all such issues or that, if identified, efforts to address them may not be effective in all cases, and our product testing may not be adequate. Injuries to users have occurred during the testing of our products. In each case, we conducted thorough investigations to identify the cause or causes of each incident and, when appropriate, implemented changes to testing protocols or to the units to prevent such incidents from reoccurring. However, any implemented improvements may not fully prevent similar or other incidents in the future. Users of the Guardian XO will be wearing the unit while it is in use, which could worsen the consequences of an accident. Moreover, because of the size and weight of the units, and the nature and variability of the environments in which we expect our products to be used, such as manufacturing and assembly lines, construction, field service and warehouses for the Guardian XO, and hazardous environments and at heights for the Guardian XT, adverse events relating to the use of our products could include significant injuries or even death. To the extent that design defects, glitches, malfunctions or connectivity issues between the central processing unit and the robotic system are discovered during or after the production of beta units and/or commercial products, we will experience delays in the initial production and/or continued production of our commercial products while the issues are resolved. If the issues cannot be adequately resolved, production of commercial units may not occur and/or resume.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are designing the Guardian XO to include important safety features and accommodate customer-specialized protective gear and fall-prevention devices, these solutions are not incorporated into the alpha versions of the products and we may not be able to successfully incorporate sufficient redundancy or other safety features to avoid such injuries in the beta and/or commercial products.</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addition, we may not be aware of manufacturing defects that could occur until injury to person or property has occurred. Such adverse events could lead to recalls or safety alerts relating to our products (either voluntary or required by governmental authorities), and could result, in certain cases, in the removal of our products from the market. A recall could result in significant costs. To the extent any manufacturing defect occurs, and such products are manufactured for us by third parties, our agreement with the third-party manufacturer may contain a limitation on the third-party manufacturer’s liability, and therefore we could be required to incur the majority of related costs. Product defects or recalls could also result in negative publicity, damage to our reputation or, in the event of regulatory developments, delays in new product approvals.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9" w:name="page40"/>
    <w:bookmarkEnd w:id="39"/>
    <w:p>
      <w:pPr>
        <w:jc w:val="both"/>
        <w:spacing w:after="0" w:line="245" w:lineRule="auto"/>
        <w:rPr>
          <w:sz w:val="20"/>
          <w:szCs w:val="20"/>
          <w:color w:val="auto"/>
        </w:rPr>
      </w:pPr>
      <w:r>
        <w:rPr>
          <w:rFonts w:ascii="Times New Roman" w:cs="Times New Roman" w:eastAsia="Times New Roman" w:hAnsi="Times New Roman"/>
          <w:sz w:val="18"/>
          <w:szCs w:val="18"/>
          <w:color w:val="auto"/>
        </w:rPr>
        <w:t>Our products incorporate sophisticated computer software and firmware. Complex software and firmware frequently contain errors, especially when first introduced. Our software and/or firmware may experience errors or performance problems in the future. If any part of our products’ hardware or software were to fail, the user could experience serious injury or even death. Additionally, users may not use our products in accordance with safety protocols and training, which could amplify the risk of death or injury. Customers and users also may fail to install updates and fixes to the software for several reasons including poor connectivity, inattention or failure to regularly dock Guardian XO units. Any such occurrence could cause delay in market acceptance of our products, damage to our reputation, product recalls, increased service and warranty costs, product liability claims and loss of revenue relating to such hardware or software defects.</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anticipate that as part of our ordinary course of business we may be subject to product liability claims alleging defects in the design or manufacture of our products. A product liability claim, regardless of its merit or eventual outcome, could result in significant legal defense costs and high punitive damage payments. Although we maintain product liability insurance, the coverage is subject to deductibles and limitations, and may not be adequate to cover future claims. Additionally, we may be unable to maintain our existing product liability insurance in the future at satisfactory rates or adequate amounts.</w:t>
      </w:r>
    </w:p>
    <w:p>
      <w:pPr>
        <w:spacing w:after="0" w:line="16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products perform properly and are used as intended, if users sustain any injuries while operating our products, we could be exposed to liability and our results of operations, financial condition and our reputation may be adversely affected.</w:t>
      </w:r>
    </w:p>
    <w:p>
      <w:pPr>
        <w:spacing w:after="0" w:line="1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products contain complex technology and must be used as designed and intended in order to operate safely and effectively. For example, we are developing the Guardian XT unit as an augmented or mixed reality-enabled highly-dexterous teleoperated robotic system to perform intricate and even dangerous tasks. We expect that users will control the unit at a distance by utilizing augmented reality teleoperation. While we expect to develop training, customer service and maintenance and servicing infrastructure to ensure users are equipped to operate our products in a safe manner, we cannot be sure that the products will ultimately be used as designed and intended. In addition, we cannot be sure that we will be able to predict all the ways in which use or misuse of the products can lead to injury or damage to property, and our training resources may not be successful at preventing all incidents. If users were to sustain injuries or cause damage to property while operating our products, in a manner consistent with our training and instructions or otherwise, we could be exposed to liability and our results of operations, financial condition and our reputation may be adversely affected.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experience maintaining or servicing our products at a large scale.</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Under the RaaS subscription model, we will be responsible for maintenance and servicing of the units. However, we have no experience providing maintenance and servicing at a large scale. We may elect to partner with one or more third parties to perform some or all of the servicing and maintenance on our products, but we may not be able to enter into an acceptable arrangement with any such third-party provider. Although such servicing partners may have experience in servicing complex machinery, they will initially have limited experience in servicing our robotic systems. If we are unable or elect not to enter into a partnership with third parties to perform maintenance and servicing, we would be required to provide such services directly, which would significantly increase our capital expenditures and personnel costs. We would also be required to recruit and train employees to provide these services and we may not be able to attract persons with the necessary knowledge or experience to provide these services. Delays in implementing a maintenance and servicing infrastructure may significantly delay new RaaS subscriptions due to smaller than expected maintenance and servicing capacity.</w:t>
      </w:r>
    </w:p>
    <w:p>
      <w:pPr>
        <w:spacing w:after="0" w:line="1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addition, our service and maintenance arrangements may not adequately address the service and maintenance requirements of our customers to their satisfaction, and we and our servicing partners may not have sufficient resources, experience or inventory to meet these service requirements in a timely manner as the volume of robotic systems we deliver increases. Even if we and our servicing partners have the resources and experience needed, we and our servicing partners still may not adequately service or maintain the units. If we are unable to, directly or through third-party partners, roll out and establish a widespread service network, including on-site services, customer satisfaction could be adversely affected, which in turn could materially and adversely affect our reputation and thus our sales, results of operations and prospects.</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customers will also depend on our customer support team to resolve technical and operational issues relating to the integrated software underlying our robotic systems. In addition, the RaaS subscription model will require us to cover costs relating to servicing and maintenance of the robotic systems. Customer behavior and usage may result in higher-than-expected maintenance and repair costs. Moreover, if RaaS customers do not pay the subscription fee while the units are out of service, there could be an adverse impact on our financial condition and operating results.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0" w:name="page41"/>
    <w:bookmarkEnd w:id="40"/>
    <w:p>
      <w:pPr>
        <w:jc w:val="both"/>
        <w:spacing w:after="0" w:line="247" w:lineRule="auto"/>
        <w:rPr>
          <w:sz w:val="20"/>
          <w:szCs w:val="20"/>
          <w:color w:val="auto"/>
        </w:rPr>
      </w:pPr>
      <w:r>
        <w:rPr>
          <w:rFonts w:ascii="Times New Roman" w:cs="Times New Roman" w:eastAsia="Times New Roman" w:hAnsi="Times New Roman"/>
          <w:sz w:val="18"/>
          <w:szCs w:val="18"/>
          <w:color w:val="auto"/>
        </w:rPr>
        <w:t>As we continue to grow, additional pressure may be placed on our customer support team or partners, and we may be unable to respond quickly enough to accommodate short-term increases in customer demand for technical support.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operating results. If we are unable to successfully address the service requirements of our customers or we establish a market perception that we do not maintain high-quality support, we may be subject to claims from our customers, including loss of revenue or damages, and our business, prospects, financial condition and operating results may be materially and adversely affected.</w:t>
      </w:r>
    </w:p>
    <w:p>
      <w:pPr>
        <w:spacing w:after="0" w:line="17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ability to develop and manufacture products of sufficient quality on schedule and on a large scale is unproven, and delays in the design, production and launch of our products could harm our business, prospects, financial condition and operating results.</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future business depends in large part on our ability to execute our plans to design, develop, manufacture, market, deploy and service our products. We intend to outsource the manufacturing of our robotic systems to a third-party manufacturing partner, which would reduce our direct control over production and manufacturing. Such diminished control may have an adverse effect on the quality or quantity of our units, or our flexibility to respond to changing conditions.</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plan to retain third-party vendors and service providers to engineer, design and test some of the critical systems and components of our units. While this allows us to draw from such third parties’ industry knowledge and expertise, such systems and components may not be successfully developed to our specifications or delivered in a timely manner to meet our program timing requirements.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continued development and manufacturing of our products are and will be subject to risks, including with respect to:</w:t>
      </w:r>
    </w:p>
    <w:p>
      <w:pPr>
        <w:spacing w:after="0" w:line="212"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be incurred by us and/or any third-party manufacturing partner or partners in meeting our specifications and design tolerances;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effects of the COVID-19 pandemic or other pandemics, epidemics or outbreaks;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retaining a sufficient number of qualified employees (we have historically been understaffed due to these challenges);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and short-term durability of our robotic systems to withstand day-to-day wear and tear;</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delivery of final systems and components by our suppliers;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of robotic systems units in excess of demand due to contractual requirements or unexpected changes in demand;</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demand for our products;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controls, particularly as we plan to expand our production capabilities;</w:t>
      </w:r>
    </w:p>
    <w:p>
      <w:pPr>
        <w:spacing w:after="0" w:line="21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 or the need to order supplies in excess of demand due to minimum quantity requirements or price thresholds;</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national or global economic or political conditions, including inflation and interest rates;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labor strikes and other labor disputes affecting us or our suppliers, third-party manufacturers and other partners; and</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delays and cost overruns.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1" w:name="page42"/>
    <w:bookmarkEnd w:id="4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or may be subject to risks associated with strategic alliances or acquisitions and may not be able to identify adequate strategic relationship opportunities, or form strategic relationships, in the future.</w:t>
      </w:r>
    </w:p>
    <w:p>
      <w:pPr>
        <w:spacing w:after="0" w:line="1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may seek to enter into strategic alliances, joint ventures, minority equity investments, acquisitions, collaborations and in-license arrangements. There is no guarantee that any of these partnerships or acquisitions would lead to any binding agreements or lasting or successful business relationships with third parties or that any of the other anticipated benefits will be achieved. If any of these relationships are established, they may subject us to a number of risks, including risks associated with sharing proprietary information, non-performance by the third-party and increased expenses in establishing new relationships, any of which could materially and adversely affect our business. We may have limited ability to monitor or control the actions of these third parties and, to the extent any of these strategic partners suffers negative publicity or harm to their reputation from events relating to their business, we may also suffer negative publicity or harm to our reputation by virtue of our association with any such third-party.</w:t>
      </w:r>
    </w:p>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expect that strategic business relationships will be an important factor in the growth and success of our business. However, we may not be able to identify or secure suitable business relationship opportunities in the future or our competitors may capitalize on such opportunities before we do. Moreover, identifying such opportunities could require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financial condition and operating results could be materially adversely affected.</w:t>
      </w:r>
    </w:p>
    <w:p>
      <w:pPr>
        <w:spacing w:after="0" w:line="1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When appropriate opportunities arise, we have in the past, and may in the future acquire additional assets, products, technologies or businesses that are complementary to our existing business. From time to time, the sellers of these assets, products and technologies or businesses may retain certain rights to the technology that they sell to us, which in some circumstances could allow the sellers to compete with us. In addition to possible stockholder approval, we may need approvals and licenses from relevant government authorities for acquisitions and to comply with any applicable laws and regulations, which could result in delays and costs, and may disrupt our business strategy if we fail to do so. Furthermore, acquisitions and the subsequent integration of new assets and businesses into our own require significant attention from our management and could result in a diversion of resources from our existing business, which in turn could have an adverse effect on our operations and financial results.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Moreover, the costs of identifying and consummating acquisitions may be significant.</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our senior management and other key employees and, if we are unable to attract and retain a sufficient number of qualified employees, our ability to design, manufacture and launch our products, operate our business and compete could be harmed.</w:t>
      </w:r>
    </w:p>
    <w:p>
      <w:pPr>
        <w:spacing w:after="0" w:line="15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Our success depends, in part, on our ability to retain our key personnel. Our Executive Chairman and Chief Legal Officer are married, and if one were to leave us, it is possible that the other would do so as well. The unexpected loss of or failure to retain one or more of our senior managers or other key employees could delay product development and require outsourcing to third parties, each of which in turn could adversely affect our business. Our success also depends, in part, on our continuing ability to identify, hire, attract, train and develop other highly qualified personnel. Experienced and highly skilled employees are in high demand and competition for these employees can be intense, and our ability to hire, attract and retain them depends on our ability to provide competitive compensation. We may not be able to attract, assimilate, develop or retain qualified personnel in the future, and our failure to do so could adversely affect our business, including the execution of our strategy. Our headquarters are in Salt Lake City, Utah, which has fewer highly skilled employees in the robotics field than other major metropolitan areas. To attract and retain key personnel, we may need to open offices in other areas of the country, which could increase costs and reduce productivity. As a result of our acquisition of RE2, a significant number of our employees are located in Pittsburgh, Pennsylvania. As an organization, we do not have meaningful experience managing two large facilities and employee bases in different geographies and across different time zones. Any failure by our management team and our employees to perform as expected may have a material adverse effect on our ability to design, manufacture and launch our products or to operate our business and compete, as well as on our business, prospects, financial condition and operating results.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as a group has limited experience in operating a public company.</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Although some members of our management have public company experience, our management team may not successfully or effectively manage its transition to operating as a public company subject to significant regulatory oversight and reporting obligations under U.S. securities laws. Our executive officers as a group have limited experience in the management of a publicly-traded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company. We will need to recruit additional persons to join our management team in order to handle the increased demands of running a public company, but our efforts may not be successful. We may not have adequate personnel with the appropriate level of knowledge, experience and training in the accounting policies, practices or internal control over financial reporting required of public companies. Any failure by our management team to effectively and efficiently meet our obligations as a publicly-traded company could have a material adverse effect on our business, prospects, financial condition and operating results and/or result in legal liability or other negative consequences.</w:t>
      </w:r>
    </w:p>
    <w:p>
      <w:pPr>
        <w:spacing w:after="0" w:line="1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expenses and administrative burdens as a public company, which could have a material adverse effect on our business, prospects, financial condition and operating results.</w:t>
      </w:r>
    </w:p>
    <w:p>
      <w:pPr>
        <w:spacing w:after="0" w:line="1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As a public company, we are incurring legal, accounting and other expenses that we previously did not have, and these expenses may increase even more after we are no longer an emerging growth company, as defined in Section 2(a) of the Securities Act. We are subject to reporting and other requirements of the Exchange Act, the Sarbanes-Oxley Act and the Dodd-Frank Wall Street Reform and Consumer Protection Act, as well as rules adopted by the SEC and Nasdaq. Our management and other personnel will be devoting a substantial amount of time to these compliance initiatives. We have expanded our employee base and we will need to hire additional employees to support our operations as a public company, which will increase our operating costs in future periods. Moreover, we expect these rules and regulations to substantially increase our legal and financial compliance costs and to make some activities more time-consuming and costly. These increased costs will increase our net loss. For example, we expect it will be more difficult and more expensive for us to obtain director and officer liability insurance and we may be forced to incur substantially higher costs to obtain appropriate coverage. We cannot accurately predict or estimate the amount or timing of the additional costs we may incur. The impact of being a public company could also make it more difficult for us to attract and retain qualified persons to serve on our board of directors, our board committees or as executive officers. Such increased expenses and administrative burdens involved in operating as a public company could have a material adverse effect on our business, financial condition and operating results.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3" w:name="page44"/>
    <w:bookmarkEnd w:id="4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Ongoing impacts from COVID-19 or another pandemic, epidemic or outbreak of an infectious disease may materially and adversely impact our business, prospects, financial condition and operating results.</w:t>
      </w:r>
    </w:p>
    <w:p>
      <w:pPr>
        <w:spacing w:after="0" w:line="13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ongoing COVID-19 pandemic has adversely impacted our business, and it, as well as other possible health pandemics, epidemics or outbreaks, may materially and adversely impact our business, prospects, financial condition and operating results in the future. Our engineering and product development operations, among others, cannot all be conducted in a remote working structure and often require on-site access to materials and equipment. We have customers with international operations in varying industries. We also depend on suppliers and manufacturers worldwide. We are currently experiencing</w:t>
      </w:r>
    </w:p>
    <w:p>
      <w:pPr>
        <w:spacing w:after="0" w:line="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disruptions in our supply chain, as discussed in “—</w:t>
      </w:r>
      <w:r>
        <w:rPr>
          <w:rFonts w:ascii="Times New Roman" w:cs="Times New Roman" w:eastAsia="Times New Roman" w:hAnsi="Times New Roman"/>
          <w:sz w:val="18"/>
          <w:szCs w:val="18"/>
          <w:i w:val="1"/>
          <w:iCs w:val="1"/>
          <w:color w:val="auto"/>
        </w:rPr>
        <w:t>We are dependent on our suppliers, some of which are currently single, sole or limited source suppliers,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the inability of these suppliers to deliver necessary components of our products at prices and volumes, performance and specifications acceptable to us, could have a material adverse effect on our business, prospects, financial condition and operating results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 have not yet identified all of the suppliers that we are likely to rely on to support any future commercialization of our core products.</w:t>
      </w:r>
      <w:r>
        <w:rPr>
          <w:rFonts w:ascii="Times New Roman" w:cs="Times New Roman" w:eastAsia="Times New Roman" w:hAnsi="Times New Roman"/>
          <w:sz w:val="18"/>
          <w:szCs w:val="18"/>
          <w:color w:val="auto"/>
        </w:rPr>
        <w:t>” Depending upon the duration of the ongoing COVID-19</w:t>
      </w:r>
    </w:p>
    <w:p>
      <w:pPr>
        <w:spacing w:after="0" w:line="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pandemic and the associated business interruptions, our customers, suppliers, manufacturers and partners may suspend or delay their engagement with us, which could result in a material adverse effect on our financial condition and ability to meet current timelines. The COVID -19 pandemic has adversely affected and may continue to adversely affect our ability to recruit skilled employees to join our team and to meet our product development timelines. Our response to the ongoing COVID-19 pandemic may prove to be inadequate and we may be unable to continue our operations in the manner we had prior to the outbreak, and may endure interruptions, reputational harm and delays in our product development and shipments, any of which could have a material adverse effect on our business, prospects, financial condition and operating results. In addition, when the COVID-19 pandemic subsides, we cannot assure you as to the timing of any economic recovery, which could continue to have a material adverse effect on our target markets and our business.</w:t>
      </w:r>
    </w:p>
    <w:p>
      <w:pPr>
        <w:spacing w:after="0" w:line="17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new or changing governmental regulations relating to the design, manufacturing, marketing, distribution, servicing or use of our products, and a failure to comply with such regulations could lead to withdrawal or recall of our products from the market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delay our projected revenues, increase costs or make our business unviable if we are unable to modify our products to comply.</w:t>
      </w:r>
    </w:p>
    <w:p>
      <w:pPr>
        <w:spacing w:after="0" w:line="1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may become subject to new or changing international, national, state and local regulations, including laws relating to the design, manufacturing, marketing, distribution, servicing or use of our products. Such laws and regulations may require us to pause sales and modify our products, which could result in a material adverse effect on our revenues and financial condition. Such laws and regulations can also give rise to liability, such as fines and penalties or for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or recall of our products from the market.</w:t>
      </w:r>
    </w:p>
    <w:p>
      <w:pPr>
        <w:spacing w:after="0" w:line="17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experience significant delays in the design, development, production and launch of our robotic systems, which could harm our business, prospects, financial condition and operating results.</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core products, the Guardian XO and Guardian XT, are still in the development and testing phase. Initial production of commercial units of the Guardian XO and Guardian XT is not expected to begin until the end of 2022 and may occur later or not at all and therefore initial delivery to customers could be beyond early 2023. Such timeline may be delayed, including due to challenges in recruiting skilled employees, difficulties in securing components and materials, design and development delays, difficulties relating to manufacturing of the units and other factors discussed under “</w:t>
      </w:r>
      <w:r>
        <w:rPr>
          <w:rFonts w:ascii="Times New Roman" w:cs="Times New Roman" w:eastAsia="Times New Roman" w:hAnsi="Times New Roman"/>
          <w:sz w:val="18"/>
          <w:szCs w:val="18"/>
          <w:i w:val="1"/>
          <w:iCs w:val="1"/>
          <w:color w:val="auto"/>
        </w:rPr>
        <w:t>—Initial production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 units of our core products, the Guardian XO and Guardian XT, may be delayed beyond the end of 2022 and therefore initial delivery to customers could be beyond early 2023.</w:t>
      </w:r>
      <w:r>
        <w:rPr>
          <w:rFonts w:ascii="Times New Roman" w:cs="Times New Roman" w:eastAsia="Times New Roman" w:hAnsi="Times New Roman"/>
          <w:sz w:val="18"/>
          <w:szCs w:val="18"/>
          <w:color w:val="auto"/>
        </w:rPr>
        <w:t>” Any delay in the design, development, production and release of our products could materially damage our brand,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prospects, financial condition and operating results. We may experience delays in the design, development, production and release of new products, including due to integration, safety and performance issues. To the extent we delay the commercial launch of our robotic systems, our growth prospects and operating results will likely be adversely affected.</w:t>
      </w:r>
    </w:p>
    <w:p>
      <w:pPr>
        <w:spacing w:after="0" w:line="1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to date in high volume manufacture of our products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nor do we have the facility, employees or equipment needed to manufacture our products in high volumes.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intend to enter into contracts with one or more third-party manufacturers to produce our robotic systems. Our future third-party manufacturers may not be able to develop efficient, automated, low-cost production capabilities and processes and reliable sources of component supply to enable us to meet the quality, price, engineering, design and production standards, as well as the production volumes, required to successfully mass market our robotic systems. Even if we and our third-party manufacturers are successful in developing high volume production capability and processes and reliably sourcing components, we may not be able to avoid significant delays and cost overruns, including as a result of factors beyond our control such as problems with suppliers and vendors or force majeure events, meet our unit commercialization schedules or satisfy customer requirements.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4" w:name="page45"/>
    <w:bookmarkEnd w:id="44"/>
    <w:p>
      <w:pPr>
        <w:jc w:val="both"/>
        <w:spacing w:after="0" w:line="250" w:lineRule="auto"/>
        <w:rPr>
          <w:sz w:val="20"/>
          <w:szCs w:val="20"/>
          <w:color w:val="auto"/>
        </w:rPr>
      </w:pPr>
      <w:r>
        <w:rPr>
          <w:rFonts w:ascii="Times New Roman" w:cs="Times New Roman" w:eastAsia="Times New Roman" w:hAnsi="Times New Roman"/>
          <w:sz w:val="18"/>
          <w:szCs w:val="18"/>
          <w:color w:val="auto"/>
        </w:rPr>
        <w:t>If we are unable to enter into agreements with third-party manufacturers on acceptable terms, we will need to develop our own manufacturing and production capabilities, significantly increasing our capital expenditures and delaying production of our robotic systems. If this were to occur, we would need to raise or borrow additional money, which may not be available on terms acceptable to us or at all, and possibly change our product pricing expectations, which could adversely affect our margins and cash flows.</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failure to develop production processes and capabilities within our projected costs and timelines could have a material adverse effect on our business, prospects, financial condition and operating results.</w:t>
      </w:r>
    </w:p>
    <w:p>
      <w:pPr>
        <w:spacing w:after="0" w:line="15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period of time from initial design of our products to obtaining binding purchase commitments from customers is long and we are subject to the risk that customers who initially expressed an interest in our products during the design phase will not enter into binding commitments.</w:t>
      </w:r>
    </w:p>
    <w:p>
      <w:pPr>
        <w:spacing w:after="0" w:line="15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products contain complex technology that requires multiple years of engineering and design. Therefore, the period of time from initial design of our products to obtaining binding purchase commitments from customers is long and we are subject to the risk that customers who initially expressed an interest in our products during the design phase will not enter into binding commitments. Our design of our products is significantly influenced by feedback from potential customers and reflect the needs they express. Further, some of our products have been designed to meet the specific use-cases of a particular customer. As a result, adapting our products to other industries or customers may require additional design, development, testing, work and expenses. We may not be able to adapt our products to reflect such feedback successfully or at all. If customers who initially express an interest in our proposed products and influenced their design ultimately decide to not enter into binding commitments or to adopt a competitors’ technology, our business, prospects, financial condition and operating results would be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control costs and liability is dependent on developing sufficient screening criteria for our RaaS customers.</w:t>
      </w:r>
    </w:p>
    <w:p>
      <w:pPr>
        <w:spacing w:after="0" w:line="20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ability to realize revenue and reduce liability related to our RaaS subscription model is heavily dependent on our ability to effectively screen customers for high-risk activities or environments that could result in higher costs for us. We have limited experience with our RaaS subscription model and may not be able to develop effective customer screening criteria. We may need to rely on third-party service providers to develop effective screening criteria, which will result in additional cost to us. Our screening criteria may also need to be adjusted over time to satisfy requirements under applicable law or from our insurers, lenders or other third-party service providers. We must balance the need to develop effective screening criteria with our need to attract new customers or market to different industry segments.</w:t>
      </w:r>
    </w:p>
    <w:p>
      <w:pPr>
        <w:spacing w:after="0" w:line="16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prospects depend significantly on our ability to build our brands. We may not succeed in continuing to establish, maintain and strengthen our brands, and our brands and reputation could be harmed by negative publicity regarding us or our products.</w:t>
      </w:r>
    </w:p>
    <w:p>
      <w:pPr>
        <w:spacing w:after="0" w:line="13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business and prospects are heavily dependent on our ability to develop, maintain and strengthen our brands. If we do not continue to establish, maintain and strengthen our brands, we may lose the opportunity to build a critical mass of customers. Promoting and positioning our brand will likely depend significantly on our ability to provide high quality products and engage with our customers as intended. In addition, our ability to develop, maintain and strengthen our brands may depend on the acceptance of our products by employees of our customers. To promote our brands, we may be required to change or expand our customer development and branding practices, which could result in substantially increased expenses. If we do not develop and maintain strong brands, our business, prospects, financial condition and operating results will be materially and adversely impacted.</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if safety incidents occur or are perceived to have occurred, whether or not such incidents are our fault, we could be subject to adverse publicity or resistance by employees of our customers or labor unions. In particular, given the popularity of social media, any negative publicity, whether true or not, could quickly proliferate and harm perceptions and confidence in our brands. Furthermore, there is the risk of potential adverse publicity related to our manufacturing or other partners whether or not such publicity is related to their collaboration with us. Our ability to successfully position our brands could also be adversely affected by perceptions about the quality of our competitors’ products.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5" w:name="page46"/>
    <w:bookmarkEnd w:id="45"/>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suppliers, some of which are currently single, sole or limited source suppliers, and any inability of these suppliers to deliver necessary components of our products at prices, volumes, performance and specifications acceptable to us, could have a material adverse effect on our business, prospects, financial condition and operating results. We have not yet identified all of the suppliers that we are likely to rely on to support any future commercialization of our core products.</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rely on third-party suppliers for the provision and development of many of the key components and materials used in our products. We have not yet identified all of the suppliers, contractors and other third parties that we are likely to rely on to support the future commercialization of our products. While we plan to obtain components from multiple sources whenever possible, some of the components used in our products may have to be purchased by us from a single source and some may only be available from a sole source, for example, if we have developed custom components with a supply partner. If our third-party suppliers are unable to supply key components and materials in the required volumes or at acceptable prices, our sales, revenues and profitability will likely be adversely affected and we may not be able to meet our obligations to customers. Our third-party suppliers may also not be able to meet the specifications and performance characteristics required by us, which would impact our ability to achieve our product specifications and performance characteristics as well. Additionally, our third-party suppliers may be unable to obtain required certifications for their products for which we plan to use or provide warranties that are necessary for our solutions. If we are unable to obtain components and materials used in our products from our suppliers, our business would be adversely affected.</w:t>
      </w:r>
    </w:p>
    <w:p>
      <w:pPr>
        <w:spacing w:after="0" w:line="1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less negotiating leverage with suppliers than larger and more established companies and may not be able to obtain favorable pricing and other terms. For example, agreements with suppliers may include terms that are unfavorable to us, such as requirements that we order components and manufacturing units in excess of our demand due to minimum order quantity requirements or minimum price thresholds. While we believe that we may be able to establish alternate supply relationships and can obtain or engineer replacement components for our single source components, we may be unable to do so in time to support our production needs, or at all, or at prices or quality levels that are favorable to us. Further, we may not be able to develop satisfactory alternatives to sole-sourced components. Any inability to find satisfactory alternatives to our single- and sole-sourced component suppliers could affect our costs and component availability and have a material adverse effect on our business, prospects, financial condition and operating results.</w:t>
      </w:r>
    </w:p>
    <w:p>
      <w:pPr>
        <w:spacing w:after="0" w:line="1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Moreover, we and our suppliers are currently experiencing increases in the cost of and an interruption in the supply or shortage of materials. It is unclear how long these challenges will remain. Due to the complexity of our products, each unit is expected to contain several thousand components. Difficulty securing any components and materials could result in delays in the development of these core products, which delays could be compounded if components or units require redesign or reengineering, as discussed under “</w:t>
      </w:r>
      <w:r>
        <w:rPr>
          <w:rFonts w:ascii="Times New Roman" w:cs="Times New Roman" w:eastAsia="Times New Roman" w:hAnsi="Times New Roman"/>
          <w:sz w:val="18"/>
          <w:szCs w:val="18"/>
          <w:i w:val="1"/>
          <w:iCs w:val="1"/>
          <w:color w:val="auto"/>
        </w:rPr>
        <w:t>—Initial production of commercial units of our core products, the Guardian XO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Guardian XT, may be delayed beyond the end of 2022 and therefore initial delivery to customers could be beyond early 2023.</w:t>
      </w:r>
      <w:r>
        <w:rPr>
          <w:rFonts w:ascii="Times New Roman" w:cs="Times New Roman" w:eastAsia="Times New Roman" w:hAnsi="Times New Roman"/>
          <w:sz w:val="18"/>
          <w:szCs w:val="18"/>
          <w:color w:val="auto"/>
        </w:rPr>
        <w:t>” Any sustained supply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interruption or shortage or cost increases that result in our products being priced beyond what customers are willing to pay would prevent or delay the commercialization of our products and materially and negatively impact our business, prospects, financial condition and operating results. We and our suppliers use various materials in our businesses and products, including for example semiconductors, energy storage materials, commodity materials and specialty metal alloys, and the prices for these materials fluctuate. The available supply of some of these materials and components is currently and may continue to be unstable, depending on market conditions and global demand, and could adversely affect our business and operating results. Risks relating to our supply chain include:</w:t>
      </w:r>
    </w:p>
    <w:p>
      <w:pPr>
        <w:spacing w:after="0" w:line="188"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 American” or other similar requirements that may be imposed on government contractors;</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cost, or decrease in the available supply, of semiconductor chips, electrical components, commodity materials and specialty alloys;</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effects of the COVID-19 pandemic;</w:t>
      </w:r>
    </w:p>
    <w:p>
      <w:pPr>
        <w:spacing w:after="0" w:line="21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economic events and conditions, such as inflation, labor shortages and war, as well as responses to such events and conditions (e.g., economic sanctions);</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supply of lithium-ion batteries due to quality issues or recalls or other factors;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global logistics, such as increased rates, constrained capacity and extended shipping delays; and</w:t>
      </w:r>
    </w:p>
    <w:p>
      <w:pPr>
        <w:spacing w:after="0" w:line="21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any foreign currencies in which manufactured parts, commercial components and related raw material purchases are or may be denominated against the U.S. dollar.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6" w:name="page47"/>
    <w:bookmarkEnd w:id="46"/>
    <w:p>
      <w:pPr>
        <w:jc w:val="both"/>
        <w:spacing w:after="0" w:line="246" w:lineRule="auto"/>
        <w:rPr>
          <w:sz w:val="20"/>
          <w:szCs w:val="20"/>
          <w:color w:val="auto"/>
        </w:rPr>
      </w:pPr>
      <w:r>
        <w:rPr>
          <w:rFonts w:ascii="Times New Roman" w:cs="Times New Roman" w:eastAsia="Times New Roman" w:hAnsi="Times New Roman"/>
          <w:sz w:val="18"/>
          <w:szCs w:val="18"/>
          <w:color w:val="auto"/>
        </w:rPr>
        <w:t>Our business is dependent on the continued supply of lithium-ion battery cells. While we believe several sources of such cells are available, we have to date not finally sourced or validated a supplier for our commercial production and we may have limited flexibility in changing cell suppliers once contracted. Any disruption in the supply of battery cells from such suppliers could disrupt production of our products. Furthermore, fluctuations or shortages in raw materials or components and other economic conditions may cause us to experience significant increases in freight charges and material costs. Substantial increases in the prices for our materials, such as those charged by battery cell suppliers, would increase our operating costs, and could reduce our margins if the increased costs cannot be recouped through increased RaaS subscription offering or unit sales prices. Any attempts to increase product prices in response to increased material costs could result in cancellations of orders and reservations and therefore materially and adversely affect our brand, image, business, prospects, financial condition and operating results.</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potential transition to an outsourced manufacturing business model may not be successful, which could harm our ability to deliver products and recognize revenue.</w:t>
      </w:r>
    </w:p>
    <w:p>
      <w:pPr>
        <w:spacing w:after="0" w:line="1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intend to transition from a manufacturing model in which we primarily manufactured and assembled our products at a smaller scale at our facilities, to one where we rely on one or more third-party manufacturers. We are in discussions with third parties to provide contract manufacturing of our products; however, such discussions are more complicated because many of our products, including the Guardian XO and Guardian XT, are still undergoing design changes and improvements. Moreover, we may not be able to contract with potential counterparties on commercially reasonable terms or at all. We believe the use of third-party manufacturers will have benefits, but in the near term, while we are beginning manufacturing with one or more new partners, we may incur delays, lost revenue and increased costs.</w:t>
      </w:r>
    </w:p>
    <w:p>
      <w:pPr>
        <w:spacing w:after="0" w:line="16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Reliance on third-party manufacturers reduces our control over the manufacturing process, including reduced control over quality, product costs and product supply and timing. We may experience delays in shipments or issues concerning product quality from our third-party manufacturers. If any of our third-party manufacturers experience interruptions, delays or disruptions in supplying our products, including by natural disasters, the global COVID-19 pandemic, other health epidemics and outbreaks, geopolitical events, work stoppages or capacity constraints, our ability to ship products to distributors and customers would be delayed. In addition, unfavorable economic conditions could result in financial distress among third-party manufacturers upon which we rely, thereby increasing the risk of disruption of supplies necessary to fulfill our production requirements and meet customer demands. While we take measures to protect our trade secrets, the use of third-party manufacturers may also risk disclosure of our innovative and proprietary technologies, which could adversely affect our business.</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if any of our future third-party manufacturers experience quality control problems in their manufacturing operations and our products do not meet customer requirements, we could be required to recall the units or cover the cost of repair or replacement of any defective products. These delays or product quality issues could have an immediate and material adverse effect on our ability to fulfill orders and on our operating results. In addition, such delays or issues with product quality could adversely affect our reputation and our relationship with our customers.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If any third-party manufacturers experience financial, operational, manufacturing capacity or other difficulties, or experience shortages in required components, or if they are otherwise unable or unwilling to continue to manufacture our products in required volumes or at all, our supply may be disrupted, we may be required to seek alternate manufacturers and we may be required to re-design our products. It would be time-consuming, and could be costly and impracticable, to begin to use new manufacturers and designs, and such changes could cause significant interruptions in supply and could have an adverse effect on our ability to meet our scheduled product deliveries and may subsequently lead to the loss of sales.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7" w:name="page48"/>
    <w:bookmarkEnd w:id="47"/>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contract with a third-party manufacturing partner, we would need to develop our own manufacturing facilities, which may not be feasible and, if feasible, would significantly increase our capital expenditures and operating expenditures, and would significantly delay or inhibit production of our robotic systems.</w:t>
      </w:r>
    </w:p>
    <w:p>
      <w:pPr>
        <w:spacing w:after="0" w:line="1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do not have a definitive agreement with a third-party manufacturing partner to commercially manufacture our robotic systems and we may be unable to enter into such agreements with third-party manufacturing partners and other key suppliers for manufacturing on terms and conditions acceptable to us. Although discussions are continuing with potential counterparties, such discussions are more complicated because many of our products, including the Guardian XO and Guardian XT, are still undergoing design changes and improvements. We may not be able to contract with potential counterparties on commercially reasonable terms or at all, and we may need to use our own facilities for the initial production of commercial units of our products. If we are unable to enter into such definitive agreements or are only able to do so on terms that are less commercially favorable to us, we may be unable to timely identify adequate strategic relationship opportunities, or form strategic relationships, and consequently, we may not be able to fully carry out our business plans. We may not be able to partner with third parties on acceptable terms or at all or establish our own production capacity to meet our needs. The expense and time required to complete any transition and to assure that robotic systems manufactured at facilities of new third-party partners comply with our quality standards and regulatory requirements would likely be greater than currently anticipated. If we need to develop our own manufacturing and production capabilities at our own facilities, which may not be feasible, our capital and operating expenditures would significantly increase and production of our robotic systems would be significantly delayed. We may also need to raise or borrow additional money, which may not be available on acceptable terms or at all. Further, it may require us to change the anticipated pricing of our RaaS subscription offering, which could adversely affect our margins and cash flows. Any of the foregoing could materially and adversely affect our business, prospects, financial condition and operating results. Accordingly, investors should not place undue reliance on our statements about our production plans or their feasibility in the timeframe anticipated, or at all. We may not be able to implement our business strategy in the timeframe anticipated, or at all.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control the costs associated with our operations.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will require significant capital to develop and grow our business, including developing and producing our commercial robotic systems and other products, establishing or expanding our design, research and development, production, sales and maintenance and service capabilities and building our brands. We have incurred and expect to continue incurring significant expenses which will impact our profitability, including research and development expenses (including related to developing and commercializing the Guardian XO and Guardian XT and the Sapien line of products), procurement costs, sales, marketing and distribution expenses as we build our brand and market our robotic systems and general and administrative expenses as we scale our operations, identify and commit resources to investigate new areas of demand and incur costs as a public company. Some of the factors that may lead to cost increases are outside of our control, such as national or global geopolitical and economic conditions, such as inflation or increases in interest rates. In addition, we may incur significant costs servicing, maintaining and refurbishing our robotic systems, and we expect that the cost to repair and service our robotic systems will increase over time as our robotic systems age. Our ability to become profitable in the future will not only depend on our ability to complete the design and development of our robotic systems to meet projected performance metrics and identify and investigate new areas of demand and successfully market our robotic systems and RaaS subscription model, but also on our ability to sell, whether outright or through subscriptions, our robotic systems at prices needed to achieve our expected margins and control our costs, including the risks and costs associated with operating, maintaining and financing our robotic systems. If we are unable to efficiently design, develop, manufacture, market, deploy, distribute and service our robotic systems in a cost-effective manner, our margins, profitability and prospects would be materially and adversely affected.</w:t>
      </w:r>
    </w:p>
    <w:p>
      <w:pPr>
        <w:spacing w:after="0" w:line="1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suppliers and any manufacturing partners may rely on complex machinery for production, which involves a significant degree of risk and uncertainty in terms of operational performance and costs.</w:t>
      </w:r>
    </w:p>
    <w:p>
      <w:pPr>
        <w:spacing w:after="0" w:line="13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and our suppliers and any manufacturing partners may rely on complex machinery for the production and assembly of our robotic systems, which will involve a significant degree of uncertainty and risk in terms of operational performance and costs. Our facilities, and those of any third-party manufacturing partners and suppliers, consist or are expected to consist of large-scale machinery combining many components. These components may suffer unexpected malfunctions from time to time and will depend on repairs and spare parts to resume operations, which may not be available when needed. Unexpected malfunctions of these components may significantly affect the intended operational efficiency. Operational performance and costs can be difficult to predict and are often influenced by factors outside of our or any third-party manufacturing partners’ and suppliers’ control, such as scarcity of natural resources, environmental hazards and remediation, costs associated with decommissioning of machines, labor disputes and strikes, difficulty or delays in obtaining governmental permits, damages or defects in electronic systems, industrial accidents, fire, seismic activity and natural disasters. Should operational risks materialize, it may result in the personal injury to or death of workers, the loss of production equipment, damage to production facilities, monetary losses, delays and unanticipated fluctuations in production, environmental damage, administrative fines, increased insurance costs and potential legal liabilities, all which could have a material adverse effect on our business, prospects, financial condition and operating results.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and other outbreaks, which could significantly disrupt our operations.</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facilities or operations or those of any third-party manufacturers or suppliers could be adversely affected by events outside of our or their control, such as natural disasters, wars, health epidemics (see - "</w:t>
      </w:r>
      <w:r>
        <w:rPr>
          <w:rFonts w:ascii="Times New Roman" w:cs="Times New Roman" w:eastAsia="Times New Roman" w:hAnsi="Times New Roman"/>
          <w:sz w:val="18"/>
          <w:szCs w:val="18"/>
          <w:i w:val="1"/>
          <w:iCs w:val="1"/>
          <w:color w:val="auto"/>
        </w:rPr>
        <w:t>Ongoing impacts from COVID-19 or another pandemic, epidemic or outbreak of an infectious disease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may materially and adversely impact our business, prospects, financial condition and operating results."</w:t>
      </w:r>
      <w:r>
        <w:rPr>
          <w:rFonts w:ascii="Times New Roman" w:cs="Times New Roman" w:eastAsia="Times New Roman" w:hAnsi="Times New Roman"/>
          <w:sz w:val="18"/>
          <w:szCs w:val="18"/>
          <w:color w:val="auto"/>
        </w:rPr>
        <w:t>) and other calamities. Although we have servers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hosted both onsite and at an offsite location, our backup system does not capture data on a real-time basis and we may be unable to recover certain data in the event of a server failure. Our backup systems may not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the malfunction of software or hardware, as well as adversely affect our ability to provide services.</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currently target many customers that are large corporations with substantial negotiating power, exacting product standards and potentially competitive internal solutions. If we are unable to sell our products to these customers, our prospects and results of operations will be adversely affected.</w:t>
      </w:r>
    </w:p>
    <w:p>
      <w:pPr>
        <w:spacing w:after="0" w:line="1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expect that many of our potential customers will be large, multinational corporations with substantial negotiating power relative to us and, in some instances, may have internal solutions that are competitive to our products. These large, multinational corporations also have significant development resources, which may allow them to acquire or develop independently, or in partnership with others, competitive technologies. Meeting the technical requirements and securing binding commitments from any of these companies will require a substantial investment of our time and resources. We cannot assure you that our products will secure binding commitments from these or other companies or that we will generate meaningful revenue from the sales of our products to these key potential customers. If our products are not selected by these large corporations or if these corporations develop or acquire competitive technology, it will have an adverse effect on our business, which could be material.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that is subject to rapid technological change, and we expect competition to increase.</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robotics industry is subject to rapid technological change, and we expect competition to increase in the future. Our robotics technology may be unable to keep up with changes in robotics technology or its alternatives and, as a result, our competitiveness may suffer. Developments in alternative technologies, such as artificial intelligence, may materially and adversely affect our competitiveness in ways we do not currently anticipate. Any failure by us to successfully react to changes in existing technologies could materially harm our competitive position and growth prospects, which could have a material adverse effect on our business, prospects, financial condition and operating results.</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product offerings compete in a broad competitive landscape that includes robotics and automation companies that have both directly competing as well as alternative solutions ranging from exoskeletons, collaborative robots, industrial robots, traditional lift-assist equipment, and unmanned robotic vehicles. We also view our competitive landscape to include rivals who have different but unique product lines in the automation space, like ABB Robotics, Siasun Robot &amp; Automation, Teradyne and Berkshire Grey. Also included in our broader competitive landscape are robotic solution suppliers, like Rockwell Automation, Honeywell, Keyence Corporation, COGNEX Corporation and Hexagon AB, who may not have a directly competing product today, but could become competitors through inorganic growth; these companies have existing customer relationships and channels that could enable them to emerge as formidable threats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breakdown of the competitive landscape by product area:</w:t>
      </w:r>
    </w:p>
    <w:p>
      <w:pPr>
        <w:spacing w:after="0" w:line="198" w:lineRule="exact"/>
        <w:rPr>
          <w:sz w:val="20"/>
          <w:szCs w:val="20"/>
          <w:color w:val="auto"/>
        </w:rPr>
      </w:pPr>
    </w:p>
    <w:p>
      <w:pPr>
        <w:jc w:val="both"/>
        <w:ind w:left="760" w:hanging="378"/>
        <w:spacing w:after="0" w:line="250"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Guardian XO competes with robotics and automation solutions that help workers with heavy materials handling, heavy lift-and-transport-assist, and overhead assembly type jobs. Principal competitors include Hyundai and Daewoo, who have previously shown powered exoskeleton prototype units, and companies like Cyberdyne, Samsung, Ekso Bionics, Ottobock, Lockheed Martin, SuitX and Levitate who currently sell powered, partial-body exoskeletons or passively-powered, partial-body variants.</w:t>
      </w:r>
    </w:p>
    <w:p>
      <w:pPr>
        <w:spacing w:after="0" w:line="177"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Guardian XT faces a varied competitive landscape that includes companies like JR West, collaborative robotics companies and automation companies like Teradyne, ABB Robotics, Siasun Robot &amp; Automation, Berkshire Grey, Ready Robotics and OMRON.</w:t>
      </w:r>
    </w:p>
    <w:p>
      <w:pPr>
        <w:spacing w:after="0" w:line="162"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Sapien product line competes with products of various other companies, in some cases based on specific industry applications, such as Nauticus, SRS and Saab in the underwater solution space; Barrett, Kuka, Kinova and Staubli in the medical device industry; AES in solar construction applications; and BBHS, Juvo Robotics and Kuka in aviation services.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9" w:name="page50"/>
    <w:bookmarkEnd w:id="49"/>
    <w:p>
      <w:pPr>
        <w:jc w:val="both"/>
        <w:ind w:left="760" w:hanging="378"/>
        <w:spacing w:after="0" w:line="258"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Guardian S competes with other ground-based unmanned vehicles offered by companies such as Eddyfi Technologies and Waygate Technologies; it also competes with aerial unmanned vehicle companies, like Flyability, in the oil and gas industry. Other notable adjacent market and other competitors include Gecko Robotics, Teledyne FLIR, ICM, RedZone Robotics, Clearpath Robotics, and Easysight Technology.</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companies have products that are commercially available and in development. We expect some products currently in development to become commercially available in the next few years. In addition, we compete with companies that develop artificial intelligence and industrial automation solutions, such as those offered by Hyundai-Boston Dynamics, Canvas Technology, DroneSense, Intuitive, iRobot, Hahn Robotics, Kuka, Neurala, Ready Robotics, Rethink Robotics and Yaskawa.</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competitor base may change or expand as we continue to develop and commercialize our robotic systems in the future. These or other competitors may develop new technologies or products that provide superior results to customers or are less expensive than our products. Our technologies and products could be rendered obsolete by such developments.</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products, particularly if they compete with or have the potential to compete with, or diminish the need/utilization of products or technologies supported through these existing relationships. If we are not able to compete effectively, our business, prospects, financial condition and operating results will be adversely affected.</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because we operate in new and evolving markets, the actions of our competitors could adversely affect our business. Adverse events such as product defects or legal claims with respect to competing or similar products could cause reputational harm to the robotics market as a whole and, accordingly, our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period to period due to fluctuations in our operating costs, product demand and other factors.</w:t>
      </w:r>
    </w:p>
    <w:p>
      <w:pPr>
        <w:spacing w:after="0" w:line="2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expect our period-to-period financial results to vary based on our operating costs and product demand, which we anticipate will fluctuate as the pace at which we continue to design, develop and manufacture new robotic systems, increase production capacity and establish or expand design, research and development, production, sales and service facilities. Additionally, our revenues from period to period may fluctuate as we identify and investigate areas of demand, adjust volumes and add new product derivatives based on market demand and margin opportunities, develop and introduce new robotic systems or introduce existing robotic systems to new markets for the first time, as well as introduce our RaaS subscription model. As a result of these factors, we believe that quarter-to-quarter comparisons of our financial results, especially in the short term, are not necessarily meaningful and that these comparisons cannot be relied upon as indicators of future performance. Moreover, our financial results may not meet expectations of equity research analysts, ratings agencies or investors, who may be focused only on quarterly financial results. If any of this occurs, the trading price of our securities could fall substantially, either suddenly or over time, and/or experience significant volatility.</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Both Old Sarcos and Rotor identified a material weakness in their internal control over financial reporting prior to the closing of the Business Combination.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designed to provide reasonable assurance regarding the reliability of financial reporting and the preparation of consolidated financial statements for external purposes in accordance with accounting principles generally accepted in the United States (“GAAP”). Our management is likewise required, on a quarterly basis, to evaluate the effectiveness of our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Old Sarcos identified certain accounting errors related to its financial statements. As a result, Old Sarcos management concluded that a material weakness existed in its internal control over financial reporting related to the identification and review of technical issues associated with certain unique, unusual and nonstandard transactions within Old Sarcos’ equity process. As a result of this material weakness, Old Sarcos’ management concluded that its internal control over financial reporting was not effective as of December 31, 2020.</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0" w:name="page51"/>
    <w:bookmarkEnd w:id="50"/>
    <w:p>
      <w:pPr>
        <w:jc w:val="both"/>
        <w:spacing w:after="0" w:line="246" w:lineRule="auto"/>
        <w:rPr>
          <w:sz w:val="20"/>
          <w:szCs w:val="20"/>
          <w:color w:val="auto"/>
        </w:rPr>
      </w:pPr>
      <w:r>
        <w:rPr>
          <w:rFonts w:ascii="Times New Roman" w:cs="Times New Roman" w:eastAsia="Times New Roman" w:hAnsi="Times New Roman"/>
          <w:sz w:val="18"/>
          <w:szCs w:val="18"/>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(the “SEC Statement”). Following the issuance of the SEC Statement, after consultation with its independent registered public accounting firm, Rotor’s management and its audit committee concluded that, in light of the SEC Statement, it was appropriate to restate the previously issued audited balance sheet as of January 20, 2021 (the “Restatement”). As part of such process, Rotor identified a material weakness in its internal control over financial reporting. As of December 31, 2021, management has determined that this material weakness has been remediated as the previously issued financial statements have been restated and the Company is now accounting for the Private Placement warrants in accordance with the SEC Statement.</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material weakness identified related to Old Sarcos’ discussed above we have determined that our internal control over financial reporting was not effective as of March 31, 2022, see Part I Item 4 Controls and Procedures.</w:t>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To respond to the remaining material weakness and to mitigate the potential for any future material weaknesses, we plan to continue to devote significant effort and resources to the remediation and improvement of our internal control over financial reporting. While we have processes to identify and appropriately apply applicable accounting requirements, we plan to enhance these processes to better evaluate our research and understanding of the nuances of the complex accounting standards that apply to our consolidated financial statements. Specifically, we have made an assessment of our accounting personnel and have strengthened our compliance and accounting functions with additional experienced hires to assist in our risk assessment process and the design and implementation of controls. In addition, we have engaged a third-party consulting firm that specializes in internal audit and control processes and procedures to assist us in developing and implementing controls to address the material weakness described above. While we anticipate that these actions will sufficiently address and remediate the material weakness, our remediation plan can only be accomplished over time and these initiatives may not ultimately have the intended effects.</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Any failure to maintain effective internal control over financial reporting could adversely impact our ability to report our financial condition and results of operations on a timely and accurate basis. If our financial statements are not accurate, investors may not have a complete understanding of our operations. Likewise, if our financial statements are not filed on a timely basis, we could be subject to sanctions or investigations by Nasdaq, the SEC or other regulatory authorities. In either case, that could result in a material adverse effect on our business. Ineffective internal controls could also cause investors to lose confidence in our reported financial information, which could negatively affect the trading price of our Common Stock.</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measures we have taken and plan to take in the future may not remediate the material weakness identified, and additional material weaknesses or restatements of financial results may arise in the future due to failure to implement and maintain adequate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preparation and presentation of our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litigation and other risks as a result of the material weakness in our internal control over financial reporting.</w:t>
      </w:r>
    </w:p>
    <w:p>
      <w:pPr>
        <w:spacing w:after="0" w:line="20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As a result of the material weaknesses discussed under “—</w:t>
      </w:r>
      <w:r>
        <w:rPr>
          <w:rFonts w:ascii="Times New Roman" w:cs="Times New Roman" w:eastAsia="Times New Roman" w:hAnsi="Times New Roman"/>
          <w:sz w:val="18"/>
          <w:szCs w:val="18"/>
          <w:i w:val="1"/>
          <w:iCs w:val="1"/>
          <w:color w:val="auto"/>
        </w:rPr>
        <w:t>Both Old Sarcos and Rotor identified a material weakness in their internal control over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prior to the closing of the Business Combination.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r>
        <w:rPr>
          <w:rFonts w:ascii="Times New Roman" w:cs="Times New Roman" w:eastAsia="Times New Roman" w:hAnsi="Times New Roman"/>
          <w:sz w:val="18"/>
          <w:szCs w:val="18"/>
          <w:color w:val="auto"/>
        </w:rPr>
        <w:t>,” the Restatement, the change in accounting for the Private Placement Warrants and</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other matters raised or that may in the future be raised by the SEC, we face the potential for litigation or other disputes which may include, among others, claims invoking U.S. federal and state securities laws, contractual claims or other claims arising from the Restatement and previously identified material weaknesses in our internal control over financial reporting and the preparation of our financial statements.</w:t>
      </w:r>
    </w:p>
    <w:p>
      <w:pPr>
        <w:spacing w:after="0" w:line="1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systems of disclosure controls and procedures and internal control over financial reporting, our ability to produce timely and accurate financial statements or comply with applicable regulations could be adversely affected.</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expect that the requirements of the Exchange Act, the Sarbanes-Oxley Act and the rules and regulations of Nasdaq will continue to increase our legal, accounting and financial compliance costs, make some activities more difficult, time-consuming and costly, and place significant strain on personnel, systems and resources.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1" w:name="page52"/>
    <w:bookmarkEnd w:id="51"/>
    <w:p>
      <w:pPr>
        <w:jc w:val="both"/>
        <w:spacing w:after="0" w:line="246"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in the process of upgrading our finance and accounting systems to an enterprise system suitable for a public company, and a delay could impact our ability or prevent us from timely reporting our operating results, timely filing required reports with the SEC and complying with Section 404 of the Sarbanes-Oxley Act. The development and implementation of the standards and controls necessary for us to achieve the level of accounting standards required of a public company may require costs greater than expected.</w:t>
      </w:r>
    </w:p>
    <w:p>
      <w:pPr>
        <w:spacing w:after="0" w:line="16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Our current controls and any new controls that we develop may be inadequate because of changes in conditions of our business. Any failure to develop or maintain effective controls, or any difficulties encountered in their implementation or improvement, could adversely affect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we will file with the SEC under Section 404 of the Sarbanes-Oxley Act. Ineffective disclosure controls and procedures and internal control over financial reporting could also cause investors to lose confidence in our reported financial and other information. See “— </w:t>
      </w:r>
      <w:r>
        <w:rPr>
          <w:rFonts w:ascii="Times New Roman" w:cs="Times New Roman" w:eastAsia="Times New Roman" w:hAnsi="Times New Roman"/>
          <w:sz w:val="18"/>
          <w:szCs w:val="18"/>
          <w:i w:val="1"/>
          <w:iCs w:val="1"/>
          <w:color w:val="auto"/>
        </w:rPr>
        <w:t>Both Old Sarcos and Rotor identified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material weakness in their internal control over financial reporting prior to the closing of the Business Combination. If we are unable to develop and</w:t>
      </w:r>
    </w:p>
    <w:p>
      <w:pPr>
        <w:spacing w:after="0" w:line="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i w:val="1"/>
          <w:iCs w:val="1"/>
          <w:color w:val="auto"/>
        </w:rPr>
        <w:t>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In order to maintain and improve the effectiveness of our disclosure controls and procedures and internal control over financial reporting, we expect to continue to expend significant resources, including accounting-related costs, and provide significant management oversight. Any failure to maintain the adequacy of our internal controls, or consequent inability to produce accurate financial statements on a timely basis, could increase operating costs and could materially and adversely affect our ability to operate our business. If our internal controls are perceived as inadequate or if we are perceived to be unable to produce timely or accurate financial statements, investors may lose confidence in our operating results and the trading price of our securities could decline. While management has concluded that the previously identified Rotor material weakness has been remediated, as a result of our remaining material weakness, which is discussed under “— </w:t>
      </w:r>
      <w:r>
        <w:rPr>
          <w:rFonts w:ascii="Times New Roman" w:cs="Times New Roman" w:eastAsia="Times New Roman" w:hAnsi="Times New Roman"/>
          <w:sz w:val="18"/>
          <w:szCs w:val="18"/>
          <w:i w:val="1"/>
          <w:iCs w:val="1"/>
          <w:color w:val="auto"/>
        </w:rPr>
        <w:t>Both Old Sarcos and Rotor identified a material weakness in their internal control over financial</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reporting prior to the closing of the Business Combination.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r>
        <w:rPr>
          <w:rFonts w:ascii="Times New Roman" w:cs="Times New Roman" w:eastAsia="Times New Roman" w:hAnsi="Times New Roman"/>
          <w:sz w:val="18"/>
          <w:szCs w:val="18"/>
          <w:color w:val="auto"/>
        </w:rPr>
        <w:t>.”, we have concluded that our disclosure controls and procedures were not effective as of</w:t>
      </w:r>
    </w:p>
    <w:p>
      <w:pPr>
        <w:spacing w:after="0"/>
        <w:rPr>
          <w:sz w:val="20"/>
          <w:szCs w:val="20"/>
          <w:color w:val="auto"/>
        </w:rPr>
      </w:pPr>
      <w:r>
        <w:rPr>
          <w:rFonts w:ascii="Times New Roman" w:cs="Times New Roman" w:eastAsia="Times New Roman" w:hAnsi="Times New Roman"/>
          <w:sz w:val="18"/>
          <w:szCs w:val="18"/>
          <w:color w:val="auto"/>
        </w:rPr>
        <w:t>March 31, 2022. See Part I Item 4 Controls and Procedures.</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formally attest to the effectiveness of our internal control over financial reporting until after we are no longer an emerging growth company. At such time, our independent registered public accounting firm may issue a report that is adverse in the event it is not satisfied with the level at which our controls are documented, designed or operating. Any failure to maintain effective disclosure controls and procedures and internal control over financial reporting could have a material and adverse effect on our business, prospects, financial condition and operating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yet to achieve positive operating cash flow and, given our projected funding needs, our ability to generate positive cash flow is uncertain.</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had negative cash flow from operating activities of $42.1 million and $16.9 million for the years ended December 31, 2021 and 2020, respectively, and negative cash flow from operating activities of $12.5 million for the three months ended March 31, 2022. We expect to continue to have negative cash flow from operating and investing activities at least through the end of 2023 as we expect to incur research and development, sales and marketing, and general and administrative expenses and make capital expenditures in our efforts to commercialize our Guardian XO and Guardian XT products, as well as our Sapien products, increase sales, engage in continuous development work and ramp up operations. Our business also will at times require significant amounts of working capital to build inventory and support the growth of additional products. An inability to generate positive cash flow for the near term may adversely affect our ability to raise needed capital for our business on reasonable terms, diminish supplier or customer willingness to enter into transactions with us and have other adverse effects that may decrease our long-term viability. We may not achieve positive cash flow in the near future or at all.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2" w:name="page53"/>
    <w:bookmarkEnd w:id="5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 in connection with the Business Combination or other ownership changes.</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incurred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w:t>
      </w:r>
    </w:p>
    <w:p>
      <w:pPr>
        <w:spacing w:after="0" w:line="13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Under the Tax Cuts and Jobs Act of 2017 (the Tax Act), as modified by the Coronavirus Aid, Relief and Economic Security Act (the CARES Act),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 Tax Act or the CARES Act. Suspensions or other restrictions on the use of net operating losses or tax credits, possibly with retroactive effect, may result in our existing net operating losses or tax credits expiring or otherwise being unavailable to offset future income tax liabilities.</w:t>
      </w:r>
    </w:p>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addition, the net operating loss carryforwards are subject to review and possible adjustment by the Internal Revenue Service and state tax authorities. Under Sections 382 and 383 of the Internal Revenue Code of 1986, as amended (the “Code”), these U.S. federal net operating loss carryforwards and other tax attributes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net operating loss carryforwards and other tax attributes to offset future taxable income or tax liabilities may be limited as a result of ownership changes, including changes from the Business Combination or other transactions. Similar rules may apply under state tax laws. We have not yet determined the amount of the cumulative change in our ownership resulting from the Business Combination or other transactions, or any resulting limitations on our ability to utilize our net operating loss carryforwards and other tax attributes. If we earn taxable income, such limitations could result in increased future income tax liability to us and our future cash flows could be adversely affected. We have recorded a full valuation allowance related to our net operating loss carryforwards and other deferred tax assets due to the uncertainty of the ultimate realization of the future benefits of those assets.</w:t>
      </w:r>
    </w:p>
    <w:p>
      <w:pPr>
        <w:spacing w:after="0" w:line="16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substantial research and development costs and devote significant resources to identifying and commercializing new products, which could significantly reduce our profitability and may never result in revenue.</w:t>
      </w:r>
    </w:p>
    <w:p>
      <w:pPr>
        <w:spacing w:after="0" w:line="1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future growth depends on penetrating new markets, adapting existing products to new applications and customer requirements and introducing new products that achieve market acceptance. We plan to incur substantial, and potentially increasing, research and development costs as part of our efforts to design, develop, manufacture and commercialize new products and enhance existing products. Our research and development expenses were $17.5 million and $14.1 million for the years ended December 31, 2021 and 2020, respectively, and our research and development expenses are likely to grow in the future. Our research and development program may not produce successful results, and our new products may not achieve market acceptance, create additional revenue or become profitable.</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laws, regulations, standards, policies and contractual obligations related to data privacy and security laws and regulations, and our actual or perceived failure to comply with such obligations could harm our reputation, subject us to significant fines and liability or otherwise adversely affect our business, prospects, financial condition and operating results.</w:t>
      </w:r>
    </w:p>
    <w:p>
      <w:pPr>
        <w:spacing w:after="0" w:line="1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are subject to or affected by a number of national,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Many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or incident. Such mandatory disclosures are costly and could lead to negative publicity, penalties, fines, litigation and other proceedings or cause our customers to lose confidence in the effectiveness of our security measures and require us to expend significant capital and other resources to respond to and/or alleviate problems caused by the actual or perceived security breach or incident.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3" w:name="page54"/>
    <w:bookmarkEnd w:id="53"/>
    <w:p>
      <w:pPr>
        <w:jc w:val="both"/>
        <w:spacing w:after="0" w:line="242"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establishes a privacy framework for covered businesses, including an expansive definition of personal information and data privacy rights for California residents. The CCPA includes a framework with potentially severe statutory damages and private rights of action. The CCPA requires covered businesses to provide new disclosures to California residents, provide them new ways to opt-out of certain disclosures of personal information, and allow for a new cause of action for data breaches. Additionally, a new privacy law, the California Privacy Rights Act (“CPRA”), was approved by California voters in the November 3, 2020 election. The CPRA creates obligations relating to consumer data beginning on January 1, 2022, with implementing regulations expected on or before July 1, 2022, and enforcement beginning July 1, 2023. The CPRA significantly modifies the CCPA, potentially resulting in further uncertainty. Some observers have noted that the CCPA could mark the beginning of a trend toward more stringent privacy legislation in the United States. Other states have begun to propose and enact similar laws. For example, Virginia has enacted the Virginia Consumer Data Protection Act, which will go into effect January 1, 2023, Colorado has enacted the Colorado Privacy Act, which takes effect on July 1, 2023, and Utah has enacted the Utah Consumer Privacy Act, which will go into effect on December 31, 2023. These laws in Virginia, Colorado and Utah share similarities with the CCPA, CPRA, and legislation proposed in other states.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w:t>
      </w:r>
    </w:p>
    <w:p>
      <w:pPr>
        <w:spacing w:after="0" w:line="18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Additionally, as our international presence expands, we may become subject to or face increasing obligations under laws and regulations in countries outside the United States, many of which, such as the European Union’s General Data Protection Regulation (“GDPR”) and national laws supplementing the GDPR, as well as legislation substantially implementing the GDPR in the United Kingdom, are significantly more stringent than those currently enforced in the United States. The GDPR requires companies to meet stringent requirements regarding the handling of personal data of individuals located in the European Economic Area (“EEA”). The GDPR also includes significant penalties for noncompliance, which may result in monetary penalties of up to the higher of €20 million or 4% of a group’s worldwide turnover for the preceding financial year for the most serious violations. The United Kingdom’s version of the GDPR, which it maintains along with its Data Protection Act,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 As a general matter, compliance with laws, regulations, contractual obligations, industry standards, and any rules or guidance from self-regulatory organizations relating to privacy, data protection, and data security that apply, or are asserted to apply, to our operations may result in substantial costs and may necessitate changes to our business practices, which may compromise our growth strategy, adversely affect our ability to acquire customers, and otherwise adversely affect our business, prospects, results of operations, and financial condition.</w:t>
      </w:r>
    </w:p>
    <w:p>
      <w:pPr>
        <w:spacing w:after="0" w:line="1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comply with such policies and other actual or asserted legal or contractual obligations relating to privacy, data protection or data security. Moreover, despite our efforts, we may not be successful in achieving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Any actual or perceived inability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or liabilities. Any such claims or other proceedings could be expensive and time-consuming to defend and could result in adverse publicity. Any of the foregoing may have an adverse effect on our business, prospects, results of operations, and financial condition.</w:t>
      </w:r>
    </w:p>
    <w:p>
      <w:pPr>
        <w:spacing w:after="0" w:line="1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to our operational systems, security systems, infrastructure, integrated software in our products and data processed by us or third-party vendors.</w:t>
      </w:r>
    </w:p>
    <w:p>
      <w:pPr>
        <w:spacing w:after="0" w:line="15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business and operations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have been and may in the future be a target for cybersecurity attacks designed to disrupt our operations or to attempt to gain access to our systems, data processed or maintained in our business, trade secrets or other proprietary information or financial resources. The ongoing COVID-19 pandemic has increased security risks due to personnel working remotely. In addition, the risk of state-supported and geopolitical-related cybersecurity attacks may increase in connection with the war in Ukraine and any related political or economic responses and counter-responses.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4" w:name="page55"/>
    <w:bookmarkEnd w:id="54"/>
    <w:p>
      <w:pPr>
        <w:jc w:val="both"/>
        <w:spacing w:after="0" w:line="242" w:lineRule="auto"/>
        <w:rPr>
          <w:sz w:val="20"/>
          <w:szCs w:val="20"/>
          <w:color w:val="auto"/>
        </w:rPr>
      </w:pPr>
      <w:r>
        <w:rPr>
          <w:rFonts w:ascii="Times New Roman" w:cs="Times New Roman" w:eastAsia="Times New Roman" w:hAnsi="Times New Roman"/>
          <w:sz w:val="18"/>
          <w:szCs w:val="18"/>
          <w:color w:val="auto"/>
        </w:rPr>
        <w:t>We are at risk for interruptions, outages and breaches of our: (a) operational systems, including business, financial, accounting, product development, data processing or production processes, owned by us or our third-party vendors or suppliers; (b) facility security systems, owned by us or our third-party vendors or suppliers; (c) transmission control modules or other in-product technology, owned by us or our third-party vendors or suppliers; (d) the integrated software in our units; and (e) customer data that we process or our third-party vendors or suppliers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we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suppliers or others; jeopardize the security of our facilities; or affect the performance of in-product technology and the integrated software in our units. Certain efforts may be state-sponsored or supported by significant financial and technological resources, making them even more difficult to detect, remediate and otherwise respond to.</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and other malicious code, social engineering schemes, insider theft or misuse or other attempts to harm our systems. We intend to use our product services and functionality to log information about each unit’s use in order to aid us in diagnostics and servicing. Our customers may object to the use of this data, which may require us to implement new or modified data handling policies and mechanisms, increase our unit maintenance costs and costs associated with data processing and handling, and harm our business prospects.</w:t>
      </w:r>
    </w:p>
    <w:p>
      <w:pPr>
        <w:spacing w:after="0" w:line="1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Although we have implemented and are in the process of implementing additional systems and processes that are designed to protect our data and systems within our control, prevent data loss and prevent other security breaches and security incidents, these security measures cannot guarantee security. The IT and infrastructure used in our business may be vulnerable to cyberattacks or security breaches or incidents, and third parties may be able to access data, including personal data and other sensitive and proprietary data of us and our customers, collaborators and partners, our employees’ personal data or other sensitive and proprietary data accessible through those systems, or such data otherwise may be subject to unauthorized use, disclosure, unavailability, modification or other processing. Employee error, malfeasance or other errors in the storage, use or transmission of any of these types of data could result in an actual or perceived privacy or security breach or other security incident.</w:t>
      </w:r>
    </w:p>
    <w:p>
      <w:pPr>
        <w:spacing w:after="0" w:line="1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deliver and service our units,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Any actual or perceived security breach or security incident, or any systems outages or other disruption to systems used in our business, could interrupt our operations, result in loss or improper access to, or acquisition or disclosure of, data or a loss of intellectual property protection, harm our reputation and competitive position, reduce demand for our products,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5" w:name="page56"/>
    <w:bookmarkEnd w:id="5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current revenue is generated by sales to government entities, which are subject to a number of uncertainties, challenges and risks.</w:t>
      </w:r>
    </w:p>
    <w:p>
      <w:pPr>
        <w:spacing w:after="0" w:line="1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Sales to government entities are subject to a number of risks. Selling to government entities can be highly competitive, expensive and time-consuming, often requiring significant upfront time and expense without any assurance that these efforts will generate a sale. In the event that we are successful in being awarded a government contract, such award may be subject to appeals, disputes or litigation, including bid protests by unsuccessful bidders. Government demand and payment for our solutions may be impacted by public sector budgetary cycles and funding authorizations, with funding reductions or delays adversely affecting public sector demand for our solutions. Government entities may have statutory, contractual or other legal rights to terminate our contracts for convenience or default. For purchases by the U.S. federal government, the government may require certain products to be manufactured in the United States and other high cost manufacturing locations, and we or any third-party manufacturers may not manufacture all products in locations that meet government requirements, and as a result, our business and results of operations may suffer.</w:t>
      </w:r>
    </w:p>
    <w:p>
      <w:pPr>
        <w:spacing w:after="0" w:line="1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As a government contractor or subcontractor,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non-ordinary course audits and internal investigations which may prove costly to our business financially, divert management time or limit our ability to continue selling our products to our government customers. These laws and regulations may impose other added costs on our business, and failure to comply with these or other applicable regulations and requirements, including non-compliance in the past, could lead to claims for damages, downward contract price adjustments or refund obligations, civil or criminal penalties, termination of contracts and suspension or debarment from government contracting for a period of time with government agencies. Any such damages, penalties, disruption or limitation in our ability to do business with a government would adversely impact, and could have a material adverse effect on, our business, prospects, financial condition and operating results.</w:t>
      </w:r>
    </w:p>
    <w:p>
      <w:pPr>
        <w:spacing w:after="0" w:line="1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and regulations. We can face criminal liability and other serious consequences for violations of these laws, which can harm our business, prospects, financial condition and operating results.</w:t>
      </w:r>
    </w:p>
    <w:p>
      <w:pPr>
        <w:spacing w:after="0" w:line="1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U.S. domestic bribery statute contained in 18 U.S.C. § 201, the U.S. Travel Act, and other anti-corruption, anti-bribery and anti-money laundering laws, including those of other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have direct and indirect interactions with foreign officials, including in furtherance of sales to governmental entities in non-U.S. countries. We sometimes leverage third parties to conduct our business abroad, and our third-party business partners, representatives and agents may have direct or indirect interactions with officials and employees of government agencies or state-owned or affiliated entities. We can be held liable for the corrupt or other illegal activities of our employees or these third-parties,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our employees, business partners, third-party intermediaries, representatives and agents may take actions in violation of our policies and applicable law, for which we may be ultimately held responsible. Our exposure for violating these laws increases as our international presence expands and as we increase sales and operations in foreign jurisdictions.</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and laws that could subject us to liability if we are not in compliance with such laws.</w:t>
      </w: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products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robotic systems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international sales of certain of our products are subject to U.S. laws, regulations and policies like the International Traffic in Arms Regulations and other export laws and regulations and may be subject to first obtaining licenses, clearances or authorizations from various regulatory entities. If we are not allowed to export our products or the clearance process is burdensome and costly, our ability to generate revenue would be adversely affected.</w:t>
      </w:r>
    </w:p>
    <w:p>
      <w:pPr>
        <w:spacing w:after="0" w:line="1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changes to our robotic systems, or changes in applicable export control, import or economic sanctions laws and regulations may create delays in the introduction and sale of our robotic systems and solutions or, in some cases, prevent the export or import of our robotic systems to certain countries, governments or persons altogether. Compliance with such laws and regulations may also be costly and require time and attention from our management.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robotic systems, as well as our decreased ability to export or market our robotic systems to potential customers. Any decreased use of our robotic systems or limitation on our ability to export or market our robotic systems would likely adversely affect our business, prospects, financial condition and operating results.</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has broad discretion in making strategic decisions to execute our growth plans, and our management’s decisions may not be successful in achieving our business objectives or may have unintended consequences that negatively impact our growth prospects.</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management has broad discretion in making strategic decisions to execute our growth plans and may devote time and company resources to new or expanded solution offerings, potential acquisitions, prospective customers or other initiatives that do not necessarily improve our operating results or contribute to our growth. Management’s failure to make strategic decisions that are ultimately accretive to our growth may result in unfavorable returns and uncertainty about our prospects, each of which could cause the price of our Common Stock to decline.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Technology and Intellectual Property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obtain and maintain protection for the intellectual property relating to or incorporated into our products.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protection for the intellectual property relating to or incorporated into our products. We seek to protect our intellectual property through a combination of patents, trademarks and other intellectual property rights, as well as confidentiality and/or intellectual property assignment agreements with our employees and certain of our contractors, consultants, scientific advisors and other vendors and third-parties. In addition, we rely on trade secret law to protect our proprietary software and product candidates/products in development.</w:t>
      </w:r>
    </w:p>
    <w:p>
      <w:pPr>
        <w:spacing w:after="0" w:line="16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Patent positions covering robotic systems and human-augmented robotic systems (e.g., wearable humanoid or exoskeleton robotic systems) inventions can be highly uncertain and involve many new and evolving complex legal, factual and technical issues. Patent laws and interpretations of those laws are subject to change and any such changes may diminish the value of our patents or narrow the scope of our right to exclude others. In addition, we may fail to apply for or be unable to obtain patents necessary to protect our technology or products from competition or fail to enforce our patents due to lack of information about the exact use of technology or processes by third parties or for a variety of other reasons. Also, we cannot be sure that any patents will be granted in a timely manner or at all with respect to any of our patent pending applications or that any patents that are granted will be adequate to exclude others for any significant period of time or at all. Given the foregoing, and in order to continue reducing operational expenses in the future, we may invest fewer resources in filing and prosecuting new patents and on maintaining and enforcing various patents, especially in regions where we currently do not focus our market growth strategy.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7" w:name="page58"/>
    <w:bookmarkEnd w:id="57"/>
    <w:p>
      <w:pPr>
        <w:jc w:val="both"/>
        <w:spacing w:after="0" w:line="243" w:lineRule="auto"/>
        <w:rPr>
          <w:sz w:val="20"/>
          <w:szCs w:val="20"/>
          <w:color w:val="auto"/>
        </w:rPr>
      </w:pPr>
      <w:r>
        <w:rPr>
          <w:rFonts w:ascii="Times New Roman" w:cs="Times New Roman" w:eastAsia="Times New Roman" w:hAnsi="Times New Roman"/>
          <w:sz w:val="18"/>
          <w:szCs w:val="18"/>
          <w:color w:val="auto"/>
        </w:rPr>
        <w:t>Litigation to establish or challenge the validity of patents, or to defend against or assert against others’ infringement, unauthorized use, enforceability or invalidity, can be lengthy and expensive and may result in our patents being invalidated or interpreted narrowly and may restrict our ability to be granted new patents related to our pending patent applications. Even if we prevail, litigation may be time consuming, force us to incur significant costs, and could divert management’s attention from managing our business while any damages or other remedies awarded to us may not be valuable or adequate. In addition, U.S. patents and patent applications may be subject to interference or derivation proceedings, and U.S. patents may be subject to re-examination and inter partes or post grant review proceedings in the U.S. Patent and Trademark Office. Furthermore, our issued patents may be subject to claims of invalidity based on earlier filed patents or published applications not discovered in any patent searches or by the patent offices that carried out examination of the issued patents. Foreign patents may also be subject to opposition or comparable proceedings in corresponding foreign patent offices. Any of these proceedings may be expensive and could result in the loss of a patent or denial of a patent application, or the loss or reduction in the scope of one or more of the claims of a patent or patent application.</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addition, we seek to protect our trade secrets, know-how, and confidential information that is not patentable by entering into confidentiality and intellectual property assignment agreements with our employees and certain of our contractors and confidentiality agreements with certain of our consultants, scientific advisors, and other vendors and contractors. However, we may fail to enter into the necessary agreements, and even if entered into, these agreements may be breached or otherwise fail to prevent disclosure, third-party infringement or misappropriation of our proprietary information, may be limited as to their term and may not provide an adequate remedy in the event of unauthorized disclosure or use of proprietary information. Enforcing a claim that a third party illegally obtained or is using our trade secrets without authorization may be expensive and time consuming, and the outcome is unpredictable. Some of our employees or consultants or service providers may own certain technology which they license to us for a set term. If these technologies are material to our business after the term of the license, our inability to use them could adversely affect our business and profitability.</w:t>
      </w:r>
    </w:p>
    <w:p>
      <w:pPr>
        <w:spacing w:after="0" w:line="1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also have taken and continue to take precautions to initiate safeguards to protect our information technology systems. However, these measures may not be adequate to safeguard our proprietary information, which could lead to the loss or impairment thereof or to expensive litigation to defend our rights against competitors who may be better funded and have superior resources. In addition, unauthorized parties may attempt to copy or reverse engineer certain aspects of our products that we consider proprietary or our proprietary information may otherwise become known or may be independently developed by our competitors or other third parties. If other parties are able to use our proprietary technology or information, our ability to compete in the market could be harmed. Further, unauthorized use of our intellectual property may have occurred, or may occur in the future, without our knowledge.</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have made efforts to register and enforce our trademark rights. However, trademark law and the associated infringement analysis is complex, and, notwithstanding our efforts to develop and enforce our trademark portfolio, both outgoing and incoming claims of trademark infringement could lead to limitations, loss or impairment of those trademark rights or to expensive litigation to prosecute or defend our trademark rights against third-party infringers who may be better funded and have superior resources.</w:t>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obtain or maintain adequate protection for our intellectual property, or if any protection is reduced or eliminated, competitors may be able to use our technologies, resulting in harm to our competitive position and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in all countries.</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Filing, prosecuting, maintaining and defending patents and trademarks on each of our products and intellectual property in all countries throughout the world would be prohibitively expensive and time consuming, and thus our intellectual property rights outside the United States are limited. In addition, the laws of some foreign countries, especially developing countries, such as China, do not protect intellectual property rights to the same extent as federal and state laws in the United States. Also, it may not be possible to effectively enforce intellectual property rights in some countries at all or to the same extent as in the United States and other countries. Consequently, we are unable to prevent third parties from using our inventions in all countries, or from selling or importing products made using our inventions in the jurisdictions in which we do not have (or are unable to effectively enforce) patent protection. Competitors may use our technologies in jurisdictions where they have not obtained patent protection to develop, market or otherwise commercialize their own products, and we may be unable to prevent those competitors from importing those infringing products into territories where we have patent protection, but enforcement may not be as strong as in the United States. These products may compete with our products and our patents and other intellectual property rights may not be effective or sufficient to prevent them from competing in those jurisdictions. Moreover, strategic partners, competitors or others may raise legal challenges against our intellectual property rights or may infringe upon our intellectual property rights, including through means that may be difficult to detect or prevent.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8" w:name="page59"/>
    <w:bookmarkEnd w:id="58"/>
    <w:p>
      <w:pPr>
        <w:jc w:val="both"/>
        <w:spacing w:after="0" w:line="24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Proceedings to enforce our patent rights in the United States or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patent infringement or other claims against us. We may not prevail in any lawsuits that we initiate and the damages or other remedies awarded, if any, may not be commercially meaningful. Accordingly, our efforts to enforce our intellectual property rights in the United States and around the world may be inadequate to obtain a significant commercial advantage from the intellectual property that we develop or license from third parties.</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or misappropriation claims, which may be time consuming and expensive and, if adversely determined, could limit our ability to commercialize our products.</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Companies operating in the robotics industry may face difficulty enforcing their patent and other intellectual property rights and may become subject to a substantial amount of litigation over these rights. In particular, our competitors in both the United States and abroad, many of which have substantially greater resources than we have and have made substantial investments in competing technologies, have been issued patents and filed patent applications with respect to their products and processes and may apply for other patents in the future. The large number of patents, the rapid rate of new patent issuances and the complexities of the technology involved increase the risk of patent litigation.</w:t>
      </w:r>
    </w:p>
    <w:p>
      <w:pPr>
        <w:spacing w:after="0" w:line="1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Determining whether a product infringes a patent involves complex legal and factual issues and the outcome of patent litigation is often uncertain. No assurance can be given that patents containing claims covering our products, technology or methods do not exist, have not been filed or could not be filed or issued. In addition, because patent applications can take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published applications that initially do not appear to be problematic may issue with claims that potentially cover our products, technology or methods. Moreover, there may be pending, published or allowed applications that may disclose, but not claim, subject matter covering our products, technology or methods, where such pending or published applications may be amended, or one or more continuation or divisional applications may be filed, in an attempt to capture, to the extent possible, such products, technology or methods that are in the public domain, and which may result in issued patents that our current or future products infringe.</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Infringement actions and other intellectual property claims brought against us, whether with or without merit, may cause us to incur substantial costs and could place a significant strain on our financial resources, divert the attention of management, and harm our reputation. We cannot be certain that we will successfully defend against any allegations of infringement. If we are found to infringe another party’s patents, we could be required to pay damages. We could also be prevented from selling our infringing products, unless we can obtain a license to use the technology covered by such patents or can redesign our products so that they do not infringe. A license may not be available on commercially reasonable terms or at all, and we may not be able to redesign our products to avoid infringement. In these circumstances, we may not be able to sell our products at competitive prices or at all, and our business, prospects, financial condition and operating results could be harmed.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9" w:name="page60"/>
    <w:bookmarkEnd w:id="59"/>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6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may include a non-exclusive, non-transferable, irrevocable worldwide license to use inventions for any governmental purpose. In addition, the U.S. government may have the right, under certain limited circumstances, to require us to grant exclusive, partially exclusive, or non-exclusive licenses to any of these inventions to a third party if the U.S. government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future intellectual property rights that are generated through the use of U.S. government funding or grants, we could be forced to license or sublicense intellectual property we developed or that we license on terms unfavorable to us, and there can be no assurance that we would receive compensation from the U.S. government for the exercise of such rights. The U.S. government may also have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employees’ former employers.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may be subject to claims that we or our employees have inadvertently or otherwise used or disclosed trade secrets or other proprietary information of an employee’s former employers. Litigation may be necessary to defend against these claims. If we fail in defending such claims, in addition to paying monetary damages, we may lose valuable intellectual property rights or personnel or be forced to seek a license, which may not be available on commercially acceptable terms or at all. A loss of key personnel or their work product could hamper or prevent our ability to commercialize our products, which could severely harm our business. Even if we are successful in defending against these claims, litigation could result in substantial costs and demand on management resources.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Warrants</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Resales of the shares of Common Stock issued in connection with the Business Combination and our acquisition of RE2 could depress the market price of our Common Stock.</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or Warrants could occur at any time. These sales, or the perception in the market that the holders of a large number of shares intend to sell shares, could reduce the market price of our Common Stock or Warrants.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Common Stock issued to the former securityholders of Old Sarcos (“Old Sarcos Security Holders”) represented approximately 71.6% of our Common Stock outstanding as of April 29, 2022, and are subject to lock-up obligations under our Amended and Restated Bylaws (“Bylaws”) and under lock-up agreements entered into with the Company (the “Old Sarcos Lock-up Agreements”).</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connection with the entry by the Company into the RE2 Lock-up Agreements (as described below), a special committee of our board of directors, consisting solely of independent directors who did not hold, and whose affiliates did not hold, shares of capital stock of Sarcos subject to the applicable terms of the Old Sarcos Lock-up Agreements, recommended to the board of directors that the release provisions in the Old Sarcos Lock-up Agreements be reconciled to the release provisions in the RE2 Lock-up Agreements. On April 25, 2022, the board of directors approved an amendment to the Bylaws and to the Old Sarcos Lock-up Agreements to conform the release provisions to the RE2 Lock-up Agreements.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amendment described above, Old Sarcos Security Holders are subject to the following lock-up periods under the Bylaws: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the Common Stock was issued from the exchange or conversion of shares of Old Sarcos preferred stock, then: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0" w:name="page61"/>
    <w:bookmarkEnd w:id="60"/>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of the Common Stock became transferable at the close of business on March 24, 2022.</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fifty percent (50%) of the Common Stock may only be transferred beginning on September 24, 2022.</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the Common Stock was issued from the exchange or conversion of Old Sarcos’ common stock, options, RSAs or RSUs, then:</w:t>
      </w:r>
    </w:p>
    <w:p>
      <w:pPr>
        <w:spacing w:after="0" w:line="320" w:lineRule="exact"/>
        <w:rPr>
          <w:sz w:val="20"/>
          <w:szCs w:val="20"/>
          <w:color w:val="auto"/>
        </w:rPr>
      </w:pPr>
    </w:p>
    <w:p>
      <w:pPr>
        <w:ind w:left="1080" w:hanging="563"/>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 percent (20%) of the Common Stock became transferable at the close of business on March 23, 2022; and</w:t>
      </w:r>
    </w:p>
    <w:p>
      <w:pPr>
        <w:spacing w:after="0" w:line="103"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eighty percent (80%) of the Common Stock may only be transferred beginning upon the earlier to occur of (a) such time as the Company or any of its subsidiaries have delivered to one or more customers at least 20 Guardian XO and/or Guardian XT and/or Sapien commercial units, but in no event prior to the close of business on September 24, 2022 and (b) the close of business on September 24,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amendment described above, Old Sarcos Security Holders are subject to the following lock-up periods under the Old Sarcos Lock-up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the Common Stock was issued from the exchange or conversion of Old Sarcos preferred stock or warrants, then:</w:t>
      </w:r>
    </w:p>
    <w:p>
      <w:pPr>
        <w:spacing w:after="0" w:line="320"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of the shares became transferable on March 24, 2022 and</w:t>
      </w:r>
    </w:p>
    <w:p>
      <w:pPr>
        <w:spacing w:after="0" w:line="10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fifty percent (50%) of such shares may only be transferred beginning at the close of business on the one (1) year anniversary of the closing of the Business Combination.</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the Common Stock was issued from the exchange or conversion of Old Sarcos common stock, options, RSAs or RSUs, then:</w:t>
      </w:r>
    </w:p>
    <w:p>
      <w:pPr>
        <w:spacing w:after="0" w:line="320"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 percent (20%) of such securities became transferable on March 23, 2022 and</w:t>
      </w:r>
    </w:p>
    <w:p>
      <w:pPr>
        <w:spacing w:after="0" w:line="103"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eighty percent (80%) may only be transferred beginning upon the earlier to occur of (A) delivery to customers of at least twenty Guardian XO and/or Guardian XT and/or Sapien commercial units to customers (but in no event prior to the close of business on the one (1) year anniversary of the date of the Business Combination) and (B) the close of business on the second anniversary of the date of the Business Combination.</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Common Stock held by former Old Sarcos Security Holders will be freely tradeable once the remaining applicable lock-up periods expire and such shares are registered for resale under the Securities Act. Pursuant to a registration rights agreement entered into concurrently with the consummation of the Business Combination by and among our company, Rotor Sponsor LLC (the “Sponsor”) and certain Old Sarcos Security Holders, we registered the shares of Common Stock subject to the registration rights agreement on a registration statement on Form S-1 filed with the SEC on October 15, 2021, as amended by Post-Effective Amendment No. 1, which was declared effective on April 5, 2022.</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Common Stock issued upon conversion of the shares of Rotor Class B Common Stock held by certain stockholders, including the Sponsor (the “Founder Shares”), represented approximately 4.2% of our Common Stock outstanding as of April 29, 2022. The Rotor Restricted Stockholders are subject to certain transfer restrictions with respect to their converted Founder Shares.</w:t>
      </w:r>
    </w:p>
    <w:p>
      <w:pPr>
        <w:spacing w:after="0" w:line="285" w:lineRule="exact"/>
        <w:rPr>
          <w:sz w:val="20"/>
          <w:szCs w:val="20"/>
          <w:color w:val="auto"/>
        </w:rPr>
      </w:pPr>
    </w:p>
    <w:p>
      <w:pPr>
        <w:jc w:val="both"/>
        <w:ind w:left="1020" w:hanging="503"/>
        <w:spacing w:after="0" w:line="244"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may not be transferred until the earliest of (a) one year after the completion of the Business Combination and (b) upon completion of the Business Combination, (x) if the last reported sale price of the Common Stock equals or exceeds $12.00 per share (as adjusted for stock splits, stock capitalizations, reorganizations, recapitalizations and the like) for any 20 trading days within any 30-trading day period commencing at least 150 days after the Business Combination or (y) the date on which we complete a liquidation, merger, capital stock exchange or other similar transaction after the Business Combination that results in all of the post-combination company’s stockholders having the right to exchange their Common Stock for cash, securities or other property.</w:t>
      </w:r>
    </w:p>
    <w:p>
      <w:pPr>
        <w:spacing w:after="0" w:line="87"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held by Messrs. Finn and Howard and other members of the Sponsor with an equity interest in Old Sarcos may not be transferred until the earlier of (i) a period of one year following the closing of the Business Combination or (ii) the post-combination company’s completion of a liquidation, merger, capital stock exchange, reorganization or other similar transaction that results in all of the post-combination company’s stockholders having the right to exchange their equity holdings in the post-combination company for cash, securities or other property.</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held by the Rotor Restricted Stockholders will be freely tradeable once their applicable lock-up periods expire and such shares are registered by us. Such shares of Common Stock were registered for resale on a registration statement on Form S-1 filed with the SEC on October 15,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1" w:name="page62"/>
    <w:bookmarkEnd w:id="61"/>
    <w:p>
      <w:pPr>
        <w:ind w:right="220"/>
        <w:spacing w:after="0" w:line="247" w:lineRule="auto"/>
        <w:rPr>
          <w:sz w:val="20"/>
          <w:szCs w:val="20"/>
          <w:color w:val="auto"/>
        </w:rPr>
      </w:pPr>
      <w:r>
        <w:rPr>
          <w:rFonts w:ascii="Times New Roman" w:cs="Times New Roman" w:eastAsia="Times New Roman" w:hAnsi="Times New Roman"/>
          <w:sz w:val="18"/>
          <w:szCs w:val="18"/>
          <w:color w:val="auto"/>
        </w:rPr>
        <w:t>On April 25, 2022, we issued 10.8 million shares of our Common Stock (the “Consideration Shares”), which represented approximately 7.0% of our Common Stock outstanding as of April 29, 2022, and assumed certain outstanding options to acquire RE2 common stock which, following such assumption, represent rights to acquire 3.9 million shares of the Company Common Stock (the “Assumed Options” and together with the Consideration Shares, the “RE2 Lock-up Shares”) in connection with our acquisition of RE2. RE2 securityholders who were RE2 employees and became employees of the Company on such date received in the aggregate 7.0 million Consideration Shares, in addition to the Assumed Options, and entered into lock-up agreements (the “RE2 Lock-up Agreements”), pursuant to which, among other things, they agreed to the following transfer restrictions:</w:t>
      </w:r>
    </w:p>
    <w:p>
      <w:pPr>
        <w:spacing w:after="0" w:line="301" w:lineRule="exact"/>
        <w:rPr>
          <w:sz w:val="20"/>
          <w:szCs w:val="20"/>
          <w:color w:val="auto"/>
        </w:rPr>
      </w:pPr>
    </w:p>
    <w:p>
      <w:pPr>
        <w:jc w:val="both"/>
        <w:ind w:left="1020" w:hanging="503"/>
        <w:spacing w:after="0" w:line="250"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twenty percent (20%) of such holder’s RE2 Lock-up Shares, such shares may be transferred on the trading day following the date on which the registration statement on Form S-1 for the resale of Consideration Shares is declared effective by the Securities and Exchange Commission; and</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47"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remaining eighty percent (80%) of such holder’s RE2 Lock-up Shares, such shares may be transferred beginning upon the earlier to occur of (a) such time as the Company or any of its subsidiaries have delivered to one or more customers at least twenty (20) Guardian XO and/or Guardian XT and/or Sapien commercial units (but in no event prior to the close of business on September 24, 2022) and</w:t>
      </w:r>
    </w:p>
    <w:p>
      <w:pPr>
        <w:spacing w:after="0" w:line="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close of business on September 24, 2023.</w:t>
      </w:r>
    </w:p>
    <w:p>
      <w:pPr>
        <w:spacing w:after="0" w:line="19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Shares originally issued to PIPE Investors (as defined in Note 1 to our condensed consolidated financial statements included in this Report) represented approximately 14.3% of our Common Stock outstanding as of April 29, 2022. These shares are not subject to any lock-up or transfer restrictions, and pursuant to the subscription agreements entered into with our predecessor, we were obligated to file with the SEC a registration statement with respect to the resale of such Common Stock no later than 30 days following the consummation of the Business Combination. Shares of Common Stock purchased by the PIPE Investors were registered for resale on a registration statement on Form S-1 filed with the SEC on October 15, 2021, as amended by Post-Effective Amendment No. 1, which was declared effective on April 5,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could decline due to the large number of outstanding shares of our Common Stock eligible for future sale.</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granted and expect to continue to grant equity awards to our directors and employees as additional compensation in an effort to align their interests with those of our stockholders. Because awards granted to certain executive officers and directors may be scheduled to vest during specified points in time, such as expected open trading windows under our insider trading policy, there is a potential that sales of large amounts of our Common Stock may take place during concentrated periods, leading to a decline in the price of our Common Stock.</w:t>
      </w:r>
    </w:p>
    <w:p>
      <w:pPr>
        <w:spacing w:after="0" w:line="16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“Sell-to-cover” transactions are utilized in connection with the vesting and settlement of equity awards that are granted to our employees so that shares of our Common Stock are sold on behalf of our employees in an amount sufficient to cover the tax withholding obligations associated with these awards. As a result of these transactions, a significant number of shares of our Common Stock may be sold over a limited time period in connection with significant vesting events. We may also settle tax withholding obligations in connection with vesting of awards through “net settlement,” in which we remit cash to satisfy the tax withholding obligation and withhold a number of the vested shares on each vesting date. Depending on the fair value of our Common Stock and the number of awards vesting on any applicable vesting date, such net settlement could require us to expend substantial funds to satisfy tax withholding.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markets for our Common Stock and Warrants have been volatile and may not continue at all.</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Since the Business Combination and the commencement of the trading of our Common Stock and Warrants on the Nasdaq Global Market, the prices of our Common Stock and Warrants have been volatile and may continue to fluctuate significantly due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212"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2" w:name="page63"/>
    <w:bookmarkEnd w:id="62"/>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the expectation of securities analysts or investors in a particular period;</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our company or the market in general;</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new and enhanced products on a timely basis;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11"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the Common Stock and Public Warrants available for public sale, including as a result of the release of shares of our Common Stock from lock-up provisions (see – “</w:t>
      </w:r>
      <w:r>
        <w:rPr>
          <w:rFonts w:ascii="Times New Roman" w:cs="Times New Roman" w:eastAsia="Times New Roman" w:hAnsi="Times New Roman"/>
          <w:sz w:val="18"/>
          <w:szCs w:val="18"/>
          <w:i w:val="1"/>
          <w:iCs w:val="1"/>
          <w:color w:val="auto"/>
        </w:rPr>
        <w:t>Resales of the shares of Common Stock issued in connection with the Business Combination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acquisition of RE2 could depress the market price of our Common Stock.</w:t>
      </w:r>
      <w:r>
        <w:rPr>
          <w:rFonts w:ascii="Times New Roman" w:cs="Times New Roman" w:eastAsia="Times New Roman" w:hAnsi="Times New Roman"/>
          <w:sz w:val="18"/>
          <w:szCs w:val="18"/>
          <w:color w:val="auto"/>
        </w:rPr>
        <w:t>”) or after exercise of any of our Warrants;</w:t>
      </w:r>
    </w:p>
    <w:p>
      <w:pPr>
        <w:spacing w:after="0" w:line="17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our directors, officers or significant stockholders or the perception that such sales could occur;</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discussed herein;</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our stock exchange;</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of 2002 or other laws or regulations;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21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and acts of war or terrorism.</w:t>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stock exchanges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Additionally, an active trading market for our securities may not be sustained. If our Common Stock or Warrants become delisted from Nasdaq for any reason and are quoted on the OTC Bulletin Board or OTC Pink, an inter-dealer automated quotation system for equity securities that is not a national securities exchange, the liquidity of our Common Stock or Warrants may be more limited and the price of the securities may be lower than if we were quoted or listed on Nasdaq or another national securities exchange. If an active trading market for our securities is not sustained with sufficient trading volume, you may have limited or no ability to sell your securities.</w:t>
      </w:r>
    </w:p>
    <w:p>
      <w:pPr>
        <w:spacing w:after="0" w:line="1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3" w:name="page64"/>
    <w:bookmarkEnd w:id="63"/>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us, our business or our market, or if they change their recommendations regarding our Common Stock, then the price and trading volume of our Common Stock could decline</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trading market for our Common Stock or Warrants will be influenced by the research and reports that industry or securities analysts may publish about us, our business, our market or our competitors. If any of the analysts who cover us now or in the future change their recommendation regarding our stock adversely, or provide more favorable relative recommendations about our competitors, the price of our Common Stock and Public Warrants would likely decline. If any analyst covering our company now or in the future were to cease coverage of us or fail to regularly publish reports on us, we could lose visibility in the financial markets, which could cause the stock price or trading volume of the Common Stock and Public Warrants to decline.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the Public Warrants or Private Placement Warrants will ever be in the money, and they may expire worthless.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exercise price of our Warrants is higher than is typical with many companies that have merged with similar blank check companies in the past. Historically, with regard to units offered by blank check companies, the exercise price of a Warrant was generally a fraction of the purchase price of the units in the initial public offering. The exercise price for our Warrants is $11.50 per share of Common Stock. There is no guarantee that the Warrants will ever be in the money prior to their expiration, and as such, the Warrants may expire worthless.</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Warrants prior to their exercise at a time that is disadvantageous to Warrant holders, thereby making their Warrants worthless</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have the ability to redeem outstanding Warrants at any time after they become exercisable and prior to their expiration, subject to certain exceptions, provided that the last reported sales price of our Common Stock equals or exceeds $10.00 per share (as adjusted for stock splits, stock dividends, reorganizations, recapitalization and the like) for any 20 trading days within a 30 trading-day period ending on the third trading day prior to the date on which we give proper notice of such redemption to the Warrant holders and provided certain other conditions are met. For additional information on the circumstances in which the Public Warrants may be redeemed, please see “</w:t>
      </w:r>
      <w:r>
        <w:rPr>
          <w:rFonts w:ascii="Times New Roman" w:cs="Times New Roman" w:eastAsia="Times New Roman" w:hAnsi="Times New Roman"/>
          <w:sz w:val="17"/>
          <w:szCs w:val="17"/>
          <w:i w:val="1"/>
          <w:iCs w:val="1"/>
          <w:color w:val="auto"/>
        </w:rPr>
        <w:t>Description of Securities—Warrants—Public Stockholders’ Warrants</w:t>
      </w:r>
      <w:r>
        <w:rPr>
          <w:rFonts w:ascii="Times New Roman" w:cs="Times New Roman" w:eastAsia="Times New Roman" w:hAnsi="Times New Roman"/>
          <w:sz w:val="17"/>
          <w:szCs w:val="17"/>
          <w:color w:val="auto"/>
        </w:rPr>
        <w:t>” in our prospectus filed with the SEC on April 6, 2022. If and when the Warrants become redeemable by us, we may exercise our redemption right even if we are unable to register or qualify the underlying securities for sale under all applicable state securities laws. Redemption of the outstanding Warrants could force the Warrant holders (i) to exercise their Warrants and pay the exercise price therefor at a time when it may be disadvantageous for them to do so, (ii) to sell their Warrants at the then-current market price when they might otherwise wish to hold their Warrants or (iii) to accept the nominal redemption price which, at the time the outstanding Warrants are called for redemption, is likely to be substantially less than the market value of their Warrants. None of the Private Placement Warrants will be redeemable by us so long as they are held by the initial purchasers or their permitted transferees, subject to certain exceptions.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Warrants are exercisable for Common Stock, and their exercise would increase the number of shares eligible for future resale in the public market and result in dilution to our stockholders</w:t>
      </w:r>
      <w:r>
        <w:rPr>
          <w:rFonts w:ascii="Times New Roman" w:cs="Times New Roman" w:eastAsia="Times New Roman" w:hAnsi="Times New Roman"/>
          <w:sz w:val="18"/>
          <w:szCs w:val="18"/>
          <w:i w:val="1"/>
          <w:iCs w:val="1"/>
          <w:color w:val="auto"/>
        </w:rPr>
        <w:t>.</w:t>
      </w:r>
    </w:p>
    <w:p>
      <w:pPr>
        <w:spacing w:after="0" w:line="1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currently have outstanding Public Warrants to purchase approximately 13,806,340 shares of Common Stock at $11.50 per share and Private Placement Warrants to purchase 6,743,113 shares at $11.50 per share. The shares of Common Stock issued upon exercise of our Warrants will result in dilution to the then existing holders of Common Stock and increase the number of shares eligible for resale in the public market. Sales of substantial numbers of such shares in the public market could adversely affect the market price of our Common Stock or Public Warrants.</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except that, so long as they are held by the initial purchasers or their permitted transferees, (i) they will not be redeemable by us subject to certain exceptions, (ii) they may be exercised by the holders on a cashless basis and (iii) they are subject to registration rights.</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Charter and Bylaws, as well as provisions of Delaware law, could impair a takeover attempt, which could limit the price investors might be willing to pay in the future for our Common Stock</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(the “Charter”) and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4" w:name="page65"/>
    <w:bookmarkEnd w:id="64"/>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board of directors (pursuant to a majority vote of the whole board), the chairperson of the board of directors, or the Chief Executive Officer may call a special meeting;</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vote of at least 66-2/3% required to remove a director for “cause”;</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vote of at least 66-2/3% required to approve certain amendments to the Charter and Bylaws;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Delaware and federal courts as the exclusive forums for certain disputes.</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Bylaws provide, to the fullest extent permitted by law, that internal corporate claims may be brought only in the Court of Chancery in the State of Delaware (or, if the Court of Chancery does not have, or declines to accept, jurisdiction, another state court or a federal court located within the State of Delaware). In addition, our Bylaws provide that the federal district courts of the United States will be the exclusive forum for resolving any complaint asserting a cause of action arising under the Securities Act. This forum selection provision will not apply to claims brought to enforce a duty or liability created by the Exchange Act. Any person or entity purchasing or otherwise acquiring or holding any interest in our stock shall be deemed to have notice of and consented to the forum provision in our Bylaws.</w:t>
      </w:r>
    </w:p>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Bylaws to be inapplicable or unenforceable in an action, we may incur additional costs associated with resolving such action in other jurisdictions, which could harm our business, operating results and financial condition.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Accordingly, there is uncertainty as to whether a court would enforce such a forum selection provision as written in connection with claims arising under the Securities Act.</w:t>
      </w:r>
    </w:p>
    <w:p>
      <w:pPr>
        <w:spacing w:after="0" w:line="18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January 20, 2026, the fifth anniversary of Rotor’s initial public offering, (b) in which we have total annual gross revenue of at least $1.07 billion or (c) in which we are deemed to be a large accelerated filer, which means the market value of our Common Stock and Public Warrants that is held by non-affiliates exceeds $700 million as of the last business day of our prior second fiscal quarter, and (ii) the date on which we have issued more than $1.0 billion in non-convertible debt during the prior three-year period.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the price of our Common Stock may be more volatile. We had total revenues during calendar year 2021 of approximately $5.1 million. If we continue to expand our business through acquisitions and/or grow revenues organically post-Business Combination, we may cease to be an emerging growth company prior to January 20, 2026.</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5" w:name="page66"/>
    <w:bookmarkEnd w:id="65"/>
    <w:p>
      <w:pPr>
        <w:jc w:val="both"/>
        <w:spacing w:after="0" w:line="244"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predict if investors will find our Common Stock or Public Warrants less attractive because we will rely on these exemptions. If some investors find our Common Stock or Public Warrants less attractive as a result, there may be a less active trading market for our Common Stock or Public Warrants and more stock price volatility..</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44"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40" w:type="dxa"/>
            <w:vAlign w:val="bottom"/>
            <w:gridSpan w:val="28"/>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340" w:type="dxa"/>
            <w:vAlign w:val="bottom"/>
            <w:gridSpan w:val="2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highlight w:val="white"/>
                <w:w w:val="97"/>
              </w:rPr>
              <w:t>2.1</w:t>
            </w: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200" w:type="dxa"/>
            <w:vAlign w:val="bottom"/>
            <w:tcBorders>
              <w:top w:val="single" w:sz="8" w:color="auto"/>
            </w:tcBorders>
            <w:gridSpan w:val="34"/>
          </w:tcPr>
          <w:p>
            <w:pPr>
              <w:spacing w:after="0" w:line="15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Merger Agreement, dated March 27, 2022, by and among Sarcos Technology and Robotics Corporation, Spiral Merger Sub I, Inc., Spiral</w:t>
              </w:r>
            </w:hyperlink>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tcBorders>
              <w:top w:val="single" w:sz="8" w:color="0000FF"/>
              <w:bottom w:val="single" w:sz="8" w:color="0000FF"/>
            </w:tcBorders>
            <w:gridSpan w:val="26"/>
          </w:tcPr>
          <w:p>
            <w:pPr>
              <w:spacing w:after="0" w:line="169" w:lineRule="exact"/>
              <w:rPr>
                <w:rFonts w:ascii="Times New Roman" w:cs="Times New Roman" w:eastAsia="Times New Roman" w:hAnsi="Times New Roman"/>
                <w:sz w:val="18"/>
                <w:szCs w:val="18"/>
                <w:color w:val="0000FF"/>
                <w:w w:val="97"/>
              </w:rPr>
            </w:pPr>
            <w:hyperlink r:id="rId223">
              <w:r>
                <w:rPr>
                  <w:rFonts w:ascii="Times New Roman" w:cs="Times New Roman" w:eastAsia="Times New Roman" w:hAnsi="Times New Roman"/>
                  <w:sz w:val="18"/>
                  <w:szCs w:val="18"/>
                  <w:color w:val="0000FF"/>
                  <w:w w:val="97"/>
                </w:rPr>
                <w:t>Merger Sub II, LLC, RE2, Inc. and Draper Triangle Ventures III, LP, solely in its capacity as the agent for and on behalf of the shareholders</w:t>
              </w:r>
            </w:hyperlink>
          </w:p>
        </w:tc>
        <w:tc>
          <w:tcPr>
            <w:tcW w:w="40" w:type="dxa"/>
            <w:vAlign w:val="bottom"/>
            <w:tcBorders>
              <w:bottom w:val="single" w:sz="8" w:color="0000FF"/>
            </w:tcBorders>
          </w:tcPr>
          <w:p>
            <w:pPr>
              <w:spacing w:after="0"/>
              <w:rPr>
                <w:sz w:val="14"/>
                <w:szCs w:val="14"/>
                <w:color w:val="auto"/>
              </w:rPr>
            </w:pPr>
          </w:p>
        </w:tc>
        <w:tc>
          <w:tcPr>
            <w:tcW w:w="8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gridSpan w:val="30"/>
          </w:tcPr>
          <w:p>
            <w:pPr>
              <w:spacing w:after="0" w:line="169"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of RE2 under the Merger Agreement (incorporated by reference to the Company’s Current Report on Form 8-K filed with the SEC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7"/>
              </w:rPr>
              <w:t>3.1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2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March 29, 2022).</w:t>
              </w:r>
            </w:hyperlink>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Borders>
              <w:top w:val="single" w:sz="8" w:color="0000FF"/>
            </w:tcBorders>
            <w:gridSpan w:val="3"/>
          </w:tcPr>
          <w:p>
            <w:pPr>
              <w:spacing w:after="0" w:line="182" w:lineRule="exact"/>
              <w:rPr>
                <w:rFonts w:ascii="Times New Roman" w:cs="Times New Roman" w:eastAsia="Times New Roman" w:hAnsi="Times New Roman"/>
                <w:sz w:val="18"/>
                <w:szCs w:val="18"/>
                <w:color w:val="0000FF"/>
                <w:w w:val="95"/>
              </w:rPr>
            </w:pPr>
            <w:hyperlink r:id="rId224">
              <w:r>
                <w:rPr>
                  <w:rFonts w:ascii="Times New Roman" w:cs="Times New Roman" w:eastAsia="Times New Roman" w:hAnsi="Times New Roman"/>
                  <w:sz w:val="18"/>
                  <w:szCs w:val="18"/>
                  <w:color w:val="0000FF"/>
                  <w:w w:val="95"/>
                </w:rPr>
                <w:t>Second Amended</w:t>
              </w:r>
            </w:hyperlink>
          </w:p>
        </w:tc>
        <w:tc>
          <w:tcPr>
            <w:tcW w:w="20" w:type="dxa"/>
            <w:vAlign w:val="bottom"/>
            <w:tcBorders>
              <w:top w:val="single" w:sz="8" w:color="0000EE"/>
            </w:tcBorders>
          </w:tcPr>
          <w:p>
            <w:pPr>
              <w:spacing w:after="0"/>
              <w:rPr>
                <w:sz w:val="15"/>
                <w:szCs w:val="15"/>
                <w:color w:val="auto"/>
              </w:rPr>
            </w:pPr>
          </w:p>
        </w:tc>
        <w:tc>
          <w:tcPr>
            <w:tcW w:w="8940" w:type="dxa"/>
            <w:vAlign w:val="bottom"/>
            <w:gridSpan w:val="30"/>
          </w:tcPr>
          <w:p>
            <w:pPr>
              <w:ind w:left="60"/>
              <w:spacing w:after="0" w:line="182"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and Restated Certificate of Incorporation of Sarcos Technology and Robotics Corporation (incorporated by reference to</w:t>
              </w:r>
            </w:hyperlink>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7"/>
              </w:rPr>
              <w:t>3.2</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Exhibit 3.1 to the Company’s Current Report on Form 8-K, filed with the SEC on September 30, 2021).</w:t>
              </w:r>
            </w:hyperlink>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34"/>
          </w:tcPr>
          <w:p>
            <w:pPr>
              <w:spacing w:after="0" w:line="182"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Amended and Restated Bylaws of Sarcos Technology and Robotics Corporation (incorporated by reference to Exhibit 3.1 to the Company’s</w:t>
              </w:r>
            </w:hyperlink>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7"/>
              </w:rPr>
              <w:t>4.1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8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Current Report on Form 8-K filed with the SEC on April 27, 2022).</w:t>
              </w:r>
            </w:hyperlink>
          </w:p>
        </w:tc>
        <w:tc>
          <w:tcPr>
            <w:tcW w:w="20" w:type="dxa"/>
            <w:vAlign w:val="bottom"/>
            <w:tcBorders>
              <w:top w:val="single" w:sz="8" w:color="0000FF"/>
              <w:bottom w:val="single" w:sz="8" w:color="0000EE"/>
            </w:tcBorders>
          </w:tcPr>
          <w:p>
            <w:pPr>
              <w:spacing w:after="0"/>
              <w:rPr>
                <w:sz w:val="14"/>
                <w:szCs w:val="14"/>
                <w:color w:val="auto"/>
              </w:rPr>
            </w:pPr>
          </w:p>
        </w:tc>
        <w:tc>
          <w:tcPr>
            <w:tcW w:w="522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34"/>
          </w:tcPr>
          <w:p>
            <w:pPr>
              <w:spacing w:after="0" w:line="182"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Registration Rights Agreement, dated March 27, 2022, by and among Sarcos Technology and Robotics Corporation and Draper Triangle</w:t>
              </w:r>
            </w:hyperlink>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Ventures III, LP, in its capacity as the agent for and on behalf of the shareholders of RE under the Merger Agreement (incorporated by</w:t>
              </w:r>
            </w:hyperlink>
          </w:p>
        </w:tc>
        <w:tc>
          <w:tcPr>
            <w:tcW w:w="1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reference to the Company’s Current Report on Form 8-K filed with the SEC on March 29, 2022).</w:t>
              </w:r>
            </w:hyperlink>
          </w:p>
        </w:tc>
        <w:tc>
          <w:tcPr>
            <w:tcW w:w="1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2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34"/>
          </w:tcPr>
          <w:p>
            <w:pPr>
              <w:spacing w:after="0" w:line="182"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Form of Lock-up Agreement with RE2 employee securityholders (incorporated by reference to the Company’s Current Report on Form 8-K</w:t>
              </w:r>
            </w:hyperlink>
          </w:p>
        </w:tc>
        <w:tc>
          <w:tcPr>
            <w:tcW w:w="0" w:type="dxa"/>
            <w:vAlign w:val="bottom"/>
          </w:tcPr>
          <w:p>
            <w:pPr>
              <w:spacing w:after="0"/>
              <w:rPr>
                <w:sz w:val="1"/>
                <w:szCs w:val="1"/>
                <w:color w:val="auto"/>
              </w:rPr>
            </w:pPr>
          </w:p>
        </w:tc>
      </w:tr>
      <w:tr>
        <w:trPr>
          <w:trHeight w:val="169"/>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filed with the SEC on March 29, 2022).</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tcBorders>
              <w:top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w w:val="95"/>
              </w:rPr>
              <w:t>Employment Agreement, dated February</w:t>
            </w:r>
          </w:p>
        </w:tc>
        <w:tc>
          <w:tcPr>
            <w:tcW w:w="20" w:type="dxa"/>
            <w:vAlign w:val="bottom"/>
            <w:tcBorders>
              <w:top w:val="single" w:sz="8" w:color="0000EE"/>
            </w:tcBorders>
          </w:tcPr>
          <w:p>
            <w:pPr>
              <w:spacing w:after="0"/>
              <w:rPr>
                <w:sz w:val="15"/>
                <w:szCs w:val="15"/>
                <w:color w:val="auto"/>
              </w:rPr>
            </w:pPr>
          </w:p>
        </w:tc>
        <w:tc>
          <w:tcPr>
            <w:tcW w:w="7340" w:type="dxa"/>
            <w:vAlign w:val="bottom"/>
            <w:gridSpan w:val="28"/>
          </w:tcPr>
          <w:p>
            <w:pPr>
              <w:ind w:left="120"/>
              <w:spacing w:after="0" w:line="182" w:lineRule="exact"/>
              <w:rPr>
                <w:sz w:val="20"/>
                <w:szCs w:val="20"/>
                <w:color w:val="auto"/>
              </w:rPr>
            </w:pPr>
            <w:r>
              <w:rPr>
                <w:rFonts w:ascii="Times New Roman" w:cs="Times New Roman" w:eastAsia="Times New Roman" w:hAnsi="Times New Roman"/>
                <w:sz w:val="18"/>
                <w:szCs w:val="18"/>
                <w:color w:val="0000FF"/>
              </w:rPr>
              <w:t>24, 2022, between Denis Garagic and the Company.</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40" w:type="dxa"/>
            <w:vAlign w:val="bottom"/>
            <w:tcBorders>
              <w:top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Form of Restricted Stock Agreement under the 2021 Equity Incentive Plan (incorporated by</w:t>
              </w:r>
            </w:hyperlink>
          </w:p>
        </w:tc>
        <w:tc>
          <w:tcPr>
            <w:tcW w:w="3460" w:type="dxa"/>
            <w:vAlign w:val="bottom"/>
            <w:gridSpan w:val="21"/>
          </w:tcPr>
          <w:p>
            <w:pPr>
              <w:spacing w:after="0" w:line="182"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reference to Exhibit 99.1 to the Company's</w:t>
              </w:r>
            </w:hyperlink>
          </w:p>
        </w:tc>
        <w:tc>
          <w:tcPr>
            <w:tcW w:w="0" w:type="dxa"/>
            <w:vAlign w:val="bottom"/>
          </w:tcPr>
          <w:p>
            <w:pPr>
              <w:spacing w:after="0"/>
              <w:rPr>
                <w:sz w:val="1"/>
                <w:szCs w:val="1"/>
                <w:color w:val="auto"/>
              </w:rPr>
            </w:pPr>
          </w:p>
        </w:tc>
      </w:tr>
      <w:tr>
        <w:trPr>
          <w:trHeight w:val="169"/>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Current Report on Form 8-K filed with the SEC on March 31. 2022).</w:t>
              </w:r>
            </w:hyperlink>
          </w:p>
        </w:tc>
        <w:tc>
          <w:tcPr>
            <w:tcW w:w="60" w:type="dxa"/>
            <w:vAlign w:val="bottom"/>
          </w:tcPr>
          <w:p>
            <w:pPr>
              <w:spacing w:after="0"/>
              <w:rPr>
                <w:sz w:val="14"/>
                <w:szCs w:val="14"/>
                <w:color w:val="auto"/>
              </w:rPr>
            </w:pPr>
          </w:p>
        </w:tc>
        <w:tc>
          <w:tcPr>
            <w:tcW w:w="18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tcBorders>
              <w:right w:val="single" w:sz="8" w:color="0000EE"/>
            </w:tcBorders>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34"/>
          </w:tcPr>
          <w:p>
            <w:pPr>
              <w:spacing w:after="0" w:line="182"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Employment Agreement, dated March 27, 2022, between Jorgen Pedersen, Sarcos Corp. and the Company (incorporated by reference to</w:t>
              </w:r>
            </w:hyperlink>
          </w:p>
        </w:tc>
        <w:tc>
          <w:tcPr>
            <w:tcW w:w="0" w:type="dxa"/>
            <w:vAlign w:val="bottom"/>
          </w:tcPr>
          <w:p>
            <w:pPr>
              <w:spacing w:after="0"/>
              <w:rPr>
                <w:sz w:val="1"/>
                <w:szCs w:val="1"/>
                <w:color w:val="auto"/>
              </w:rPr>
            </w:pPr>
          </w:p>
        </w:tc>
      </w:tr>
      <w:tr>
        <w:trPr>
          <w:trHeight w:val="169"/>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Exhibit 10.1 to the Company’s Current Report on Form 8-K, filed with the SEC on April 27, 2022.)</w:t>
              </w:r>
            </w:hyperlink>
          </w:p>
        </w:tc>
        <w:tc>
          <w:tcPr>
            <w:tcW w:w="18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tcBorders>
              <w:right w:val="single" w:sz="8" w:color="0000FF"/>
            </w:tcBorders>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gridSpan w:val="3"/>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34"/>
          </w:tcPr>
          <w:p>
            <w:pPr>
              <w:spacing w:after="0" w:line="182"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Noncompetition and Nonsolicitation Agreement, dated March 27, 2022, between Jorgen Pedersen and the Company (incorporated by</w:t>
              </w:r>
            </w:hyperlink>
          </w:p>
        </w:tc>
        <w:tc>
          <w:tcPr>
            <w:tcW w:w="0" w:type="dxa"/>
            <w:vAlign w:val="bottom"/>
          </w:tcPr>
          <w:p>
            <w:pPr>
              <w:spacing w:after="0"/>
              <w:rPr>
                <w:sz w:val="1"/>
                <w:szCs w:val="1"/>
                <w:color w:val="auto"/>
              </w:rPr>
            </w:pPr>
          </w:p>
        </w:tc>
      </w:tr>
      <w:tr>
        <w:trPr>
          <w:trHeight w:val="169"/>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reference to Exhibit 10.2 to the Company’s Current Report on Form 8-K, filed with the SEC on April 27, 2022.)</w:t>
              </w:r>
            </w:hyperlink>
          </w:p>
        </w:tc>
        <w:tc>
          <w:tcPr>
            <w:tcW w:w="20" w:type="dxa"/>
            <w:vAlign w:val="bottom"/>
          </w:tcPr>
          <w:p>
            <w:pPr>
              <w:spacing w:after="0"/>
              <w:rPr>
                <w:sz w:val="14"/>
                <w:szCs w:val="14"/>
                <w:color w:val="auto"/>
              </w:rPr>
            </w:pPr>
          </w:p>
        </w:tc>
        <w:tc>
          <w:tcPr>
            <w:tcW w:w="380" w:type="dxa"/>
            <w:vAlign w:val="bottom"/>
            <w:gridSpan w:val="8"/>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60" w:type="dxa"/>
            <w:vAlign w:val="bottom"/>
            <w:tcBorders>
              <w:top w:val="single" w:sz="8" w:color="0000FF"/>
            </w:tcBorders>
            <w:gridSpan w:val="17"/>
          </w:tcPr>
          <w:p>
            <w:pPr>
              <w:spacing w:after="0" w:line="182" w:lineRule="exact"/>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Redemption Rights Agreement, dated April 25, 2022, between Jorgen Pedersen and the Company (incorporated</w:t>
              </w:r>
            </w:hyperlink>
          </w:p>
        </w:tc>
        <w:tc>
          <w:tcPr>
            <w:tcW w:w="2140" w:type="dxa"/>
            <w:vAlign w:val="bottom"/>
            <w:gridSpan w:val="17"/>
          </w:tcPr>
          <w:p>
            <w:pPr>
              <w:ind w:left="40"/>
              <w:spacing w:after="0" w:line="182"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by reference to Exhibit 10.3</w:t>
              </w:r>
            </w:hyperlink>
          </w:p>
        </w:tc>
        <w:tc>
          <w:tcPr>
            <w:tcW w:w="0" w:type="dxa"/>
            <w:vAlign w:val="bottom"/>
          </w:tcPr>
          <w:p>
            <w:pPr>
              <w:spacing w:after="0"/>
              <w:rPr>
                <w:sz w:val="1"/>
                <w:szCs w:val="1"/>
                <w:color w:val="auto"/>
              </w:rPr>
            </w:pPr>
          </w:p>
        </w:tc>
      </w:tr>
      <w:tr>
        <w:trPr>
          <w:trHeight w:val="169"/>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to the Company’s Current Report on Form 8-K, filed with the SEC on April 27, 2022.)</w:t>
              </w:r>
            </w:hyperlink>
          </w:p>
        </w:tc>
        <w:tc>
          <w:tcPr>
            <w:tcW w:w="20" w:type="dxa"/>
            <w:vAlign w:val="bottom"/>
            <w:tcBorders>
              <w:top w:val="single" w:sz="8" w:color="0000FF"/>
              <w:bottom w:val="single" w:sz="8" w:color="0000EE"/>
            </w:tcBorders>
          </w:tcPr>
          <w:p>
            <w:pPr>
              <w:spacing w:after="0"/>
              <w:rPr>
                <w:sz w:val="14"/>
                <w:szCs w:val="14"/>
                <w:color w:val="auto"/>
              </w:rPr>
            </w:pPr>
          </w:p>
        </w:tc>
        <w:tc>
          <w:tcPr>
            <w:tcW w:w="3900" w:type="dxa"/>
            <w:vAlign w:val="bottom"/>
            <w:tcBorders>
              <w:top w:val="single" w:sz="8" w:color="0000FF"/>
            </w:tcBorders>
            <w:gridSpan w:val="21"/>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6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w:t>
            </w:r>
          </w:p>
        </w:tc>
        <w:tc>
          <w:tcPr>
            <w:tcW w:w="3940" w:type="dxa"/>
            <w:vAlign w:val="bottom"/>
            <w:gridSpan w:val="22"/>
          </w:tcPr>
          <w:p>
            <w:pPr>
              <w:ind w:left="20"/>
              <w:spacing w:after="0" w:line="182"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0" w:type="dxa"/>
            <w:vAlign w:val="bottom"/>
          </w:tcPr>
          <w:p>
            <w:pPr>
              <w:spacing w:after="0"/>
              <w:rPr>
                <w:sz w:val="1"/>
                <w:szCs w:val="1"/>
                <w:color w:val="auto"/>
              </w:rPr>
            </w:pPr>
          </w:p>
        </w:tc>
      </w:tr>
      <w:tr>
        <w:trPr>
          <w:trHeight w:val="169"/>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4660" w:type="dxa"/>
            <w:vAlign w:val="bottom"/>
            <w:tcBorders>
              <w:top w:val="single" w:sz="8" w:color="0000FF"/>
            </w:tcBorders>
            <w:gridSpan w:val="10"/>
          </w:tcPr>
          <w:p>
            <w:pPr>
              <w:spacing w:after="0"/>
              <w:rPr>
                <w:sz w:val="14"/>
                <w:szCs w:val="14"/>
                <w:color w:val="auto"/>
              </w:rPr>
            </w:pPr>
          </w:p>
        </w:tc>
        <w:tc>
          <w:tcPr>
            <w:tcW w:w="380" w:type="dxa"/>
            <w:vAlign w:val="bottom"/>
            <w:gridSpan w:val="8"/>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34"/>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4600" w:type="dxa"/>
            <w:vAlign w:val="bottom"/>
            <w:tcBorders>
              <w:top w:val="single" w:sz="8" w:color="0000FF"/>
            </w:tcBorders>
            <w:gridSpan w:val="8"/>
          </w:tcPr>
          <w:p>
            <w:pPr>
              <w:spacing w:after="0"/>
              <w:rPr>
                <w:sz w:val="14"/>
                <w:szCs w:val="14"/>
                <w:color w:val="auto"/>
              </w:rPr>
            </w:pPr>
          </w:p>
        </w:tc>
        <w:tc>
          <w:tcPr>
            <w:tcW w:w="440" w:type="dxa"/>
            <w:vAlign w:val="bottom"/>
            <w:gridSpan w:val="10"/>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34"/>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top w:val="single" w:sz="8" w:color="0000FF"/>
              <w:bottom w:val="single" w:sz="8" w:color="0000EE"/>
            </w:tcBorders>
          </w:tcPr>
          <w:p>
            <w:pPr>
              <w:spacing w:after="0"/>
              <w:rPr>
                <w:sz w:val="14"/>
                <w:szCs w:val="14"/>
                <w:color w:val="auto"/>
              </w:rPr>
            </w:pPr>
          </w:p>
        </w:tc>
        <w:tc>
          <w:tcPr>
            <w:tcW w:w="9160" w:type="dxa"/>
            <w:vAlign w:val="bottom"/>
            <w:tcBorders>
              <w:top w:val="single" w:sz="8" w:color="0000FF"/>
            </w:tcBorders>
            <w:gridSpan w:val="27"/>
          </w:tcPr>
          <w:p>
            <w:pPr>
              <w:spacing w:after="0"/>
              <w:rPr>
                <w:sz w:val="14"/>
                <w:szCs w:val="14"/>
                <w:color w:val="auto"/>
              </w:rPr>
            </w:pPr>
          </w:p>
        </w:tc>
        <w:tc>
          <w:tcPr>
            <w:tcW w:w="12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Certification</w:t>
            </w:r>
          </w:p>
        </w:tc>
        <w:tc>
          <w:tcPr>
            <w:tcW w:w="9280" w:type="dxa"/>
            <w:vAlign w:val="bottom"/>
            <w:gridSpan w:val="32"/>
          </w:tcPr>
          <w:p>
            <w:pPr>
              <w:ind w:left="20"/>
              <w:spacing w:after="0" w:line="182" w:lineRule="exact"/>
              <w:rPr>
                <w:sz w:val="20"/>
                <w:szCs w:val="20"/>
                <w:color w:val="auto"/>
              </w:rPr>
            </w:pPr>
            <w:r>
              <w:rPr>
                <w:rFonts w:ascii="Times New Roman" w:cs="Times New Roman" w:eastAsia="Times New Roman" w:hAnsi="Times New Roman"/>
                <w:sz w:val="18"/>
                <w:szCs w:val="18"/>
                <w:color w:val="0000FF"/>
              </w:rPr>
              <w:t>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top w:val="single" w:sz="8" w:color="0000FF"/>
              <w:bottom w:val="single" w:sz="8" w:color="0000EE"/>
            </w:tcBorders>
          </w:tcPr>
          <w:p>
            <w:pPr>
              <w:spacing w:after="0"/>
              <w:rPr>
                <w:sz w:val="14"/>
                <w:szCs w:val="14"/>
                <w:color w:val="auto"/>
              </w:rPr>
            </w:pPr>
          </w:p>
        </w:tc>
        <w:tc>
          <w:tcPr>
            <w:tcW w:w="9120" w:type="dxa"/>
            <w:vAlign w:val="bottom"/>
            <w:tcBorders>
              <w:top w:val="single" w:sz="8" w:color="0000FF"/>
            </w:tcBorders>
            <w:gridSpan w:val="26"/>
          </w:tcPr>
          <w:p>
            <w:pPr>
              <w:spacing w:after="0"/>
              <w:rPr>
                <w:sz w:val="14"/>
                <w:szCs w:val="14"/>
                <w:color w:val="auto"/>
              </w:rPr>
            </w:pPr>
          </w:p>
        </w:tc>
        <w:tc>
          <w:tcPr>
            <w:tcW w:w="16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w w:val="95"/>
              </w:rPr>
              <w:t>Inline XBRL</w:t>
            </w:r>
          </w:p>
        </w:tc>
        <w:tc>
          <w:tcPr>
            <w:tcW w:w="9280" w:type="dxa"/>
            <w:vAlign w:val="bottom"/>
            <w:gridSpan w:val="32"/>
          </w:tcPr>
          <w:p>
            <w:pPr>
              <w:ind w:left="60"/>
              <w:spacing w:after="0" w:line="177" w:lineRule="exact"/>
              <w:rPr>
                <w:sz w:val="20"/>
                <w:szCs w:val="20"/>
                <w:color w:val="auto"/>
              </w:rPr>
            </w:pPr>
            <w:r>
              <w:rPr>
                <w:rFonts w:ascii="Times New Roman" w:cs="Times New Roman" w:eastAsia="Times New Roman" w:hAnsi="Times New Roman"/>
                <w:sz w:val="18"/>
                <w:szCs w:val="18"/>
                <w:color w:val="auto"/>
              </w:rPr>
              <w:t>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4"/>
          </w:tcPr>
          <w:p>
            <w:pPr>
              <w:spacing w:after="0" w:line="202" w:lineRule="exact"/>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03"/>
        </w:trPr>
        <w:tc>
          <w:tcPr>
            <w:tcW w:w="9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4"/>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9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4"/>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9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4"/>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9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4"/>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3"/>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-4612640</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right="4420" w:firstLine="21"/>
        <w:spacing w:after="0" w:line="450" w:lineRule="auto"/>
        <w:tabs>
          <w:tab w:leader="none" w:pos="102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ind w:left="520" w:right="140" w:hanging="512"/>
        <w:spacing w:after="0" w:line="250" w:lineRule="auto"/>
        <w:tabs>
          <w:tab w:leader="none" w:pos="46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Quarterly Report on Form 10-Q are not deemed filed with the Securities and Exchange Commission and are not to be incorporated by reference into any filing of Sarcos Technology and Robotics Corporation under the Securities Act of 1933, as amended, or the Securities Exchange Act of 1934, as amended, whether made before or after the date of this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-809625</wp:posOffset>
            </wp:positionV>
            <wp:extent cx="95123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68" w:name="page69"/>
    <w:bookmarkEnd w:id="6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8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160"/>
          </w:cols>
          <w:pgMar w:left="320" w:top="32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May 11, 2022</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May 11, 2022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SARCOS TECHNOLOGY AND ROBOTICS CORPORATION</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By: /s/ Kiva A. Allgood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17145</wp:posOffset>
            </wp:positionV>
            <wp:extent cx="330898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Kiva A. Allgood</w:t>
      </w:r>
    </w:p>
    <w:p>
      <w:pPr>
        <w:ind w:left="500"/>
        <w:spacing w:after="0"/>
        <w:rPr>
          <w:sz w:val="20"/>
          <w:szCs w:val="20"/>
          <w:color w:val="auto"/>
        </w:rPr>
      </w:pPr>
      <w:r>
        <w:rPr>
          <w:rFonts w:ascii="Times New Roman" w:cs="Times New Roman" w:eastAsia="Times New Roman" w:hAnsi="Times New Roman"/>
          <w:sz w:val="17"/>
          <w:szCs w:val="17"/>
          <w:b w:val="1"/>
          <w:bCs w:val="1"/>
          <w:color w:val="auto"/>
        </w:rPr>
        <w:t>President and Chief Executive Officer (</w:t>
      </w:r>
      <w:r>
        <w:rPr>
          <w:rFonts w:ascii="Times New Roman" w:cs="Times New Roman" w:eastAsia="Times New Roman" w:hAnsi="Times New Roman"/>
          <w:sz w:val="17"/>
          <w:szCs w:val="17"/>
          <w:b w:val="1"/>
          <w:bCs w:val="1"/>
          <w:i w:val="1"/>
          <w:iCs w:val="1"/>
          <w:color w:val="auto"/>
        </w:rPr>
        <w:t>Principal Executive Officer</w:t>
      </w:r>
      <w:r>
        <w:rPr>
          <w:rFonts w:ascii="Times New Roman" w:cs="Times New Roman" w:eastAsia="Times New Roman" w:hAnsi="Times New Roman"/>
          <w:sz w:val="17"/>
          <w:szCs w:val="17"/>
          <w:b w:val="1"/>
          <w:bCs w:val="1"/>
          <w:color w:val="auto"/>
        </w:rPr>
        <w:t>)</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By: /s/ Steven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17145</wp:posOffset>
            </wp:positionV>
            <wp:extent cx="330898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Steven Hansen</w:t>
      </w:r>
    </w:p>
    <w:p>
      <w:pPr>
        <w:ind w:left="500"/>
        <w:spacing w:after="0" w:line="219" w:lineRule="auto"/>
        <w:rPr>
          <w:sz w:val="20"/>
          <w:szCs w:val="20"/>
          <w:color w:val="auto"/>
        </w:rPr>
      </w:pPr>
      <w:r>
        <w:rPr>
          <w:rFonts w:ascii="Times New Roman" w:cs="Times New Roman" w:eastAsia="Times New Roman" w:hAnsi="Times New Roman"/>
          <w:sz w:val="18"/>
          <w:szCs w:val="18"/>
          <w:b w:val="1"/>
          <w:bCs w:val="1"/>
          <w:color w:val="auto"/>
        </w:rPr>
        <w:t>Chief Financial Officer (Principal Financial and Accounting</w:t>
      </w:r>
    </w:p>
    <w:p>
      <w:pPr>
        <w:ind w:left="500"/>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64770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20" w:space="720"/>
            <w:col w:w="5620"/>
          </w:cols>
          <w:pgMar w:left="320" w:top="320" w:right="419" w:bottom="1440" w:gutter="0" w:footer="0" w:header="0"/>
          <w:type w:val="continuous"/>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SARCOS CORP.</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PROMOTION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1F1F"/>
        </w:rPr>
        <w:t>Date: 02/24/2022</w:t>
      </w:r>
    </w:p>
    <w:p>
      <w:pPr>
        <w:spacing w:after="0" w:line="19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221F1F"/>
        </w:rPr>
        <w:t>To:</w:t>
        <w:tab/>
        <w:t>Denis Garagic</w:t>
      </w:r>
    </w:p>
    <w:p>
      <w:pPr>
        <w:spacing w:after="0" w:line="21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221F1F"/>
        </w:rPr>
        <w:t>Re:</w:t>
        <w:tab/>
        <w:t>Position/Title/Leader &amp; Salary Change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1F1F"/>
        </w:rPr>
        <w:t>Dear Denis,</w:t>
      </w:r>
    </w:p>
    <w:p>
      <w:pPr>
        <w:spacing w:after="0" w:line="19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221F1F"/>
        </w:rPr>
        <w:t xml:space="preserve">On behalf of Sarcos Corp. ("Sarcos"), I am pleased to provide you with the following change of position &amp; salary. Your new position/title will be </w:t>
      </w:r>
      <w:r>
        <w:rPr>
          <w:rFonts w:ascii="Times New Roman" w:cs="Times New Roman" w:eastAsia="Times New Roman" w:hAnsi="Times New Roman"/>
          <w:sz w:val="18"/>
          <w:szCs w:val="18"/>
          <w:b w:val="1"/>
          <w:bCs w:val="1"/>
          <w:color w:val="221F1F"/>
        </w:rPr>
        <w:t>Chief</w:t>
      </w:r>
      <w:r>
        <w:rPr>
          <w:rFonts w:ascii="Times New Roman" w:cs="Times New Roman" w:eastAsia="Times New Roman" w:hAnsi="Times New Roman"/>
          <w:sz w:val="18"/>
          <w:szCs w:val="18"/>
          <w:color w:val="221F1F"/>
        </w:rPr>
        <w:t xml:space="preserve"> </w:t>
      </w:r>
      <w:r>
        <w:rPr>
          <w:rFonts w:ascii="Times New Roman" w:cs="Times New Roman" w:eastAsia="Times New Roman" w:hAnsi="Times New Roman"/>
          <w:sz w:val="18"/>
          <w:szCs w:val="18"/>
          <w:b w:val="1"/>
          <w:bCs w:val="1"/>
          <w:color w:val="221F1F"/>
        </w:rPr>
        <w:t>Technology Officer</w:t>
      </w:r>
      <w:r>
        <w:rPr>
          <w:rFonts w:ascii="Times New Roman" w:cs="Times New Roman" w:eastAsia="Times New Roman" w:hAnsi="Times New Roman"/>
          <w:sz w:val="18"/>
          <w:szCs w:val="18"/>
          <w:color w:val="221F1F"/>
        </w:rPr>
        <w:t>. Your new leader and person to report to will be</w:t>
      </w:r>
      <w:r>
        <w:rPr>
          <w:rFonts w:ascii="Times New Roman" w:cs="Times New Roman" w:eastAsia="Times New Roman" w:hAnsi="Times New Roman"/>
          <w:sz w:val="18"/>
          <w:szCs w:val="18"/>
          <w:b w:val="1"/>
          <w:bCs w:val="1"/>
          <w:color w:val="221F1F"/>
        </w:rPr>
        <w:t xml:space="preserve"> Kiva Allgood, </w:t>
      </w:r>
      <w:r>
        <w:rPr>
          <w:rFonts w:ascii="Times New Roman" w:cs="Times New Roman" w:eastAsia="Times New Roman" w:hAnsi="Times New Roman"/>
          <w:sz w:val="18"/>
          <w:szCs w:val="18"/>
          <w:color w:val="221F1F"/>
        </w:rPr>
        <w:t>CEO of Sarcos. This is a</w:t>
      </w:r>
      <w:r>
        <w:rPr>
          <w:rFonts w:ascii="Times New Roman" w:cs="Times New Roman" w:eastAsia="Times New Roman" w:hAnsi="Times New Roman"/>
          <w:sz w:val="18"/>
          <w:szCs w:val="18"/>
          <w:b w:val="1"/>
          <w:bCs w:val="1"/>
          <w:color w:val="221F1F"/>
        </w:rPr>
        <w:t xml:space="preserve"> Full-Time, Salary, Exempt </w:t>
      </w:r>
      <w:r>
        <w:rPr>
          <w:rFonts w:ascii="Times New Roman" w:cs="Times New Roman" w:eastAsia="Times New Roman" w:hAnsi="Times New Roman"/>
          <w:sz w:val="18"/>
          <w:szCs w:val="18"/>
          <w:color w:val="221F1F"/>
        </w:rPr>
        <w:t>position and will</w:t>
      </w:r>
      <w:r>
        <w:rPr>
          <w:rFonts w:ascii="Times New Roman" w:cs="Times New Roman" w:eastAsia="Times New Roman" w:hAnsi="Times New Roman"/>
          <w:sz w:val="18"/>
          <w:szCs w:val="18"/>
          <w:b w:val="1"/>
          <w:bCs w:val="1"/>
          <w:color w:val="221F1F"/>
        </w:rPr>
        <w:t xml:space="preserve"> </w:t>
      </w:r>
      <w:r>
        <w:rPr>
          <w:rFonts w:ascii="Times New Roman" w:cs="Times New Roman" w:eastAsia="Times New Roman" w:hAnsi="Times New Roman"/>
          <w:sz w:val="18"/>
          <w:szCs w:val="18"/>
          <w:color w:val="221F1F"/>
        </w:rPr>
        <w:t>require you to dedicate your full-time attention to fulfill your designated time, duties, and obligations to Sarcos.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1F1F"/>
        </w:rPr>
        <w:t>Compensation and Start Date:</w:t>
      </w:r>
    </w:p>
    <w:p>
      <w:pPr>
        <w:spacing w:after="0" w:line="306"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b w:val="1"/>
          <w:bCs w:val="1"/>
          <w:color w:val="221F1F"/>
        </w:rPr>
      </w:pPr>
      <w:r>
        <w:rPr>
          <w:rFonts w:ascii="Times New Roman" w:cs="Times New Roman" w:eastAsia="Times New Roman" w:hAnsi="Times New Roman"/>
          <w:sz w:val="18"/>
          <w:szCs w:val="18"/>
          <w:b w:val="1"/>
          <w:bCs w:val="1"/>
          <w:color w:val="221F1F"/>
        </w:rPr>
        <w:t>Base Salary:</w:t>
      </w:r>
    </w:p>
    <w:p>
      <w:pPr>
        <w:spacing w:after="0" w:line="117" w:lineRule="exact"/>
        <w:rPr>
          <w:rFonts w:ascii="Times New Roman" w:cs="Times New Roman" w:eastAsia="Times New Roman" w:hAnsi="Times New Roman"/>
          <w:sz w:val="18"/>
          <w:szCs w:val="18"/>
          <w:b w:val="1"/>
          <w:bCs w:val="1"/>
          <w:color w:val="221F1F"/>
        </w:rPr>
      </w:pPr>
    </w:p>
    <w:p>
      <w:pPr>
        <w:ind w:left="1540" w:right="20" w:hanging="514"/>
        <w:spacing w:after="0" w:line="245" w:lineRule="auto"/>
        <w:tabs>
          <w:tab w:leader="none" w:pos="1540" w:val="left"/>
        </w:tabs>
        <w:numPr>
          <w:ilvl w:val="1"/>
          <w:numId w:val="40"/>
        </w:numPr>
        <w:rPr>
          <w:rFonts w:ascii="Times New Roman" w:cs="Times New Roman" w:eastAsia="Times New Roman" w:hAnsi="Times New Roman"/>
          <w:sz w:val="18"/>
          <w:szCs w:val="18"/>
          <w:b w:val="1"/>
          <w:bCs w:val="1"/>
          <w:color w:val="221F1F"/>
        </w:rPr>
      </w:pPr>
      <w:r>
        <w:rPr>
          <w:rFonts w:ascii="Times New Roman" w:cs="Times New Roman" w:eastAsia="Times New Roman" w:hAnsi="Times New Roman"/>
          <w:sz w:val="18"/>
          <w:szCs w:val="18"/>
          <w:color w:val="221F1F"/>
        </w:rPr>
        <w:t xml:space="preserve">Beginning </w:t>
      </w:r>
      <w:r>
        <w:rPr>
          <w:rFonts w:ascii="Times New Roman" w:cs="Times New Roman" w:eastAsia="Times New Roman" w:hAnsi="Times New Roman"/>
          <w:sz w:val="18"/>
          <w:szCs w:val="18"/>
          <w:b w:val="1"/>
          <w:bCs w:val="1"/>
          <w:color w:val="221F1F"/>
        </w:rPr>
        <w:t>January 29, 2022</w:t>
      </w:r>
      <w:r>
        <w:rPr>
          <w:rFonts w:ascii="Times New Roman" w:cs="Times New Roman" w:eastAsia="Times New Roman" w:hAnsi="Times New Roman"/>
          <w:sz w:val="18"/>
          <w:szCs w:val="18"/>
          <w:color w:val="221F1F"/>
        </w:rPr>
        <w:t xml:space="preserve">, the Company will pay you an annual base </w:t>
      </w:r>
      <w:r>
        <w:rPr>
          <w:rFonts w:ascii="Times New Roman" w:cs="Times New Roman" w:eastAsia="Times New Roman" w:hAnsi="Times New Roman"/>
          <w:sz w:val="18"/>
          <w:szCs w:val="18"/>
          <w:b w:val="1"/>
          <w:bCs w:val="1"/>
          <w:color w:val="221F1F"/>
        </w:rPr>
        <w:t>salary of $315,000.00</w:t>
      </w:r>
      <w:r>
        <w:rPr>
          <w:rFonts w:ascii="Times New Roman" w:cs="Times New Roman" w:eastAsia="Times New Roman" w:hAnsi="Times New Roman"/>
          <w:sz w:val="18"/>
          <w:szCs w:val="18"/>
          <w:color w:val="221F1F"/>
        </w:rPr>
        <w:t xml:space="preserve"> as compensation for your services (the annual base salary as may be amended from time to time, (the “</w:t>
      </w:r>
      <w:r>
        <w:rPr>
          <w:rFonts w:ascii="Times New Roman" w:cs="Times New Roman" w:eastAsia="Times New Roman" w:hAnsi="Times New Roman"/>
          <w:sz w:val="18"/>
          <w:szCs w:val="18"/>
          <w:b w:val="1"/>
          <w:bCs w:val="1"/>
          <w:color w:val="221F1F"/>
        </w:rPr>
        <w:t>Base Salary</w:t>
      </w:r>
      <w:r>
        <w:rPr>
          <w:rFonts w:ascii="Times New Roman" w:cs="Times New Roman" w:eastAsia="Times New Roman" w:hAnsi="Times New Roman"/>
          <w:sz w:val="18"/>
          <w:szCs w:val="18"/>
          <w:color w:val="221F1F"/>
        </w:rPr>
        <w:t xml:space="preserve">”). You will see this reflected in your </w:t>
      </w:r>
      <w:r>
        <w:rPr>
          <w:rFonts w:ascii="Times New Roman" w:cs="Times New Roman" w:eastAsia="Times New Roman" w:hAnsi="Times New Roman"/>
          <w:sz w:val="18"/>
          <w:szCs w:val="18"/>
          <w:b w:val="1"/>
          <w:bCs w:val="1"/>
          <w:color w:val="221F1F"/>
        </w:rPr>
        <w:t>February 18, 2022,</w:t>
      </w:r>
      <w:r>
        <w:rPr>
          <w:rFonts w:ascii="Times New Roman" w:cs="Times New Roman" w:eastAsia="Times New Roman" w:hAnsi="Times New Roman"/>
          <w:sz w:val="18"/>
          <w:szCs w:val="18"/>
          <w:color w:val="221F1F"/>
        </w:rPr>
        <w:t xml:space="preserve"> </w:t>
      </w:r>
      <w:r>
        <w:rPr>
          <w:rFonts w:ascii="Times New Roman" w:cs="Times New Roman" w:eastAsia="Times New Roman" w:hAnsi="Times New Roman"/>
          <w:sz w:val="18"/>
          <w:szCs w:val="18"/>
          <w:b w:val="1"/>
          <w:bCs w:val="1"/>
          <w:color w:val="221F1F"/>
        </w:rPr>
        <w:t>payroll deposit</w:t>
      </w:r>
      <w:r>
        <w:rPr>
          <w:rFonts w:ascii="Times New Roman" w:cs="Times New Roman" w:eastAsia="Times New Roman" w:hAnsi="Times New Roman"/>
          <w:sz w:val="18"/>
          <w:szCs w:val="18"/>
          <w:color w:val="221F1F"/>
        </w:rPr>
        <w:t>. The Base Salary will be paid bi-weekly in accordance with the Sarcos’ normal payroll practices and be subject to the</w:t>
      </w:r>
      <w:r>
        <w:rPr>
          <w:rFonts w:ascii="Times New Roman" w:cs="Times New Roman" w:eastAsia="Times New Roman" w:hAnsi="Times New Roman"/>
          <w:sz w:val="18"/>
          <w:szCs w:val="18"/>
          <w:b w:val="1"/>
          <w:bCs w:val="1"/>
          <w:color w:val="221F1F"/>
        </w:rPr>
        <w:t xml:space="preserve"> </w:t>
      </w:r>
      <w:r>
        <w:rPr>
          <w:rFonts w:ascii="Times New Roman" w:cs="Times New Roman" w:eastAsia="Times New Roman" w:hAnsi="Times New Roman"/>
          <w:sz w:val="18"/>
          <w:szCs w:val="18"/>
          <w:color w:val="221F1F"/>
        </w:rPr>
        <w:t>usual, required withholding. Your Base Salary will be subject to review and adjustments will be made by the Sarcos Technology and Robotics Corporation (“STRC”) board of directors (the “</w:t>
      </w:r>
      <w:r>
        <w:rPr>
          <w:rFonts w:ascii="Times New Roman" w:cs="Times New Roman" w:eastAsia="Times New Roman" w:hAnsi="Times New Roman"/>
          <w:sz w:val="18"/>
          <w:szCs w:val="18"/>
          <w:b w:val="1"/>
          <w:bCs w:val="1"/>
          <w:color w:val="221F1F"/>
        </w:rPr>
        <w:t>Board</w:t>
      </w:r>
      <w:r>
        <w:rPr>
          <w:rFonts w:ascii="Times New Roman" w:cs="Times New Roman" w:eastAsia="Times New Roman" w:hAnsi="Times New Roman"/>
          <w:sz w:val="18"/>
          <w:szCs w:val="18"/>
          <w:color w:val="221F1F"/>
        </w:rPr>
        <w:t>”) or its authorized committee (in either case, the “</w:t>
      </w:r>
      <w:r>
        <w:rPr>
          <w:rFonts w:ascii="Times New Roman" w:cs="Times New Roman" w:eastAsia="Times New Roman" w:hAnsi="Times New Roman"/>
          <w:sz w:val="18"/>
          <w:szCs w:val="18"/>
          <w:b w:val="1"/>
          <w:bCs w:val="1"/>
          <w:color w:val="221F1F"/>
        </w:rPr>
        <w:t>Committee</w:t>
      </w:r>
      <w:r>
        <w:rPr>
          <w:rFonts w:ascii="Times New Roman" w:cs="Times New Roman" w:eastAsia="Times New Roman" w:hAnsi="Times New Roman"/>
          <w:sz w:val="18"/>
          <w:szCs w:val="18"/>
          <w:color w:val="221F1F"/>
        </w:rPr>
        <w:t>”) based upon the Sarcos’ normal performance review practices.</w:t>
      </w:r>
    </w:p>
    <w:p>
      <w:pPr>
        <w:spacing w:after="0" w:line="284" w:lineRule="exact"/>
        <w:rPr>
          <w:rFonts w:ascii="Times New Roman" w:cs="Times New Roman" w:eastAsia="Times New Roman" w:hAnsi="Times New Roman"/>
          <w:sz w:val="18"/>
          <w:szCs w:val="18"/>
          <w:b w:val="1"/>
          <w:bCs w:val="1"/>
          <w:color w:val="221F1F"/>
        </w:rPr>
      </w:pPr>
    </w:p>
    <w:p>
      <w:pPr>
        <w:ind w:left="1020" w:hanging="503"/>
        <w:spacing w:after="0"/>
        <w:tabs>
          <w:tab w:leader="none" w:pos="1020" w:val="left"/>
        </w:tabs>
        <w:numPr>
          <w:ilvl w:val="0"/>
          <w:numId w:val="40"/>
        </w:numPr>
        <w:rPr>
          <w:rFonts w:ascii="Times New Roman" w:cs="Times New Roman" w:eastAsia="Times New Roman" w:hAnsi="Times New Roman"/>
          <w:sz w:val="18"/>
          <w:szCs w:val="18"/>
          <w:b w:val="1"/>
          <w:bCs w:val="1"/>
          <w:color w:val="221F1F"/>
        </w:rPr>
      </w:pPr>
      <w:r>
        <w:rPr>
          <w:rFonts w:ascii="Times New Roman" w:cs="Times New Roman" w:eastAsia="Times New Roman" w:hAnsi="Times New Roman"/>
          <w:sz w:val="18"/>
          <w:szCs w:val="18"/>
          <w:b w:val="1"/>
          <w:bCs w:val="1"/>
          <w:color w:val="221F1F"/>
        </w:rPr>
        <w:t>Bonus:</w:t>
      </w:r>
    </w:p>
    <w:p>
      <w:pPr>
        <w:spacing w:after="0" w:line="103" w:lineRule="exact"/>
        <w:rPr>
          <w:rFonts w:ascii="Times New Roman" w:cs="Times New Roman" w:eastAsia="Times New Roman" w:hAnsi="Times New Roman"/>
          <w:sz w:val="18"/>
          <w:szCs w:val="18"/>
          <w:b w:val="1"/>
          <w:bCs w:val="1"/>
          <w:color w:val="221F1F"/>
        </w:rPr>
      </w:pPr>
    </w:p>
    <w:p>
      <w:pPr>
        <w:ind w:left="1540" w:right="60" w:hanging="514"/>
        <w:spacing w:after="0" w:line="248" w:lineRule="auto"/>
        <w:tabs>
          <w:tab w:leader="none" w:pos="1540" w:val="left"/>
        </w:tabs>
        <w:numPr>
          <w:ilvl w:val="1"/>
          <w:numId w:val="40"/>
        </w:numPr>
        <w:rPr>
          <w:rFonts w:ascii="Times New Roman" w:cs="Times New Roman" w:eastAsia="Times New Roman" w:hAnsi="Times New Roman"/>
          <w:sz w:val="18"/>
          <w:szCs w:val="18"/>
          <w:b w:val="1"/>
          <w:bCs w:val="1"/>
          <w:color w:val="221F1F"/>
        </w:rPr>
      </w:pPr>
      <w:r>
        <w:rPr>
          <w:rFonts w:ascii="Times New Roman" w:cs="Times New Roman" w:eastAsia="Times New Roman" w:hAnsi="Times New Roman"/>
          <w:sz w:val="18"/>
          <w:szCs w:val="18"/>
          <w:color w:val="221F1F"/>
        </w:rPr>
        <w:t xml:space="preserve">You will be eligible to receive a bonus targeted annually at </w:t>
      </w:r>
      <w:r>
        <w:rPr>
          <w:rFonts w:ascii="Times New Roman" w:cs="Times New Roman" w:eastAsia="Times New Roman" w:hAnsi="Times New Roman"/>
          <w:sz w:val="18"/>
          <w:szCs w:val="18"/>
          <w:b w:val="1"/>
          <w:bCs w:val="1"/>
          <w:color w:val="221F1F"/>
        </w:rPr>
        <w:t>$85,000.00</w:t>
      </w:r>
      <w:r>
        <w:rPr>
          <w:rFonts w:ascii="Times New Roman" w:cs="Times New Roman" w:eastAsia="Times New Roman" w:hAnsi="Times New Roman"/>
          <w:sz w:val="18"/>
          <w:szCs w:val="18"/>
          <w:color w:val="221F1F"/>
        </w:rPr>
        <w:t xml:space="preserve"> (the “</w:t>
      </w:r>
      <w:r>
        <w:rPr>
          <w:rFonts w:ascii="Times New Roman" w:cs="Times New Roman" w:eastAsia="Times New Roman" w:hAnsi="Times New Roman"/>
          <w:sz w:val="18"/>
          <w:szCs w:val="18"/>
          <w:b w:val="1"/>
          <w:bCs w:val="1"/>
          <w:color w:val="221F1F"/>
        </w:rPr>
        <w:t>Bonus</w:t>
      </w:r>
      <w:r>
        <w:rPr>
          <w:rFonts w:ascii="Times New Roman" w:cs="Times New Roman" w:eastAsia="Times New Roman" w:hAnsi="Times New Roman"/>
          <w:sz w:val="18"/>
          <w:szCs w:val="18"/>
          <w:color w:val="221F1F"/>
        </w:rPr>
        <w:t>”). The Bonus will be based on an assessment by your supervisor of your performance of the Duties and the achievement of the performance goals set by your supervisor. The right to receive, and payment of, the Bonus will further be subject to the approval of the Committee and any and all terms and conditions of any bonus plan approved by the Committee. Receipt of all or any portion of the Bonus is subject to your continued employment with Sarcos or STRC through the applicable payment date, and such amount will not be earned if your employment with Sarcos terminates for any reason or no reason prior to the applicable payment date.</w:t>
      </w:r>
    </w:p>
    <w:p>
      <w:pPr>
        <w:spacing w:after="0" w:line="269" w:lineRule="exact"/>
        <w:rPr>
          <w:rFonts w:ascii="Times New Roman" w:cs="Times New Roman" w:eastAsia="Times New Roman" w:hAnsi="Times New Roman"/>
          <w:sz w:val="18"/>
          <w:szCs w:val="18"/>
          <w:b w:val="1"/>
          <w:bCs w:val="1"/>
          <w:color w:val="221F1F"/>
        </w:rPr>
      </w:pPr>
    </w:p>
    <w:p>
      <w:pPr>
        <w:ind w:left="1020" w:hanging="503"/>
        <w:spacing w:after="0"/>
        <w:tabs>
          <w:tab w:leader="none" w:pos="1020" w:val="left"/>
        </w:tabs>
        <w:numPr>
          <w:ilvl w:val="0"/>
          <w:numId w:val="40"/>
        </w:numPr>
        <w:rPr>
          <w:rFonts w:ascii="Times New Roman" w:cs="Times New Roman" w:eastAsia="Times New Roman" w:hAnsi="Times New Roman"/>
          <w:sz w:val="18"/>
          <w:szCs w:val="18"/>
          <w:b w:val="1"/>
          <w:bCs w:val="1"/>
          <w:color w:val="221F1F"/>
        </w:rPr>
      </w:pPr>
      <w:r>
        <w:rPr>
          <w:rFonts w:ascii="Times New Roman" w:cs="Times New Roman" w:eastAsia="Times New Roman" w:hAnsi="Times New Roman"/>
          <w:sz w:val="18"/>
          <w:szCs w:val="18"/>
          <w:b w:val="1"/>
          <w:bCs w:val="1"/>
          <w:color w:val="221F1F"/>
        </w:rPr>
        <w:t>Equity.</w:t>
      </w:r>
    </w:p>
    <w:p>
      <w:pPr>
        <w:spacing w:after="0" w:line="121" w:lineRule="exact"/>
        <w:rPr>
          <w:rFonts w:ascii="Times New Roman" w:cs="Times New Roman" w:eastAsia="Times New Roman" w:hAnsi="Times New Roman"/>
          <w:sz w:val="18"/>
          <w:szCs w:val="18"/>
          <w:b w:val="1"/>
          <w:bCs w:val="1"/>
          <w:color w:val="221F1F"/>
        </w:rPr>
      </w:pPr>
    </w:p>
    <w:p>
      <w:pPr>
        <w:ind w:left="1540" w:hanging="514"/>
        <w:spacing w:after="0" w:line="242" w:lineRule="auto"/>
        <w:tabs>
          <w:tab w:leader="none" w:pos="1540" w:val="left"/>
        </w:tabs>
        <w:numPr>
          <w:ilvl w:val="1"/>
          <w:numId w:val="40"/>
        </w:numPr>
        <w:rPr>
          <w:rFonts w:ascii="Times New Roman" w:cs="Times New Roman" w:eastAsia="Times New Roman" w:hAnsi="Times New Roman"/>
          <w:sz w:val="18"/>
          <w:szCs w:val="18"/>
          <w:b w:val="1"/>
          <w:bCs w:val="1"/>
          <w:color w:val="221F1F"/>
        </w:rPr>
      </w:pPr>
      <w:r>
        <w:rPr>
          <w:rFonts w:ascii="Times New Roman" w:cs="Times New Roman" w:eastAsia="Times New Roman" w:hAnsi="Times New Roman"/>
          <w:sz w:val="18"/>
          <w:szCs w:val="18"/>
          <w:color w:val="221F1F"/>
        </w:rPr>
        <w:t>As an inducement to accept your new position, Sarcos’ management will recommend that the Committee grant you an option (“Option”) to purchase a number of shares of STRC common stock equal to $30,000 divided by the closing price of a share of STRC common stock on the Grant Date (as defined below) and adjusted for the Black Scholes factor calculated by Sarcos, with such quotient rounded to the nearest whole share. The Option will be a non-qualified stock option. The “Grant Date” shall be the date the grant of the Option is approved by the Committee. The Option will have a per share exercise price equal to the closing price of STRC common stock on the Grant Date. Subject to the continuation of your employment with Sarcos, the Option will vest as to 25% of the shares subject to the Option on the first anniversary of the Grant Date, and as to1/12 of the remaining 75% of the shares subject to the Option every three months thereafter (on the same day of the month as the vesting commencement date). The Option will be subject to the terms and conditions of the 2021 Sarcos Equity Plan of STRC, as amended from time to time (“</w:t>
      </w:r>
      <w:r>
        <w:rPr>
          <w:rFonts w:ascii="Times New Roman" w:cs="Times New Roman" w:eastAsia="Times New Roman" w:hAnsi="Times New Roman"/>
          <w:sz w:val="18"/>
          <w:szCs w:val="18"/>
          <w:b w:val="1"/>
          <w:bCs w:val="1"/>
          <w:color w:val="221F1F"/>
        </w:rPr>
        <w:t>2021 Plan</w:t>
      </w:r>
      <w:r>
        <w:rPr>
          <w:rFonts w:ascii="Times New Roman" w:cs="Times New Roman" w:eastAsia="Times New Roman" w:hAnsi="Times New Roman"/>
          <w:sz w:val="18"/>
          <w:szCs w:val="18"/>
          <w:color w:val="221F1F"/>
        </w:rPr>
        <w:t>”), and the applicable stock option agreement and notice of stock option grant. The Committee shall determine the vesting commencement date at the time of the grant, which will be in the nearest open trading window following the date of this promotion letter.</w:t>
      </w:r>
    </w:p>
    <w:p>
      <w:pPr>
        <w:spacing w:after="0" w:line="282" w:lineRule="exact"/>
        <w:rPr>
          <w:rFonts w:ascii="Times New Roman" w:cs="Times New Roman" w:eastAsia="Times New Roman" w:hAnsi="Times New Roman"/>
          <w:sz w:val="18"/>
          <w:szCs w:val="18"/>
          <w:b w:val="1"/>
          <w:bCs w:val="1"/>
          <w:color w:val="221F1F"/>
        </w:rPr>
      </w:pPr>
    </w:p>
    <w:p>
      <w:pPr>
        <w:ind w:left="1540" w:hanging="514"/>
        <w:spacing w:after="0" w:line="250" w:lineRule="auto"/>
        <w:tabs>
          <w:tab w:leader="none" w:pos="1540" w:val="left"/>
        </w:tabs>
        <w:numPr>
          <w:ilvl w:val="1"/>
          <w:numId w:val="40"/>
        </w:numPr>
        <w:rPr>
          <w:rFonts w:ascii="Times New Roman" w:cs="Times New Roman" w:eastAsia="Times New Roman" w:hAnsi="Times New Roman"/>
          <w:sz w:val="18"/>
          <w:szCs w:val="18"/>
          <w:b w:val="1"/>
          <w:bCs w:val="1"/>
          <w:color w:val="221F1F"/>
        </w:rPr>
      </w:pPr>
      <w:r>
        <w:rPr>
          <w:rFonts w:ascii="Times New Roman" w:cs="Times New Roman" w:eastAsia="Times New Roman" w:hAnsi="Times New Roman"/>
          <w:sz w:val="18"/>
          <w:szCs w:val="18"/>
          <w:color w:val="221F1F"/>
        </w:rPr>
        <w:t>As a further inducement to accept your new position, Sarcos’ management will recommend that, the Committee grant you a number of restricted stock units in STRC equal to $20,000 divided by the closing price of a share of STRC common stock on the Grant Date, which quotient will be rounded to the nearest whole share (“</w:t>
      </w:r>
      <w:r>
        <w:rPr>
          <w:rFonts w:ascii="Times New Roman" w:cs="Times New Roman" w:eastAsia="Times New Roman" w:hAnsi="Times New Roman"/>
          <w:sz w:val="18"/>
          <w:szCs w:val="18"/>
          <w:b w:val="1"/>
          <w:bCs w:val="1"/>
          <w:color w:val="221F1F"/>
        </w:rPr>
        <w:t>RSUs</w:t>
      </w:r>
      <w:r>
        <w:rPr>
          <w:rFonts w:ascii="Times New Roman" w:cs="Times New Roman" w:eastAsia="Times New Roman" w:hAnsi="Times New Roman"/>
          <w:sz w:val="18"/>
          <w:szCs w:val="18"/>
          <w:color w:val="221F1F"/>
        </w:rPr>
        <w:t>”). Subject to the continuation of your employment with Sarcos, the RSUs will vest 25% on the first anniversary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ind w:left="1540" w:right="40"/>
        <w:spacing w:after="0" w:line="246" w:lineRule="auto"/>
        <w:rPr>
          <w:sz w:val="20"/>
          <w:szCs w:val="20"/>
          <w:color w:val="auto"/>
        </w:rPr>
      </w:pPr>
      <w:r>
        <w:rPr>
          <w:rFonts w:ascii="Times New Roman" w:cs="Times New Roman" w:eastAsia="Times New Roman" w:hAnsi="Times New Roman"/>
          <w:sz w:val="18"/>
          <w:szCs w:val="18"/>
          <w:color w:val="221F1F"/>
        </w:rPr>
        <w:t>vesting commencement date, and as to 1/12 of the remaining RSUs on each Quarterly Vesting Date thereafter. The “Quarterly Vesting Date” means April 1, March 20, August 20, and November 20 each year. The RSUs will be subject to the terms and conditions of the 2021 Plan and the applicable RSU grant award. Following the vesting of the RSUs, Executive will receive one share of STRC common stock for each vested RSU (subject to tax withholding). The Committee shall determine the vesting commencement date at the time of the grant, which will be in the nearest open trading window following your promotion date.</w:t>
      </w:r>
    </w:p>
    <w:p>
      <w:pPr>
        <w:spacing w:after="0" w:line="289" w:lineRule="exact"/>
        <w:rPr>
          <w:sz w:val="20"/>
          <w:szCs w:val="20"/>
          <w:color w:val="auto"/>
        </w:rPr>
      </w:pPr>
    </w:p>
    <w:p>
      <w:pPr>
        <w:ind w:left="1540" w:right="60" w:hanging="514"/>
        <w:spacing w:after="0" w:line="244" w:lineRule="auto"/>
        <w:tabs>
          <w:tab w:leader="none" w:pos="1540" w:val="left"/>
        </w:tabs>
        <w:numPr>
          <w:ilvl w:val="1"/>
          <w:numId w:val="41"/>
        </w:numPr>
        <w:rPr>
          <w:rFonts w:ascii="Times New Roman" w:cs="Times New Roman" w:eastAsia="Times New Roman" w:hAnsi="Times New Roman"/>
          <w:sz w:val="18"/>
          <w:szCs w:val="18"/>
          <w:b w:val="1"/>
          <w:bCs w:val="1"/>
          <w:color w:val="221F1F"/>
        </w:rPr>
      </w:pPr>
      <w:r>
        <w:rPr>
          <w:rFonts w:ascii="Times New Roman" w:cs="Times New Roman" w:eastAsia="Times New Roman" w:hAnsi="Times New Roman"/>
          <w:sz w:val="18"/>
          <w:szCs w:val="18"/>
          <w:color w:val="221F1F"/>
        </w:rPr>
        <w:t>Each of the Option and RSU award agreements will include an agreement to be bound by the terms and conditions of the Lock-up Agreement attached as Annex G-1 to the Agreement and Plan of Merger dated April 5, 2021, by and between Rotor Acquisition Corp., a Delaware corporation, the prior name of STRC, the Company and certain other parties. The Option and RSUs and the Shares underlying the Option or RSUs will be subject to all terms and conditions as if the Option and RSUs were “Sarcos Options” or “Sarcos RSUs” , as applicable, under the Lock-Up Agreement. If you fail to sign the applicable option agreement or RSU agreement by the first vesting date of the Option/RSUs, the Option/RSUs will be forfeited in its entirety.</w:t>
      </w:r>
    </w:p>
    <w:p>
      <w:pPr>
        <w:spacing w:after="0" w:line="303" w:lineRule="exact"/>
        <w:rPr>
          <w:rFonts w:ascii="Times New Roman" w:cs="Times New Roman" w:eastAsia="Times New Roman" w:hAnsi="Times New Roman"/>
          <w:sz w:val="18"/>
          <w:szCs w:val="18"/>
          <w:b w:val="1"/>
          <w:bCs w:val="1"/>
          <w:color w:val="221F1F"/>
        </w:rPr>
      </w:pPr>
    </w:p>
    <w:p>
      <w:pPr>
        <w:ind w:left="1540" w:hanging="514"/>
        <w:spacing w:after="0" w:line="250" w:lineRule="auto"/>
        <w:tabs>
          <w:tab w:leader="none" w:pos="1540" w:val="left"/>
        </w:tabs>
        <w:numPr>
          <w:ilvl w:val="1"/>
          <w:numId w:val="41"/>
        </w:numPr>
        <w:rPr>
          <w:rFonts w:ascii="Times New Roman" w:cs="Times New Roman" w:eastAsia="Times New Roman" w:hAnsi="Times New Roman"/>
          <w:sz w:val="18"/>
          <w:szCs w:val="18"/>
          <w:b w:val="1"/>
          <w:bCs w:val="1"/>
          <w:color w:val="221F1F"/>
        </w:rPr>
      </w:pPr>
      <w:r>
        <w:rPr>
          <w:rFonts w:ascii="Times New Roman" w:cs="Times New Roman" w:eastAsia="Times New Roman" w:hAnsi="Times New Roman"/>
          <w:sz w:val="18"/>
          <w:szCs w:val="18"/>
          <w:color w:val="221F1F"/>
        </w:rPr>
        <w:t>During your employment with Sarcos, you will be eligible to receive additional equity awards pursuant to any plans or arrangements Sarcos or STRC may have in effect from time to time. The Committee will determine in its discretion whether you will be granted any additional equity awards and the terms of any additional equity award in accordance with the terms of any applicable plan or arrangement that may be in effect from time to time.</w:t>
      </w:r>
    </w:p>
    <w:p>
      <w:pPr>
        <w:spacing w:after="0" w:line="294" w:lineRule="exact"/>
        <w:rPr>
          <w:rFonts w:ascii="Times New Roman" w:cs="Times New Roman" w:eastAsia="Times New Roman" w:hAnsi="Times New Roman"/>
          <w:sz w:val="18"/>
          <w:szCs w:val="18"/>
          <w:b w:val="1"/>
          <w:bCs w:val="1"/>
          <w:color w:val="221F1F"/>
        </w:rPr>
      </w:pPr>
    </w:p>
    <w:p>
      <w:pPr>
        <w:ind w:left="1020" w:hanging="503"/>
        <w:spacing w:after="0"/>
        <w:tabs>
          <w:tab w:leader="none" w:pos="1020" w:val="left"/>
        </w:tabs>
        <w:numPr>
          <w:ilvl w:val="0"/>
          <w:numId w:val="42"/>
        </w:numPr>
        <w:rPr>
          <w:rFonts w:ascii="Times New Roman" w:cs="Times New Roman" w:eastAsia="Times New Roman" w:hAnsi="Times New Roman"/>
          <w:sz w:val="18"/>
          <w:szCs w:val="18"/>
          <w:b w:val="1"/>
          <w:bCs w:val="1"/>
          <w:color w:val="221F1F"/>
        </w:rPr>
      </w:pPr>
      <w:r>
        <w:rPr>
          <w:rFonts w:ascii="Times New Roman" w:cs="Times New Roman" w:eastAsia="Times New Roman" w:hAnsi="Times New Roman"/>
          <w:sz w:val="18"/>
          <w:szCs w:val="18"/>
          <w:b w:val="1"/>
          <w:bCs w:val="1"/>
          <w:color w:val="221F1F"/>
        </w:rPr>
        <w:t>Benefits and Expenses:</w:t>
      </w:r>
    </w:p>
    <w:p>
      <w:pPr>
        <w:spacing w:after="0" w:line="107" w:lineRule="exact"/>
        <w:rPr>
          <w:rFonts w:ascii="Times New Roman" w:cs="Times New Roman" w:eastAsia="Times New Roman" w:hAnsi="Times New Roman"/>
          <w:sz w:val="18"/>
          <w:szCs w:val="18"/>
          <w:b w:val="1"/>
          <w:bCs w:val="1"/>
          <w:color w:val="221F1F"/>
        </w:rPr>
      </w:pPr>
    </w:p>
    <w:p>
      <w:pPr>
        <w:ind w:left="1540" w:right="20" w:hanging="514"/>
        <w:spacing w:after="0" w:line="258" w:lineRule="auto"/>
        <w:tabs>
          <w:tab w:leader="none" w:pos="1540" w:val="left"/>
        </w:tabs>
        <w:numPr>
          <w:ilvl w:val="1"/>
          <w:numId w:val="42"/>
        </w:numPr>
        <w:rPr>
          <w:rFonts w:ascii="Times New Roman" w:cs="Times New Roman" w:eastAsia="Times New Roman" w:hAnsi="Times New Roman"/>
          <w:sz w:val="18"/>
          <w:szCs w:val="18"/>
          <w:b w:val="1"/>
          <w:bCs w:val="1"/>
          <w:color w:val="221F1F"/>
        </w:rPr>
      </w:pPr>
      <w:r>
        <w:rPr>
          <w:rFonts w:ascii="Times New Roman" w:cs="Times New Roman" w:eastAsia="Times New Roman" w:hAnsi="Times New Roman"/>
          <w:sz w:val="18"/>
          <w:szCs w:val="18"/>
          <w:color w:val="221F1F"/>
        </w:rPr>
        <w:t>You are eligible for all benefits offered by Sarcos. Sarcos will reimburse you for reasonable business expense and other disbursements paid by you in the performance of your duties and responsibilities with Sarcos, in accordance with Sarcos’ policies, as they may be adopted or modified from time to time.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1F1F"/>
        </w:rPr>
        <w:t>Employee Proprietary Information and Inventions Agreement:</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221F1F"/>
        </w:rPr>
        <w:t xml:space="preserve">In exchange for the consideration of your continued employment, you agree to continue to abide by the terms of the Sarcos Employee Intellectual Property Agreement you signed, </w:t>
      </w:r>
      <w:r>
        <w:rPr>
          <w:rFonts w:ascii="Times New Roman" w:cs="Times New Roman" w:eastAsia="Times New Roman" w:hAnsi="Times New Roman"/>
          <w:sz w:val="18"/>
          <w:szCs w:val="18"/>
          <w:b w:val="1"/>
          <w:bCs w:val="1"/>
          <w:color w:val="221F1F"/>
        </w:rPr>
        <w:t>dated May 29,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1F1F"/>
        </w:rPr>
        <w:t>Employment at Will:</w:t>
      </w:r>
    </w:p>
    <w:p>
      <w:pPr>
        <w:spacing w:after="0" w:line="108"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color w:val="221F1F"/>
        </w:rPr>
        <w:t>By signing this promotion letter, you understand and agree your employment will continue at-will. Therefore, your employment can terminate, with or without cause, and with or without notice, at any time, at your option or Sarcos’ option, and Sarcos can terminate or change all terms and conditions of your employment, with or without cause, and with or without notice, at any time. This at-will relationship will remain in effect throughout your employment with Sarcos or any of its subsidiaries or affiliates. The at-will nature of your employment, as set forth in this paragraph, can be modified only by a written agreement signed by both Sarcos and you, which expressly alters it. This at-will relationship may not be modified by any oral or implied agreement, or by any policies, practices, or patterns of conduct.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1F1F"/>
        </w:rPr>
        <w:t>Arbitration of Claim:</w:t>
      </w:r>
    </w:p>
    <w:p>
      <w:pPr>
        <w:spacing w:after="0" w:line="108"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221F1F"/>
        </w:rPr>
        <w:t>The arbitration procedure will afford you and Sarcos the full range of statutory remedies. Sarcos and you will be entitled to discovery sufficient to adequately arbitrate any covered claims, including access to essential documents and witnesses, as determined by the arbitrator and subject to limited judicial review. In order for any judicial review of the arbitrator’s decision to be successfully accomplished, the arbitrator will issue a written decision that will decide all issues submitted and will reveal the essential findings and conclusions on which the award is based. The party that is not the substantially prevailing party, which determination shall be made by the arbitrator in the event of ambiguity, shall be responsible for paying for the arbitration filing fee and the arbitrator’s fees.</w:t>
      </w:r>
    </w:p>
    <w:p>
      <w:pPr>
        <w:spacing w:after="0" w:line="18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221F1F"/>
        </w:rPr>
        <w:t>Nothing contained in this section will limit Sarcos’ or your right to seek relief in any court of competent jurisdiction with respect to the matters set forth in the Sarcos Employee Intellectual Property and Non-Compete Agreement. We specifically agree that disputes under the “Sarcos Employee Proprietary Information and Inventions Agreement” will not be subject to arbitration unless both parties mutually agree to arbitrate such disputes.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221F1F"/>
        </w:rPr>
        <w:t>Entire Agreement:</w:t>
      </w:r>
    </w:p>
    <w:p>
      <w:pPr>
        <w:spacing w:after="0" w:line="108"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8"/>
          <w:szCs w:val="18"/>
          <w:color w:val="221F1F"/>
        </w:rPr>
        <w:t>This promotion letter and the Sarcos Employee Intellectual Property and Non-Compete Agreement constitute the entire agreement, arrangement and understanding between you and Sarcos on the nature and terms of your employment with Sarcos. Also, by your execution of this promotion letter, you affirm no one has made any written or verbal statement that contradicts the provisions of this promotion letter. In addition, the covenants contained in the Sarcos Employee Intellectual Property and Non-Compete Agreement will supersede the provisions of any other similar covenant contained in any other document or agreement to the extent of any conflict. This promotion letter may be executed in counterparts, each of which (including any signature transmitted via facsimile or email) shall be deemed to be an original, and all of which together shall constitute one instrument.</w:t>
      </w:r>
    </w:p>
    <w:p>
      <w:pPr>
        <w:spacing w:after="0" w:line="180"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221F1F"/>
        </w:rPr>
        <w:t>We'd like to thank you for your continued dedication to Sarcos. We value you and the knowledge you bring to our organization. Please sign below to acknowledge and accept these changes.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1F1F"/>
        </w:rPr>
        <w:t>Best Regards,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221F1F"/>
              </w:rPr>
              <w:t>Signed by:</w:t>
            </w:r>
          </w:p>
        </w:tc>
        <w:tc>
          <w:tcPr>
            <w:tcW w:w="3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221F1F"/>
              </w:rPr>
              <w:t>/s/ Laura Langehaug</w:t>
            </w:r>
          </w:p>
        </w:tc>
        <w:tc>
          <w:tcPr>
            <w:tcW w:w="40" w:type="dxa"/>
            <w:vAlign w:val="bottom"/>
          </w:tcPr>
          <w:p>
            <w:pPr>
              <w:spacing w:after="0"/>
              <w:rPr>
                <w:sz w:val="17"/>
                <w:szCs w:val="17"/>
                <w:color w:val="auto"/>
              </w:rPr>
            </w:pPr>
          </w:p>
        </w:tc>
        <w:tc>
          <w:tcPr>
            <w:tcW w:w="714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221F1F"/>
              </w:rPr>
              <w:t>Date: Feb 28, 2022</w:t>
            </w: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221F1F"/>
          </w:tcPr>
          <w:p>
            <w:pPr>
              <w:spacing w:after="0" w:line="20" w:lineRule="exact"/>
              <w:rPr>
                <w:sz w:val="1"/>
                <w:szCs w:val="1"/>
                <w:color w:val="auto"/>
              </w:rPr>
            </w:pPr>
          </w:p>
        </w:tc>
        <w:tc>
          <w:tcPr>
            <w:tcW w:w="2960" w:type="dxa"/>
            <w:vAlign w:val="bottom"/>
            <w:shd w:val="clear" w:color="auto" w:fill="221F1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right w:val="single" w:sz="8" w:color="221F1F"/>
            </w:tcBorders>
          </w:tcPr>
          <w:p>
            <w:pPr>
              <w:spacing w:after="0" w:line="20" w:lineRule="exact"/>
              <w:rPr>
                <w:sz w:val="1"/>
                <w:szCs w:val="1"/>
                <w:color w:val="auto"/>
              </w:rPr>
            </w:pPr>
          </w:p>
        </w:tc>
        <w:tc>
          <w:tcPr>
            <w:tcW w:w="1340" w:type="dxa"/>
            <w:vAlign w:val="bottom"/>
            <w:shd w:val="clear" w:color="auto" w:fill="221F1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221F1F"/>
              </w:rPr>
              <w:t>Title:</w:t>
            </w:r>
          </w:p>
        </w:tc>
        <w:tc>
          <w:tcPr>
            <w:tcW w:w="31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221F1F"/>
              </w:rPr>
              <w:t>Executive Vice President, People Success</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37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221F1F"/>
              </w:rPr>
              <w:t>Accepted by:</w:t>
            </w:r>
          </w:p>
        </w:tc>
        <w:tc>
          <w:tcPr>
            <w:tcW w:w="3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221F1F"/>
              </w:rPr>
              <w:t>/s/ Denis Garagic</w:t>
            </w:r>
          </w:p>
        </w:tc>
        <w:tc>
          <w:tcPr>
            <w:tcW w:w="320" w:type="dxa"/>
            <w:vAlign w:val="bottom"/>
          </w:tcPr>
          <w:p>
            <w:pPr>
              <w:spacing w:after="0"/>
              <w:rPr>
                <w:sz w:val="24"/>
                <w:szCs w:val="24"/>
                <w:color w:val="auto"/>
              </w:rPr>
            </w:pPr>
          </w:p>
        </w:tc>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221F1F"/>
              </w:rPr>
              <w:t>Date: Feb 28, 2022</w:t>
            </w:r>
          </w:p>
        </w:tc>
      </w:tr>
      <w:tr>
        <w:trPr>
          <w:trHeight w:val="33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221F1F"/>
              </w:rPr>
              <w:t>Title:</w:t>
            </w:r>
          </w:p>
        </w:tc>
        <w:tc>
          <w:tcPr>
            <w:tcW w:w="100" w:type="dxa"/>
            <w:vAlign w:val="bottom"/>
          </w:tcPr>
          <w:p>
            <w:pPr>
              <w:spacing w:after="0"/>
              <w:rPr>
                <w:sz w:val="24"/>
                <w:szCs w:val="24"/>
                <w:color w:val="auto"/>
              </w:rPr>
            </w:pPr>
          </w:p>
        </w:tc>
        <w:tc>
          <w:tcPr>
            <w:tcW w:w="3000" w:type="dxa"/>
            <w:vAlign w:val="bottom"/>
            <w:tcBorders>
              <w:top w:val="single" w:sz="8" w:color="221F1F"/>
            </w:tcBorders>
            <w:gridSpan w:val="2"/>
          </w:tcPr>
          <w:p>
            <w:pPr>
              <w:ind w:left="20"/>
              <w:spacing w:after="0"/>
              <w:rPr>
                <w:sz w:val="20"/>
                <w:szCs w:val="20"/>
                <w:color w:val="auto"/>
              </w:rPr>
            </w:pPr>
            <w:r>
              <w:rPr>
                <w:rFonts w:ascii="Times New Roman" w:cs="Times New Roman" w:eastAsia="Times New Roman" w:hAnsi="Times New Roman"/>
                <w:sz w:val="18"/>
                <w:szCs w:val="18"/>
                <w:color w:val="221F1F"/>
              </w:rPr>
              <w:t>Chief Technology Officer</w:t>
            </w:r>
          </w:p>
        </w:tc>
        <w:tc>
          <w:tcPr>
            <w:tcW w:w="320" w:type="dxa"/>
            <w:vAlign w:val="bottom"/>
          </w:tcPr>
          <w:p>
            <w:pPr>
              <w:spacing w:after="0"/>
              <w:rPr>
                <w:sz w:val="24"/>
                <w:szCs w:val="24"/>
                <w:color w:val="auto"/>
              </w:rPr>
            </w:pPr>
          </w:p>
        </w:tc>
        <w:tc>
          <w:tcPr>
            <w:tcW w:w="1340" w:type="dxa"/>
            <w:vAlign w:val="bottom"/>
            <w:tcBorders>
              <w:top w:val="single" w:sz="8" w:color="221F1F"/>
            </w:tcBorders>
          </w:tcPr>
          <w:p>
            <w:pPr>
              <w:spacing w:after="0"/>
              <w:rPr>
                <w:sz w:val="24"/>
                <w:szCs w:val="24"/>
                <w:color w:val="auto"/>
              </w:rPr>
            </w:pPr>
          </w:p>
        </w:tc>
        <w:tc>
          <w:tcPr>
            <w:tcW w:w="40" w:type="dxa"/>
            <w:vAlign w:val="bottom"/>
            <w:tcBorders>
              <w:top w:val="single" w:sz="8" w:color="221F1F"/>
            </w:tcBorders>
          </w:tcPr>
          <w:p>
            <w:pPr>
              <w:spacing w:after="0"/>
              <w:rPr>
                <w:sz w:val="24"/>
                <w:szCs w:val="24"/>
                <w:color w:val="auto"/>
              </w:rPr>
            </w:pPr>
          </w:p>
        </w:tc>
        <w:tc>
          <w:tcPr>
            <w:tcW w:w="5440" w:type="dxa"/>
            <w:vAlign w:val="bottom"/>
          </w:tcPr>
          <w:p>
            <w:pPr>
              <w:spacing w:after="0"/>
              <w:rPr>
                <w:sz w:val="24"/>
                <w:szCs w:val="24"/>
                <w:color w:val="auto"/>
              </w:rPr>
            </w:pPr>
          </w:p>
        </w:tc>
      </w:tr>
      <w:tr>
        <w:trPr>
          <w:trHeight w:val="318"/>
        </w:trPr>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Kiva A. Allgood, certify that:</w:t>
      </w:r>
    </w:p>
    <w:p>
      <w:pPr>
        <w:spacing w:after="0" w:line="212"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Sarcos Technology and Robotics Corporation;</w:t>
      </w:r>
    </w:p>
    <w:p>
      <w:pPr>
        <w:spacing w:after="0" w:line="211" w:lineRule="exact"/>
        <w:rPr>
          <w:rFonts w:ascii="Times New Roman" w:cs="Times New Roman" w:eastAsia="Times New Roman" w:hAnsi="Times New Roman"/>
          <w:sz w:val="18"/>
          <w:szCs w:val="18"/>
          <w:color w:val="auto"/>
        </w:rPr>
      </w:pPr>
    </w:p>
    <w:p>
      <w:pPr>
        <w:jc w:val="both"/>
        <w:ind w:left="520" w:hanging="512"/>
        <w:spacing w:after="0" w:line="258"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Times New Roman" w:cs="Times New Roman" w:eastAsia="Times New Roman" w:hAnsi="Times New Roman"/>
          <w:sz w:val="18"/>
          <w:szCs w:val="18"/>
          <w:color w:val="auto"/>
        </w:rPr>
      </w:pPr>
    </w:p>
    <w:p>
      <w:pPr>
        <w:ind w:left="1020" w:hanging="479"/>
        <w:spacing w:after="0" w:line="258" w:lineRule="auto"/>
        <w:tabs>
          <w:tab w:leader="none" w:pos="89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020" w:hanging="479"/>
        <w:spacing w:after="0" w:line="258" w:lineRule="auto"/>
        <w:tabs>
          <w:tab w:leader="none" w:pos="89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hanging="479"/>
        <w:spacing w:after="0" w:line="266" w:lineRule="auto"/>
        <w:tabs>
          <w:tab w:leader="none" w:pos="89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hanging="479"/>
        <w:spacing w:after="0" w:line="266" w:lineRule="auto"/>
        <w:tabs>
          <w:tab w:leader="none" w:pos="89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May 11, 2022</w:t>
      </w:r>
      <w:r>
        <w:rPr>
          <w:sz w:val="20"/>
          <w:szCs w:val="20"/>
          <w:color w:val="auto"/>
        </w:rPr>
        <w:tab/>
      </w:r>
      <w:r>
        <w:rPr>
          <w:rFonts w:ascii="Times New Roman" w:cs="Times New Roman" w:eastAsia="Times New Roman" w:hAnsi="Times New Roman"/>
          <w:sz w:val="18"/>
          <w:szCs w:val="18"/>
          <w:color w:val="auto"/>
        </w:rPr>
        <w:t>By: /s/ Kiva A. Allgood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Kiva A. Allgood</w:t>
      </w:r>
    </w:p>
    <w:p>
      <w:pPr>
        <w:ind w:left="60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Hansen, certify that:</w:t>
      </w:r>
    </w:p>
    <w:p>
      <w:pPr>
        <w:spacing w:after="0" w:line="212"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Sarcos Technology and Robotics Corporation;</w:t>
      </w:r>
    </w:p>
    <w:p>
      <w:pPr>
        <w:spacing w:after="0" w:line="211" w:lineRule="exact"/>
        <w:rPr>
          <w:rFonts w:ascii="Times New Roman" w:cs="Times New Roman" w:eastAsia="Times New Roman" w:hAnsi="Times New Roman"/>
          <w:sz w:val="18"/>
          <w:szCs w:val="18"/>
          <w:color w:val="auto"/>
        </w:rPr>
      </w:pPr>
    </w:p>
    <w:p>
      <w:pPr>
        <w:jc w:val="both"/>
        <w:ind w:left="520" w:hanging="512"/>
        <w:spacing w:after="0" w:line="258"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Times New Roman" w:cs="Times New Roman" w:eastAsia="Times New Roman" w:hAnsi="Times New Roman"/>
          <w:sz w:val="18"/>
          <w:szCs w:val="18"/>
          <w:color w:val="auto"/>
        </w:rPr>
      </w:pPr>
    </w:p>
    <w:p>
      <w:pPr>
        <w:ind w:left="1020" w:hanging="479"/>
        <w:spacing w:after="0" w:line="258" w:lineRule="auto"/>
        <w:tabs>
          <w:tab w:leader="none" w:pos="89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020" w:hanging="479"/>
        <w:spacing w:after="0" w:line="258" w:lineRule="auto"/>
        <w:tabs>
          <w:tab w:leader="none" w:pos="89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hanging="479"/>
        <w:spacing w:after="0" w:line="266" w:lineRule="auto"/>
        <w:tabs>
          <w:tab w:leader="none" w:pos="89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hanging="479"/>
        <w:spacing w:after="0" w:line="266" w:lineRule="auto"/>
        <w:tabs>
          <w:tab w:leader="none" w:pos="89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May 11, 2022</w:t>
      </w:r>
      <w:r>
        <w:rPr>
          <w:sz w:val="20"/>
          <w:szCs w:val="20"/>
          <w:color w:val="auto"/>
        </w:rPr>
        <w:tab/>
      </w:r>
      <w:r>
        <w:rPr>
          <w:rFonts w:ascii="Times New Roman" w:cs="Times New Roman" w:eastAsia="Times New Roman" w:hAnsi="Times New Roman"/>
          <w:sz w:val="18"/>
          <w:szCs w:val="18"/>
          <w:color w:val="auto"/>
        </w:rPr>
        <w:t>By: /s/ Steven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Steven Hansen</w:t>
      </w:r>
    </w:p>
    <w:p>
      <w:pPr>
        <w:ind w:left="60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Sarcos Technology and Robotics Corporation (the “Company”) on Form 10-Q for the period ending March 31, 2022 as filed with the Securities and Exchange Commission on the date hereof (the “Report”), I certify, pursuant to 18 U.S.C. § 1350, as adopted pursuant to § 906 of the Sarbanes-Oxley Act of 2002, that:</w:t>
      </w:r>
    </w:p>
    <w:p>
      <w:pPr>
        <w:spacing w:after="0" w:line="190" w:lineRule="exact"/>
        <w:rPr>
          <w:sz w:val="20"/>
          <w:szCs w:val="20"/>
          <w:color w:val="auto"/>
        </w:rPr>
      </w:pPr>
    </w:p>
    <w:p>
      <w:pPr>
        <w:ind w:left="900" w:hanging="359"/>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May 11, 2022</w:t>
      </w:r>
      <w:r>
        <w:rPr>
          <w:sz w:val="20"/>
          <w:szCs w:val="20"/>
          <w:color w:val="auto"/>
        </w:rPr>
        <w:tab/>
      </w:r>
      <w:r>
        <w:rPr>
          <w:rFonts w:ascii="Times New Roman" w:cs="Times New Roman" w:eastAsia="Times New Roman" w:hAnsi="Times New Roman"/>
          <w:sz w:val="18"/>
          <w:szCs w:val="18"/>
          <w:color w:val="auto"/>
        </w:rPr>
        <w:t>By: /s/ Kiva A. Allgood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Kiva A. Allgood</w:t>
      </w:r>
    </w:p>
    <w:p>
      <w:pPr>
        <w:ind w:left="60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Sarcos Technology and Robotics Corporation (the “Company”) on Form 10-Q for the period ending March 31, 20221 as filed with the Securities and Exchange Commission on the date hereof (the “Report”), I certify, pursuant to 18 U.S.C. § 1350, as adopted pursuant to § 906 of the Sarbanes-Oxley Act of 2002, that:</w:t>
      </w:r>
    </w:p>
    <w:p>
      <w:pPr>
        <w:spacing w:after="0" w:line="190" w:lineRule="exact"/>
        <w:rPr>
          <w:sz w:val="20"/>
          <w:szCs w:val="20"/>
          <w:color w:val="auto"/>
        </w:rPr>
      </w:pPr>
    </w:p>
    <w:p>
      <w:pPr>
        <w:ind w:left="900" w:hanging="359"/>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May 11, 2022</w:t>
      </w:r>
      <w:r>
        <w:rPr>
          <w:sz w:val="20"/>
          <w:szCs w:val="20"/>
          <w:color w:val="auto"/>
        </w:rPr>
        <w:tab/>
      </w:r>
      <w:r>
        <w:rPr>
          <w:rFonts w:ascii="Times New Roman" w:cs="Times New Roman" w:eastAsia="Times New Roman" w:hAnsi="Times New Roman"/>
          <w:sz w:val="18"/>
          <w:szCs w:val="18"/>
          <w:color w:val="auto"/>
        </w:rPr>
        <w:t>By: /s/ Steven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Steven Hansen</w:t>
      </w:r>
    </w:p>
    <w:p>
      <w:pPr>
        <w:ind w:left="60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6" w:name="page77"/>
    <w:bookmarkEnd w:id="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2"/>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1"/>
      <w:numFmt w:val="decimal"/>
      <w:start w:val="1"/>
    </w:lvl>
    <w:lvl w:ilvl="1">
      <w:lvlJc w:val="left"/>
      <w:lvlText w:val="(%2)"/>
      <w:numFmt w:val="decimal"/>
      <w:start w:val="1"/>
    </w:lvl>
  </w:abstractNum>
  <w:abstractNum w:abstractNumId="10">
    <w:nsid w:val="836C40E"/>
    <w:multiLevelType w:val="hybridMultilevel"/>
    <w:lvl w:ilvl="0">
      <w:lvlJc w:val="left"/>
      <w:lvlText w:val="%1."/>
      <w:numFmt w:val="decimal"/>
      <w:start w:val="6"/>
    </w:lvl>
    <w:lvl w:ilvl="1">
      <w:lvlJc w:val="left"/>
      <w:lvlText w:val="%2"/>
      <w:numFmt w:val="decimal"/>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decimal"/>
      <w:start w:val="7"/>
    </w:lvl>
    <w:lvl w:ilvl="1">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1)"/>
      <w:numFmt w:val="lowerRoman"/>
      <w:start w:val="2"/>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lvl w:ilvl="1">
      <w:lvlJc w:val="left"/>
      <w:lvlText w:val="%2"/>
      <w:numFmt w:val="decimal"/>
      <w:start w:val="104"/>
    </w:lvl>
  </w:abstractNum>
  <w:abstractNum w:abstractNumId="38">
    <w:nsid w:val="6A2342EC"/>
    <w:multiLevelType w:val="hybridMultilevel"/>
    <w:lvl w:ilvl="0">
      <w:lvlJc w:val="left"/>
      <w:lvlText w:val="**"/>
      <w:numFmt w:val="bullet"/>
      <w:start w:val="1"/>
    </w:lvl>
    <w:lvl w:ilvl="1">
      <w:lvlJc w:val="left"/>
      <w:lvlText w:val="%2"/>
      <w:numFmt w:val="decimal"/>
      <w:start w:val="1"/>
    </w:lvl>
  </w:abstractNum>
  <w:abstractNum w:abstractNumId="39">
    <w:nsid w:val="2A487CB0"/>
    <w:multiLevelType w:val="hybridMultilevel"/>
    <w:lvl w:ilvl="0">
      <w:lvlJc w:val="left"/>
      <w:lvlText w:val="(%1)"/>
      <w:numFmt w:val="lowerLetter"/>
      <w:start w:val="1"/>
    </w:lvl>
    <w:lvl w:ilvl="1">
      <w:lvlJc w:val="left"/>
      <w:lvlText w:val="%2."/>
      <w:numFmt w:val="lowerLetter"/>
      <w:start w:val="1"/>
    </w:lvl>
  </w:abstractNum>
  <w:abstractNum w:abstractNumId="40">
    <w:nsid w:val="1D4ED43B"/>
    <w:multiLevelType w:val="hybridMultilevel"/>
    <w:lvl w:ilvl="0">
      <w:lvlJc w:val="left"/>
      <w:lvlText w:val="%1"/>
      <w:numFmt w:val="lowerLetter"/>
      <w:start w:val="1"/>
    </w:lvl>
    <w:lvl w:ilvl="1">
      <w:lvlJc w:val="left"/>
      <w:lvlText w:val="%2."/>
      <w:numFmt w:val="lowerLetter"/>
      <w:start w:val="3"/>
    </w:lvl>
  </w:abstractNum>
  <w:abstractNum w:abstractNumId="41">
    <w:nsid w:val="725A06FB"/>
    <w:multiLevelType w:val="hybridMultilevel"/>
    <w:lvl w:ilvl="0">
      <w:lvlJc w:val="left"/>
      <w:lvlText w:val="(%1)"/>
      <w:numFmt w:val="lowerLetter"/>
      <w:start w:val="4"/>
    </w:lvl>
    <w:lvl w:ilvl="1">
      <w:lvlJc w:val="left"/>
      <w:lvlText w:val="%2."/>
      <w:numFmt w:val="lowerLetter"/>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32" Type="http://schemas.openxmlformats.org/officeDocument/2006/relationships/image" Target="media/image216.png"/><Relationship Id="rId233" Type="http://schemas.openxmlformats.org/officeDocument/2006/relationships/image" Target="media/image217.png"/><Relationship Id="rId234" Type="http://schemas.openxmlformats.org/officeDocument/2006/relationships/image" Target="media/image218.png"/><Relationship Id="rId235" Type="http://schemas.openxmlformats.org/officeDocument/2006/relationships/image" Target="media/image219.png"/><Relationship Id="rId236" Type="http://schemas.openxmlformats.org/officeDocument/2006/relationships/image" Target="media/image220.png"/><Relationship Id="rId237" Type="http://schemas.openxmlformats.org/officeDocument/2006/relationships/image" Target="media/image221.png"/><Relationship Id="rId238" Type="http://schemas.openxmlformats.org/officeDocument/2006/relationships/image" Target="media/image222.png"/><Relationship Id="rId239" Type="http://schemas.openxmlformats.org/officeDocument/2006/relationships/image" Target="media/image223.png"/><Relationship Id="rId240" Type="http://schemas.openxmlformats.org/officeDocument/2006/relationships/image" Target="media/image224.png"/><Relationship Id="rId241" Type="http://schemas.openxmlformats.org/officeDocument/2006/relationships/image" Target="media/image225.png"/><Relationship Id="rId242" Type="http://schemas.openxmlformats.org/officeDocument/2006/relationships/image" Target="media/image226.png"/><Relationship Id="rId243" Type="http://schemas.openxmlformats.org/officeDocument/2006/relationships/image" Target="media/image227.png"/><Relationship Id="rId244" Type="http://schemas.openxmlformats.org/officeDocument/2006/relationships/image" Target="media/image228.png"/><Relationship Id="rId245" Type="http://schemas.openxmlformats.org/officeDocument/2006/relationships/image" Target="media/image229.png"/><Relationship Id="rId246" Type="http://schemas.openxmlformats.org/officeDocument/2006/relationships/image" Target="media/image230.png"/><Relationship Id="rId247" Type="http://schemas.openxmlformats.org/officeDocument/2006/relationships/image" Target="media/image231.png"/><Relationship Id="rId248" Type="http://schemas.openxmlformats.org/officeDocument/2006/relationships/image" Target="media/image232.png"/><Relationship Id="rId249" Type="http://schemas.openxmlformats.org/officeDocument/2006/relationships/image" Target="media/image233.png"/><Relationship Id="rId223" Type="http://schemas.openxmlformats.org/officeDocument/2006/relationships/hyperlink" Target="https://www.sec.gov/Archives/edgar/data/0001826681/000156459022012046/strc-ex21_6.htm" TargetMode="External"/><Relationship Id="rId224" Type="http://schemas.openxmlformats.org/officeDocument/2006/relationships/hyperlink" Target="https://www.sec.gov/Archives/edgar/data/1826681/000156459021049662/strc-ex31_83.htm" TargetMode="External"/><Relationship Id="rId225" Type="http://schemas.openxmlformats.org/officeDocument/2006/relationships/hyperlink" Target="https://www.sec.gov/Archives/edgar/data/0001826681/000156459022016149/strc-ex31_129.htm" TargetMode="External"/><Relationship Id="rId226" Type="http://schemas.openxmlformats.org/officeDocument/2006/relationships/hyperlink" Target="https://www.sec.gov/Archives/edgar/data/0001826681/000156459022012046/strc-ex41_8.htm" TargetMode="External"/><Relationship Id="rId227" Type="http://schemas.openxmlformats.org/officeDocument/2006/relationships/hyperlink" Target="https://www.sec.gov/Archives/edgar/data/0001826681/000156459022012046/strc-ex101_7.htm" TargetMode="External"/><Relationship Id="rId228" Type="http://schemas.openxmlformats.org/officeDocument/2006/relationships/hyperlink" Target="https://www.sec.gov/Archives/edgar/data/0001826681/000095017022005250/strc-ex99_1.htm" TargetMode="External"/><Relationship Id="rId229" Type="http://schemas.openxmlformats.org/officeDocument/2006/relationships/hyperlink" Target="https://www.sec.gov/Archives/edgar/data/0001826681/000156459022016149/strc-ex101_8.htm" TargetMode="External"/><Relationship Id="rId230" Type="http://schemas.openxmlformats.org/officeDocument/2006/relationships/hyperlink" Target="https://www.sec.gov/Archives/edgar/data/0001826681/000156459022016149/strc-ex102_6.htm" TargetMode="External"/><Relationship Id="rId231" Type="http://schemas.openxmlformats.org/officeDocument/2006/relationships/hyperlink" Target="https://www.sec.gov/Archives/edgar/data/0001826681/000156459022016149/strc-ex103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2022-05-11T15:26:23Z</dcterms:created>
  <dcterms:modified xsi:type="dcterms:W3CDTF">2022-05-11T15:26:23Z</dcterms:modified>
</cp:coreProperties>
</file>