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80" w:right="1600" w:hanging="365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001-39897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Palladyne AI Corp.</w:t>
      </w:r>
    </w:p>
    <w:p>
      <w:pPr>
        <w:sectPr>
          <w:pgSz w:w="11900" w:h="16838" w:orient="portrait"/>
          <w:cols w:equalWidth="0" w:num="1">
            <w:col w:w="11240"/>
          </w:cols>
          <w:pgMar w:left="320" w:top="1159"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650 South 500 West, Suite 150</w:t>
      </w:r>
    </w:p>
    <w:p>
      <w:pPr>
        <w:spacing w:after="0" w:line="12"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Salt Lake City, Utah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85-2838301</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84101</w:t>
      </w:r>
    </w:p>
    <w:p>
      <w:pPr>
        <w:spacing w:after="0" w:line="27" w:lineRule="exact"/>
        <w:rPr>
          <w:sz w:val="24"/>
          <w:szCs w:val="24"/>
          <w:color w:val="auto"/>
        </w:rPr>
      </w:pPr>
    </w:p>
    <w:p>
      <w:pPr>
        <w:sectPr>
          <w:pgSz w:w="11900" w:h="16838" w:orient="portrait"/>
          <w:cols w:equalWidth="0" w:num="2">
            <w:col w:w="7700" w:space="240"/>
            <w:col w:w="3300"/>
          </w:cols>
          <w:pgMar w:left="320" w:top="1159" w:right="3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3940" w:type="dxa"/>
            <w:vAlign w:val="bottom"/>
          </w:tcPr>
          <w:p>
            <w:pPr>
              <w:ind w:left="17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ind w:left="128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57"/>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(888) 927-7296</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3"/>
                <w:szCs w:val="23"/>
                <w:color w:val="auto"/>
              </w:rPr>
            </w:pPr>
          </w:p>
        </w:tc>
        <w:tc>
          <w:tcPr>
            <w:tcW w:w="730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463"/>
        </w:trPr>
        <w:tc>
          <w:tcPr>
            <w:tcW w:w="3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4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3940" w:type="dxa"/>
            <w:vAlign w:val="bottom"/>
          </w:tcPr>
          <w:p>
            <w:pPr>
              <w:jc w:val="center"/>
              <w:ind w:left="381"/>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PDYN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383"/>
        </w:trPr>
        <w:tc>
          <w:tcPr>
            <w:tcW w:w="45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Redeemable warrants, exercisable for shares of Common Stock at</w:t>
            </w:r>
          </w:p>
        </w:tc>
        <w:tc>
          <w:tcPr>
            <w:tcW w:w="20" w:type="dxa"/>
            <w:vAlign w:val="bottom"/>
          </w:tcPr>
          <w:p>
            <w:pPr>
              <w:spacing w:after="0"/>
              <w:rPr>
                <w:sz w:val="24"/>
                <w:szCs w:val="24"/>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PDYNW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02"/>
        </w:trPr>
        <w:tc>
          <w:tcPr>
            <w:tcW w:w="3940" w:type="dxa"/>
            <w:vAlign w:val="bottom"/>
            <w:vMerge w:val="restart"/>
          </w:tcPr>
          <w:p>
            <w:pPr>
              <w:jc w:val="center"/>
              <w:ind w:left="401"/>
              <w:spacing w:after="0"/>
              <w:rPr>
                <w:sz w:val="20"/>
                <w:szCs w:val="20"/>
                <w:color w:val="auto"/>
              </w:rPr>
            </w:pPr>
            <w:r>
              <w:rPr>
                <w:rFonts w:ascii="Times New Roman" w:cs="Times New Roman" w:eastAsia="Times New Roman" w:hAnsi="Times New Roman"/>
                <w:sz w:val="16"/>
                <w:szCs w:val="16"/>
                <w:color w:val="auto"/>
              </w:rPr>
              <w:t>an exercise price of $69.00 per share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29, 2025 the registrant had 41,948,874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Borders>
              <w:left w:val="single" w:sz="8" w:color="0000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14"/>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3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Risk Factors of this report. The following is a summary of the principal risks we face:</w:t>
      </w:r>
    </w:p>
    <w:p>
      <w:pPr>
        <w:spacing w:after="0" w:line="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expect to incur significant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yet to achieve positive operating cash flow and our ability to generate positive cash flow is uncertain.</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AI/ML Foundational Technology and related products may be delayed beyond our current expectations and therefore product availability to customers, customer acquisition and receipt of product revenue could be delayed.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revenues are expected to be primarily derived from the licensing of our AI/ML software products for the foreseeable future.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issues in the development and use of our AI/ML Foundational Technology or related products, or issues in products developed by others, may result in reputational harm or liability.</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AI/ML Foundational Technology and related products are new technologies and the timing and magnitude of revenues from customers is uncertain. If we cannot successfully commercialize our AI/ML Foundational Technology and related products on our expected schedule, if our technology does not offer our potential customers the features, functionality and return on investment that they expect and/or if potential customers are not willing to pay for our software products at the license rates that we currently expect, our ability to generate material revenues will be materially impaired.</w:t>
      </w:r>
    </w:p>
    <w:p>
      <w:pPr>
        <w:spacing w:after="0" w:line="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generate material revenues from our software products before we exhaust our financial resources, we may need to cease business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attract or retain customers at sufficient rates or in sufficient numbers or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with our licensing sales model.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assumptions about market demand, pricing, adoption rates and sales cycles for our software products may be inaccurate.</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related to our AI/ML Foundational Technology require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 Our products may not be competitive with other alternatives.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enhance our product offerings through our research and development efforts.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design flaws, errors, defects, glitches, bugs or malfunctions in our AI/ML Foundational Technology and related products, failure of our software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"open source" software, which could negatively affect our ability to offer our AI/ML Foundational Technology and related products and subject us to possible litigation.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ability to build our brand. We may not succeed in establishing, maintaining and strengthening an effective brand, and our brand and reputation could be harmed by negative publicity regarding us or our AI/ML Foundational Technology and related products. We believe that our previous inability to successfully commercialize our hardware products, and our resulting financial performance, damaged our prior brand. As a result, in March 2024 we changed our name to Palladyne AI Corp. and have branded our AI/ML software products accordingly.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3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67"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business, we may not be able to design, develop, market and commercialize our software products successfully.</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 in order to achieve profitability.</w:t>
      </w:r>
    </w:p>
    <w:p>
      <w:pPr>
        <w:spacing w:after="0" w:line="11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developing and commercializing our AI/ML Foundational Technology and related products, and we may never reach profitability and/or achieve significant or any licensing revenue.</w:t>
      </w:r>
    </w:p>
    <w:p>
      <w:pPr>
        <w:spacing w:after="0" w:line="53" w:lineRule="exact"/>
        <w:rPr>
          <w:rFonts w:ascii="Times New Roman" w:cs="Times New Roman" w:eastAsia="Times New Roman" w:hAnsi="Times New Roman"/>
          <w:sz w:val="18"/>
          <w:szCs w:val="18"/>
          <w:color w:val="auto"/>
        </w:rPr>
      </w:pPr>
    </w:p>
    <w:p>
      <w:pPr>
        <w:jc w:val="both"/>
        <w:ind w:left="380" w:right="2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revenues, product demand and other factors.</w:t>
      </w:r>
    </w:p>
    <w:p>
      <w:pPr>
        <w:spacing w:after="0" w:line="53" w:lineRule="exact"/>
        <w:rPr>
          <w:rFonts w:ascii="Times New Roman" w:cs="Times New Roman" w:eastAsia="Times New Roman" w:hAnsi="Times New Roman"/>
          <w:sz w:val="18"/>
          <w:szCs w:val="18"/>
          <w:color w:val="auto"/>
        </w:rPr>
      </w:pPr>
    </w:p>
    <w:p>
      <w:pPr>
        <w:jc w:val="both"/>
        <w:ind w:left="380" w:right="2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integrate and retain a sufficient number of qualified employees, our ability to design and commercialize our AI/ML Foundational Technology and related products, operate our business and compete could be harmed.</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subject to risks associated with strategic relationships or transactions and may not identify or form desired strategic relationships in the future.</w:t>
      </w:r>
    </w:p>
    <w:p>
      <w:pPr>
        <w:spacing w:after="0" w:line="53" w:lineRule="exact"/>
        <w:rPr>
          <w:rFonts w:ascii="Times New Roman" w:cs="Times New Roman" w:eastAsia="Times New Roman" w:hAnsi="Times New Roman"/>
          <w:sz w:val="18"/>
          <w:szCs w:val="18"/>
          <w:color w:val="auto"/>
        </w:rPr>
      </w:pPr>
    </w:p>
    <w:p>
      <w:pPr>
        <w:jc w:val="both"/>
        <w:ind w:left="380" w:hanging="378"/>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development, marketing, licensing, distribution or use of our AI/ML Foundational Technology and related products or to the providing of customer service, and a failure to comply with such regulations</w:t>
      </w:r>
    </w:p>
    <w:p>
      <w:pPr>
        <w:ind w:left="380" w:right="20"/>
        <w:spacing w:after="0" w:line="250" w:lineRule="auto"/>
        <w:rPr>
          <w:sz w:val="20"/>
          <w:szCs w:val="20"/>
          <w:color w:val="auto"/>
        </w:rPr>
      </w:pPr>
      <w:r>
        <w:rPr>
          <w:rFonts w:ascii="Times New Roman" w:cs="Times New Roman" w:eastAsia="Times New Roman" w:hAnsi="Times New Roman"/>
          <w:sz w:val="18"/>
          <w:szCs w:val="18"/>
          <w:color w:val="auto"/>
        </w:rPr>
        <w:t>could lead to delays in launching our software products and/or withdrawal of our software products from the market, delay our projected revenues, increase costs and/or make our business unviable if we are unable to modify our software products to comply.</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20,148</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Pr>
          <w:p>
            <w:pPr>
              <w:spacing w:after="0"/>
              <w:rPr>
                <w:sz w:val="17"/>
                <w:szCs w:val="17"/>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$0.3 million at June 30, 2025 and December 31, 2024,</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65,813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42,730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7"/>
                <w:szCs w:val="17"/>
                <w:color w:val="auto"/>
              </w:rPr>
            </w:pPr>
          </w:p>
        </w:tc>
      </w:tr>
      <w:tr>
        <w:trPr>
          <w:trHeight w:val="23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78,309</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56,253</w:t>
            </w:r>
          </w:p>
        </w:tc>
        <w:tc>
          <w:tcPr>
            <w:tcW w:w="100" w:type="dxa"/>
            <w:vAlign w:val="bottom"/>
            <w:shd w:val="clear" w:color="auto" w:fill="CFF0FC"/>
          </w:tcPr>
          <w:p>
            <w:pPr>
              <w:spacing w:after="0"/>
              <w:rPr>
                <w:sz w:val="20"/>
                <w:szCs w:val="20"/>
                <w:color w:val="auto"/>
              </w:rPr>
            </w:pPr>
          </w:p>
        </w:tc>
      </w:tr>
      <w:tr>
        <w:trPr>
          <w:trHeight w:val="183"/>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Borders>
              <w:bottom w:val="single" w:sz="8" w:color="CFF0FC"/>
            </w:tcBorders>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51,396</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9,957</w:t>
            </w: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65,786</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$0.0001 par value, 165,000,000 shares authorized as of June 30, 2025 and December 31, 2024;</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40,370,914 and 33,883,894 shares issued and outstanding as of June 30, 2025 and December 31, 2024, respectively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481,289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(475,559)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(490,831)</w:t>
            </w:r>
          </w:p>
        </w:tc>
      </w:tr>
      <w:tr>
        <w:trPr>
          <w:trHeight w:val="20"/>
        </w:trPr>
        <w:tc>
          <w:tcPr>
            <w:tcW w:w="7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53,832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(9,533)</w:t>
            </w:r>
          </w:p>
        </w:tc>
      </w:tr>
      <w:tr>
        <w:trPr>
          <w:trHeight w:val="20"/>
        </w:trPr>
        <w:tc>
          <w:tcPr>
            <w:tcW w:w="7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78,309</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56,253</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-2407920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-2390775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-1358265</wp:posOffset>
            </wp:positionV>
            <wp:extent cx="939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-1358265</wp:posOffset>
            </wp:positionV>
            <wp:extent cx="939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6"/>
        </w:trPr>
        <w:tc>
          <w:tcPr>
            <w:tcW w:w="5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Cost of revenue (exclusive of items shown separately below)</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196"/>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9,109</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17,750</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19,294</w:t>
            </w:r>
          </w:p>
        </w:tc>
        <w:tc>
          <w:tcPr>
            <w:tcW w:w="100" w:type="dxa"/>
            <w:vAlign w:val="bottom"/>
          </w:tcPr>
          <w:p>
            <w:pPr>
              <w:spacing w:after="0"/>
              <w:rPr>
                <w:sz w:val="17"/>
                <w:szCs w:val="17"/>
                <w:color w:val="auto"/>
              </w:rPr>
            </w:pPr>
          </w:p>
        </w:tc>
      </w:tr>
      <w:tr>
        <w:trPr>
          <w:trHeight w:val="19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(8,094)</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(5,787)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(15,025)</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(13,140)</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(loss) on warrant liabilities</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29,351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(132)</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r>
      <w:tr>
        <w:trPr>
          <w:trHeight w:val="19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before income tax expense</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(7,487)</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(5,323)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(12,552)</w:t>
            </w:r>
          </w:p>
        </w:tc>
      </w:tr>
      <w:tr>
        <w:trPr>
          <w:trHeight w:val="196"/>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56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r>
      <w:tr>
        <w:trPr>
          <w:trHeight w:val="23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(7,487)</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(5,323)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(12,552)</w:t>
            </w:r>
          </w:p>
        </w:tc>
      </w:tr>
      <w:tr>
        <w:trPr>
          <w:trHeight w:val="183"/>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5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(0.20)</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(0.48)</w:t>
            </w:r>
          </w:p>
        </w:tc>
      </w:tr>
      <w:tr>
        <w:trPr>
          <w:trHeight w:val="20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2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(0.48)</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37,746,302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26,622,924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36,231,623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25,938,483</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37,746,302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26,622,924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39,567,022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25,938,483</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-1880870</wp:posOffset>
            </wp:positionV>
            <wp:extent cx="10223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-1880870</wp:posOffset>
            </wp:positionV>
            <wp:extent cx="10223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-1880870</wp:posOffset>
            </wp:positionV>
            <wp:extent cx="939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-1880870</wp:posOffset>
            </wp:positionV>
            <wp:extent cx="939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-1070610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-1070610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-1070610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-796290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-779145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-779145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-796290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-779145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58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(7,487)</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(5,323)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(12,552)</w:t>
            </w:r>
          </w:p>
        </w:tc>
        <w:tc>
          <w:tcPr>
            <w:tcW w:w="0" w:type="dxa"/>
            <w:vAlign w:val="bottom"/>
          </w:tcPr>
          <w:p>
            <w:pPr>
              <w:spacing w:after="0"/>
              <w:rPr>
                <w:sz w:val="1"/>
                <w:szCs w:val="1"/>
                <w:color w:val="auto"/>
              </w:rPr>
            </w:pPr>
          </w:p>
        </w:tc>
      </w:tr>
      <w:tr>
        <w:trPr>
          <w:trHeight w:val="21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 in unrealized (loss) income on available-for-sale investments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180" w:type="dxa"/>
            <w:vAlign w:val="bottom"/>
            <w:vMerge w:val="restart"/>
          </w:tcPr>
          <w:p>
            <w:pPr>
              <w:jc w:val="right"/>
              <w:ind w:right="2219"/>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 income</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(7,490)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(5,322)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(12,555)</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-312420</wp:posOffset>
            </wp:positionV>
            <wp:extent cx="102235" cy="170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-312420</wp:posOffset>
            </wp:positionV>
            <wp:extent cx="102235" cy="170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-312420</wp:posOffset>
            </wp:positionV>
            <wp:extent cx="93980" cy="170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-312420</wp:posOffset>
            </wp:positionV>
            <wp:extent cx="93980" cy="170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280" w:type="dxa"/>
            <w:vAlign w:val="bottom"/>
            <w:gridSpan w:val="3"/>
            <w:vMerge w:val="restart"/>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60" w:type="dxa"/>
            <w:vAlign w:val="bottom"/>
          </w:tcPr>
          <w:p>
            <w:pPr>
              <w:spacing w:after="0"/>
              <w:rPr>
                <w:sz w:val="17"/>
                <w:szCs w:val="17"/>
                <w:color w:val="auto"/>
              </w:rPr>
            </w:pPr>
          </w:p>
        </w:tc>
        <w:tc>
          <w:tcPr>
            <w:tcW w:w="228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2280" w:type="dxa"/>
            <w:vAlign w:val="bottom"/>
            <w:tcBorders>
              <w:bottom w:val="single" w:sz="8" w:color="auto"/>
            </w:tcBorders>
            <w:gridSpan w:val="3"/>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25,877,865</w:t>
            </w:r>
          </w:p>
        </w:tc>
        <w:tc>
          <w:tcPr>
            <w:tcW w:w="140" w:type="dxa"/>
            <w:vAlign w:val="bottom"/>
          </w:tcPr>
          <w:p>
            <w:pPr>
              <w:spacing w:after="0"/>
              <w:rPr>
                <w:sz w:val="17"/>
                <w:szCs w:val="17"/>
                <w:color w:val="auto"/>
              </w:rPr>
            </w:pPr>
          </w:p>
        </w:tc>
        <w:tc>
          <w:tcPr>
            <w:tcW w:w="90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459,113</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(418,214)</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697,967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withholdings</w:t>
            </w:r>
          </w:p>
        </w:tc>
        <w:tc>
          <w:tcPr>
            <w:tcW w:w="13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(23,260)</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(7,229)</w:t>
            </w: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(7,229)</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26,552,572</w:t>
            </w:r>
          </w:p>
        </w:tc>
        <w:tc>
          <w:tcPr>
            <w:tcW w:w="14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459,642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(425,443)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198,127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withholdings</w:t>
            </w:r>
          </w:p>
        </w:tc>
        <w:tc>
          <w:tcPr>
            <w:tcW w:w="13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(15,200)</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34,195</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(5,323)</w:t>
            </w:r>
          </w:p>
        </w:tc>
        <w:tc>
          <w:tcPr>
            <w:tcW w:w="1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(5,323)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26,769,694</w:t>
            </w:r>
          </w:p>
        </w:tc>
        <w:tc>
          <w:tcPr>
            <w:tcW w:w="140" w:type="dxa"/>
            <w:vAlign w:val="bottom"/>
            <w:tcBorders>
              <w:right w:val="single" w:sz="8" w:color="CFF0FC"/>
            </w:tcBorders>
            <w:shd w:val="clear" w:color="auto" w:fill="CFF0FC"/>
          </w:tcPr>
          <w:p>
            <w:pPr>
              <w:spacing w:after="0"/>
              <w:rPr>
                <w:sz w:val="18"/>
                <w:szCs w:val="18"/>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460,574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(430,766)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160" w:type="dxa"/>
            <w:vAlign w:val="bottom"/>
          </w:tcPr>
          <w:p>
            <w:pPr>
              <w:spacing w:after="0"/>
              <w:rPr>
                <w:sz w:val="24"/>
                <w:szCs w:val="24"/>
                <w:color w:val="auto"/>
              </w:rPr>
            </w:pPr>
          </w:p>
        </w:tc>
        <w:tc>
          <w:tcPr>
            <w:tcW w:w="2280" w:type="dxa"/>
            <w:vAlign w:val="bottom"/>
            <w:gridSpan w:val="3"/>
            <w:vMerge w:val="restart"/>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60" w:type="dxa"/>
            <w:vAlign w:val="bottom"/>
          </w:tcPr>
          <w:p>
            <w:pPr>
              <w:spacing w:after="0"/>
              <w:rPr>
                <w:sz w:val="17"/>
                <w:szCs w:val="17"/>
                <w:color w:val="auto"/>
              </w:rPr>
            </w:pPr>
          </w:p>
        </w:tc>
        <w:tc>
          <w:tcPr>
            <w:tcW w:w="228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2280" w:type="dxa"/>
            <w:vAlign w:val="bottom"/>
            <w:tcBorders>
              <w:bottom w:val="single" w:sz="8" w:color="auto"/>
            </w:tcBorders>
            <w:gridSpan w:val="3"/>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33,883,894</w:t>
            </w:r>
          </w:p>
        </w:tc>
        <w:tc>
          <w:tcPr>
            <w:tcW w:w="14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481,289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(490,831)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(9,533)</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w:t>
            </w:r>
          </w:p>
        </w:tc>
        <w:tc>
          <w:tcPr>
            <w:tcW w:w="12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plans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492,815</w:t>
            </w:r>
          </w:p>
        </w:tc>
        <w:tc>
          <w:tcPr>
            <w:tcW w:w="140" w:type="dxa"/>
            <w:vAlign w:val="bottom"/>
            <w:tcBorders>
              <w:right w:val="single" w:sz="8" w:color="CFF0FC"/>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cost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1,335,807</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35,712,516</w:t>
            </w:r>
          </w:p>
        </w:tc>
        <w:tc>
          <w:tcPr>
            <w:tcW w:w="140" w:type="dxa"/>
            <w:vAlign w:val="bottom"/>
            <w:tcBorders>
              <w:right w:val="single" w:sz="8" w:color="CFF0FC"/>
            </w:tcBorders>
            <w:shd w:val="clear" w:color="auto" w:fill="CFF0FC"/>
          </w:tcPr>
          <w:p>
            <w:pPr>
              <w:spacing w:after="0"/>
              <w:rPr>
                <w:sz w:val="20"/>
                <w:szCs w:val="20"/>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496,370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(468,072)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6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w:t>
            </w:r>
          </w:p>
        </w:tc>
        <w:tc>
          <w:tcPr>
            <w:tcW w:w="12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plans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88,123</w:t>
            </w:r>
          </w:p>
        </w:tc>
        <w:tc>
          <w:tcPr>
            <w:tcW w:w="140" w:type="dxa"/>
            <w:vAlign w:val="bottom"/>
            <w:tcBorders>
              <w:right w:val="single" w:sz="8" w:color="CFF0FC"/>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15,097</w:t>
            </w:r>
          </w:p>
        </w:tc>
        <w:tc>
          <w:tcPr>
            <w:tcW w:w="14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cost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1,720,422</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Exercise of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2,790,700</w:t>
            </w:r>
          </w:p>
        </w:tc>
        <w:tc>
          <w:tcPr>
            <w:tcW w:w="14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17,302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(7,487)</w:t>
            </w: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(7,487)</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40,370,914</w:t>
            </w:r>
          </w:p>
        </w:tc>
        <w:tc>
          <w:tcPr>
            <w:tcW w:w="14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529,393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(475,559)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-4453255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-4453255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-4453255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-4453255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-4453255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-4453255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-3124835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-3107690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-3124835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-3107690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-3124835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-3107690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-3124835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-3107690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-3124835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-3107690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-3124835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-3107690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-1324610</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-1307465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-1324610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-1307465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-1324610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-1307465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-1324610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-1307465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-1324610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-1307465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-1324610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-1307465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-141605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-141605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-141605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-141605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-141605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-4445</wp:posOffset>
            </wp:positionV>
            <wp:extent cx="50660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-126365</wp:posOffset>
            </wp:positionV>
            <wp:extent cx="5066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66030" cy="8890"/>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28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960" w:type="dxa"/>
            <w:vAlign w:val="bottom"/>
          </w:tcPr>
          <w:p>
            <w:pPr>
              <w:jc w:val="right"/>
              <w:ind w:right="83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15,272</w:t>
            </w:r>
          </w:p>
        </w:tc>
        <w:tc>
          <w:tcPr>
            <w:tcW w:w="160" w:type="dxa"/>
            <w:vAlign w:val="bottom"/>
          </w:tcPr>
          <w:p>
            <w:pPr>
              <w:spacing w:after="0"/>
              <w:rPr>
                <w:sz w:val="17"/>
                <w:szCs w:val="17"/>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(12,552)</w:t>
            </w:r>
          </w:p>
        </w:tc>
      </w:tr>
      <w:tr>
        <w:trPr>
          <w:trHeight w:val="203"/>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17"/>
                <w:szCs w:val="17"/>
                <w:color w:val="auto"/>
              </w:rPr>
            </w:pP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9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(29,351)</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investment discount</w:t>
            </w:r>
          </w:p>
        </w:tc>
        <w:tc>
          <w:tcPr>
            <w:tcW w:w="9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w:t>
            </w:r>
          </w:p>
        </w:tc>
        <w:tc>
          <w:tcPr>
            <w:tcW w:w="9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(283)</w:t>
            </w: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7"/>
                <w:szCs w:val="17"/>
                <w:color w:val="auto"/>
              </w:rPr>
            </w:pP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assets &amp; other non-current assets</w:t>
            </w: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(844)</w:t>
            </w: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 and current operating lease liabilities</w:t>
            </w:r>
          </w:p>
        </w:tc>
        <w:tc>
          <w:tcPr>
            <w:tcW w:w="9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(2,855)</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(610)</w:t>
            </w:r>
          </w:p>
        </w:tc>
      </w:tr>
      <w:tr>
        <w:trPr>
          <w:trHeight w:val="196"/>
        </w:trPr>
        <w:tc>
          <w:tcPr>
            <w:tcW w:w="7760" w:type="dxa"/>
            <w:vAlign w:val="bottom"/>
            <w:tcBorders>
              <w:top w:val="single" w:sz="8" w:color="CFF0FC"/>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(205)</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(47,036)</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(33,129)</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15,795</w:t>
            </w:r>
          </w:p>
        </w:tc>
        <w:tc>
          <w:tcPr>
            <w:tcW w:w="100" w:type="dxa"/>
            <w:vAlign w:val="bottom"/>
          </w:tcPr>
          <w:p>
            <w:pPr>
              <w:spacing w:after="0"/>
              <w:rPr>
                <w:sz w:val="17"/>
                <w:szCs w:val="17"/>
                <w:color w:val="auto"/>
              </w:rPr>
            </w:pPr>
          </w:p>
        </w:tc>
      </w:tr>
      <w:tr>
        <w:trPr>
          <w:trHeight w:val="19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under ESPP</w:t>
            </w: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exercise of warrants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repurchased for payment of tax withholdings</w:t>
            </w:r>
          </w:p>
        </w:tc>
        <w:tc>
          <w:tcPr>
            <w:tcW w:w="9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obligations under capital leases</w:t>
            </w:r>
          </w:p>
        </w:tc>
        <w:tc>
          <w:tcPr>
            <w:tcW w:w="9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28,432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transaction costs related to issuance of common stock</w:t>
            </w:r>
          </w:p>
        </w:tc>
        <w:tc>
          <w:tcPr>
            <w:tcW w:w="9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9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(11,040)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00" w:type="dxa"/>
            <w:vAlign w:val="bottom"/>
          </w:tcPr>
          <w:p>
            <w:pPr>
              <w:spacing w:after="0"/>
              <w:rPr>
                <w:sz w:val="17"/>
                <w:szCs w:val="17"/>
                <w:color w:val="auto"/>
              </w:rPr>
            </w:pPr>
          </w:p>
        </w:tc>
      </w:tr>
      <w:tr>
        <w:trPr>
          <w:trHeight w:val="203"/>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60" w:type="dxa"/>
            <w:vAlign w:val="bottom"/>
          </w:tcPr>
          <w:p>
            <w:pPr>
              <w:jc w:val="right"/>
              <w:ind w:right="83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20,148</w:t>
            </w:r>
          </w:p>
        </w:tc>
        <w:tc>
          <w:tcPr>
            <w:tcW w:w="160" w:type="dxa"/>
            <w:vAlign w:val="bottom"/>
          </w:tcPr>
          <w:p>
            <w:pPr>
              <w:spacing w:after="0"/>
              <w:rPr>
                <w:sz w:val="17"/>
                <w:szCs w:val="17"/>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25,831</w:t>
            </w:r>
          </w:p>
        </w:tc>
        <w:tc>
          <w:tcPr>
            <w:tcW w:w="10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-2412365</wp:posOffset>
            </wp:positionV>
            <wp:extent cx="93980" cy="1708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-2412365</wp:posOffset>
            </wp:positionV>
            <wp:extent cx="93980" cy="1708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-427990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right="5680" w:firstLine="8"/>
        <w:spacing w:after="0" w:line="487"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Description of the Business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full-stack, closed-loop autonomy software ("AI/ML Foundational Technology") is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or the latency associated with processing in the cloud.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accounting principles generally accepted in the United States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June 30, 2025 are unaudited. The condensed consolidated balance sheet as of December 31, 2024 included herein was derived from the audited consolidated financial statements as of that date. Certain information and note disclosures normally included in annual financial statements prepared in accordance with GAAP have been condensed or omitted. As such, the information included herein should be read in conjunction with the consolidated financial statements and accompanying notes as of and for the year ended December 31, 2024 included in the Company’s Annual Report on Form 10-K filed with the SEC on February 20,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 and 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and use of estimates and assumptions described in the annual consolidated financial statements for the year ended December 31, 2024 that have had a material impact on the Company’s condensed consolidated financial statements and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cash equivalents and marketable securities were $62.7 million as of June 30, 2025, compared to $40.1 million as of December 31, 2024. The Company has incurred losses from operations and negative cash flows from operations since inception and is likely to continue to incur losses and negative cash flows from operations in the near term. As of June 30, 2025, the Company had an accumulated deficit of approximately $475.6 million and working capital of $62.0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 of liquidity has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and success of sales and marketing activities, revenue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178" w:lineRule="exact"/>
        <w:rPr>
          <w:sz w:val="20"/>
          <w:szCs w:val="20"/>
          <w:color w:val="auto"/>
        </w:rPr>
      </w:pPr>
    </w:p>
    <w:p>
      <w:pPr>
        <w:jc w:val="both"/>
        <w:ind w:left="1020" w:hanging="503"/>
        <w:spacing w:after="0" w:line="256"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(a)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 terms related to these products and services, (b) the contract has commercial substance and (c)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82" w:lineRule="exact"/>
        <w:rPr>
          <w:rFonts w:ascii="Times New Roman" w:cs="Times New Roman" w:eastAsia="Times New Roman" w:hAnsi="Times New Roman"/>
          <w:sz w:val="18"/>
          <w:szCs w:val="18"/>
          <w:i w:val="1"/>
          <w:iCs w:val="1"/>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179"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3"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arrangements, including cost-type contracts and fixed-price contracts. Historically, product revenue primarily consists of sales of the Company's legacy hardware products. The Company has not yet generated product revenue from its Palladyne IQ and Palladyne Pilot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the Company's products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the Company's products and related technology. Fixed-price 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Revenue recognized for Product Development Contract Revenue and Product Revenue for the three and six months ended June 30, 2025 and 2024,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20" w:type="dxa"/>
            <w:vAlign w:val="bottom"/>
          </w:tcPr>
          <w:p>
            <w:pPr>
              <w:spacing w:after="0"/>
              <w:rPr>
                <w:sz w:val="18"/>
                <w:szCs w:val="18"/>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02"/>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860" w:type="dxa"/>
            <w:vAlign w:val="bottom"/>
            <w:gridSpan w:val="2"/>
            <w:shd w:val="clear" w:color="auto" w:fill="CFF0FC"/>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5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tcPr>
          <w:p>
            <w:pPr>
              <w:spacing w:after="0"/>
              <w:rPr>
                <w:sz w:val="17"/>
                <w:szCs w:val="17"/>
                <w:color w:val="auto"/>
              </w:rPr>
            </w:pPr>
          </w:p>
        </w:tc>
      </w:tr>
      <w:tr>
        <w:trPr>
          <w:trHeight w:val="216"/>
        </w:trPr>
        <w:tc>
          <w:tcPr>
            <w:tcW w:w="4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Revenue, net</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100" w:type="dxa"/>
            <w:vAlign w:val="bottom"/>
            <w:shd w:val="clear" w:color="auto" w:fill="CFF0FC"/>
          </w:tcPr>
          <w:p>
            <w:pPr>
              <w:spacing w:after="0"/>
              <w:rPr>
                <w:sz w:val="18"/>
                <w:szCs w:val="18"/>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condensed consolidated balance sheets.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as of June 30, 2025 and December 31, 2024,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03"/>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26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18"/>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8"/>
                <w:szCs w:val="18"/>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December 31, 2024</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(Decrease)/increase, net</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r>
      <w:tr>
        <w:trPr>
          <w:trHeight w:val="20"/>
        </w:trPr>
        <w:tc>
          <w:tcPr>
            <w:tcW w:w="4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June 30, 2025</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its current contract assets and current deferred revenue within prepaid expenses and other current assets and accrued liabilities, respectively. During the three and six months ended June 30, 2025, the Company recognized all of the deferred revenue which existed at December 31, 2024. During the three and six months ended June 30, 2024, the Company recognized all of the deferred revenue which existed at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backlog, or revenue related to remaining performance obligations, of $1.7 million. The Company expects approximately half of this backlog to be recognized over the next 12 months. The Company’s backlog represents the expected value of exercised contracts, both funded and unfunded, less revenue recognized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2026 and will be applied on a prospective basis with the option to apply the standard retrospectively. The Company does not expect a material impact on its consolidated financial statements related to ASU 2023-09.</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00" w:lineRule="exact"/>
        <w:rPr>
          <w:sz w:val="20"/>
          <w:szCs w:val="20"/>
          <w:color w:val="auto"/>
        </w:rPr>
      </w:pP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225"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62"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 as of June 30,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100" w:type="dxa"/>
            <w:vAlign w:val="bottom"/>
            <w:shd w:val="clear" w:color="auto" w:fill="CFF0F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42,554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42,554</w:t>
            </w:r>
          </w:p>
        </w:tc>
        <w:tc>
          <w:tcPr>
            <w:tcW w:w="100" w:type="dxa"/>
            <w:vAlign w:val="bottom"/>
            <w:shd w:val="clear" w:color="auto" w:fill="CFF0FC"/>
          </w:tcPr>
          <w:p>
            <w:pPr>
              <w:spacing w:after="0"/>
              <w:rPr>
                <w:sz w:val="17"/>
                <w:szCs w:val="17"/>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200" w:type="dxa"/>
            <w:vAlign w:val="bottom"/>
            <w:tcBorders>
              <w:bottom w:val="single" w:sz="8" w:color="auto"/>
            </w:tcBorders>
            <w:shd w:val="clear" w:color="auto" w:fill="CFF0FC"/>
          </w:tcPr>
          <w:p>
            <w:pPr>
              <w:spacing w:after="0" w:line="20" w:lineRule="exact"/>
              <w:rPr>
                <w:sz w:val="1"/>
                <w:szCs w:val="1"/>
                <w:color w:val="auto"/>
              </w:rPr>
            </w:pPr>
          </w:p>
        </w:tc>
        <w:tc>
          <w:tcPr>
            <w:tcW w:w="960" w:type="dxa"/>
            <w:vAlign w:val="bottom"/>
            <w:tcBorders>
              <w:bottom w:val="single" w:sz="8" w:color="auto"/>
            </w:tcBorders>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tcBorders>
              <w:bottom w:val="single" w:sz="8" w:color="auto"/>
            </w:tcBorders>
            <w:shd w:val="clear" w:color="auto" w:fill="CFF0FC"/>
          </w:tcPr>
          <w:p>
            <w:pPr>
              <w:spacing w:after="0" w:line="20" w:lineRule="exact"/>
              <w:rPr>
                <w:sz w:val="1"/>
                <w:szCs w:val="1"/>
                <w:color w:val="auto"/>
              </w:rPr>
            </w:pPr>
          </w:p>
        </w:tc>
        <w:tc>
          <w:tcPr>
            <w:tcW w:w="92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tcBorders>
              <w:bottom w:val="single" w:sz="8" w:color="auto"/>
            </w:tcBorders>
            <w:shd w:val="clear" w:color="auto" w:fill="CFF0FC"/>
          </w:tcPr>
          <w:p>
            <w:pPr>
              <w:spacing w:after="0" w:line="20" w:lineRule="exact"/>
              <w:rPr>
                <w:sz w:val="1"/>
                <w:szCs w:val="1"/>
                <w:color w:val="auto"/>
              </w:rPr>
            </w:pPr>
          </w:p>
        </w:tc>
        <w:tc>
          <w:tcPr>
            <w:tcW w:w="92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0"/>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6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47,516</w:t>
            </w:r>
          </w:p>
        </w:tc>
        <w:tc>
          <w:tcPr>
            <w:tcW w:w="100" w:type="dxa"/>
            <w:vAlign w:val="bottom"/>
          </w:tcPr>
          <w:p>
            <w:pPr>
              <w:spacing w:after="0"/>
              <w:rPr>
                <w:sz w:val="16"/>
                <w:szCs w:val="16"/>
                <w:color w:val="auto"/>
              </w:rPr>
            </w:pPr>
          </w:p>
        </w:tc>
      </w:tr>
      <w:tr>
        <w:trPr>
          <w:trHeight w:val="20"/>
        </w:trPr>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7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 liabilities</w:t>
            </w:r>
          </w:p>
        </w:tc>
        <w:tc>
          <w:tcPr>
            <w:tcW w:w="2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11,161</w:t>
            </w:r>
          </w:p>
        </w:tc>
        <w:tc>
          <w:tcPr>
            <w:tcW w:w="10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11,161</w:t>
            </w:r>
          </w:p>
        </w:tc>
        <w:tc>
          <w:tcPr>
            <w:tcW w:w="100" w:type="dxa"/>
            <w:vAlign w:val="bottom"/>
            <w:shd w:val="clear" w:color="auto" w:fill="CFF0FC"/>
          </w:tcPr>
          <w:p>
            <w:pPr>
              <w:spacing w:after="0"/>
              <w:rPr>
                <w:sz w:val="18"/>
                <w:szCs w:val="18"/>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-719455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12,927</w:t>
            </w: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21,810</w:t>
            </w:r>
          </w:p>
        </w:tc>
      </w:tr>
      <w:tr>
        <w:trPr>
          <w:trHeight w:val="20"/>
        </w:trPr>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7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 liabilities</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4,128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51,396</w:t>
            </w:r>
          </w:p>
        </w:tc>
      </w:tr>
      <w:tr>
        <w:trPr>
          <w:trHeight w:val="20"/>
        </w:trPr>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4,128</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51,396</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-719455</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-719455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Company held $47.5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receivable, unbilled receivables, accounts payable and accrued expenses approximate their fair values because of the relatively short periods until they are required to be settled.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from the opening balances to the closing balances for Level 3 values: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of warrants</w:t>
            </w:r>
          </w:p>
        </w:tc>
        <w:tc>
          <w:tcPr>
            <w:tcW w:w="7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(21,412)</w:t>
            </w:r>
          </w:p>
        </w:tc>
      </w:tr>
      <w:tr>
        <w:trPr>
          <w:trHeight w:val="203"/>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Exercise of warrants</w:t>
            </w:r>
          </w:p>
        </w:tc>
        <w:tc>
          <w:tcPr>
            <w:tcW w:w="7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(10,884)</w:t>
            </w:r>
          </w:p>
        </w:tc>
      </w:tr>
      <w:tr>
        <w:trPr>
          <w:trHeight w:val="204"/>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74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inventories, net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3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5660" w:type="dxa"/>
            <w:vAlign w:val="bottom"/>
            <w:gridSpan w:val="2"/>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 net</w:t>
            </w:r>
          </w:p>
        </w:tc>
        <w:tc>
          <w:tcPr>
            <w:tcW w:w="4340" w:type="dxa"/>
            <w:vAlign w:val="bottom"/>
          </w:tcPr>
          <w:p>
            <w:pPr>
              <w:spacing w:after="0"/>
              <w:rPr>
                <w:sz w:val="17"/>
                <w:szCs w:val="17"/>
                <w:color w:val="auto"/>
              </w:rPr>
            </w:pPr>
          </w:p>
        </w:tc>
        <w:tc>
          <w:tcPr>
            <w:tcW w:w="132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inventories</w:t>
            </w:r>
          </w:p>
        </w:tc>
        <w:tc>
          <w:tcPr>
            <w:tcW w:w="4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20"/>
                <w:szCs w:val="20"/>
                <w:color w:val="auto"/>
              </w:rPr>
            </w:pPr>
          </w:p>
        </w:tc>
      </w:tr>
      <w:tr>
        <w:trPr>
          <w:trHeight w:val="413"/>
        </w:trPr>
        <w:tc>
          <w:tcPr>
            <w:tcW w:w="3400" w:type="dxa"/>
            <w:vAlign w:val="bottom"/>
            <w:tcBorders>
              <w:top w:val="single" w:sz="8" w:color="CFF0FC"/>
            </w:tcBorders>
          </w:tcPr>
          <w:p>
            <w:pPr>
              <w:spacing w:after="0"/>
              <w:rPr>
                <w:sz w:val="24"/>
                <w:szCs w:val="24"/>
                <w:color w:val="auto"/>
              </w:rPr>
            </w:pPr>
          </w:p>
        </w:tc>
        <w:tc>
          <w:tcPr>
            <w:tcW w:w="4340" w:type="dxa"/>
            <w:vAlign w:val="bottom"/>
            <w:tcBorders>
              <w:top w:val="single" w:sz="8" w:color="CFF0FC"/>
            </w:tcBorders>
          </w:tcPr>
          <w:p>
            <w:pPr>
              <w:jc w:val="right"/>
              <w:ind w:right="1935"/>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prepaid expenses and other current assets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prepaid expenses and assets</w:t>
            </w: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property and equipment, net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tcPr>
          <w:p>
            <w:pPr>
              <w:spacing w:after="0"/>
              <w:rPr>
                <w:sz w:val="17"/>
                <w:szCs w:val="17"/>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7,258</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(3,014)</w:t>
            </w:r>
          </w:p>
        </w:tc>
      </w:tr>
      <w:tr>
        <w:trPr>
          <w:trHeight w:val="196"/>
        </w:trPr>
        <w:tc>
          <w:tcPr>
            <w:tcW w:w="78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Borders>
              <w:top w:val="single" w:sz="8" w:color="CFF0FC"/>
            </w:tcBorders>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Depreciation expenses were $0.2 million for the three months ended June 30, 2025 and 2024, respectively. Depreciation expenses were $0.4 million for the six months ended June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accrued liabilities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Payroll and related costs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Legal services accrual</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Other contract liabilities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7"/>
                <w:szCs w:val="17"/>
                <w:color w:val="auto"/>
              </w:rPr>
            </w:pPr>
          </w:p>
        </w:tc>
      </w:tr>
      <w:tr>
        <w:trPr>
          <w:trHeight w:val="203"/>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Earn-Out Shares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24, 2021 (the "Closing Date"), Rotor Acquisition Corp. ("Rotor"), a Delaware corporation, consummated the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 To reflect the Company's transition from a hardware-focused company to an AI software-focused company, in March 2024 the Company changed its name from Sarcos Technology and Robotics Corporation to Palladyne AI Corp.</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The Earn-Out Shares will become payable as follows:</w:t>
      </w:r>
    </w:p>
    <w:p>
      <w:pPr>
        <w:spacing w:after="0" w:line="176" w:lineRule="exact"/>
        <w:rPr>
          <w:sz w:val="20"/>
          <w:szCs w:val="20"/>
          <w:color w:val="auto"/>
        </w:rPr>
      </w:pPr>
    </w:p>
    <w:p>
      <w:pPr>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2,343,750 shares of Common Stock of the Company in the aggregate if the closing share price of a share of Common Stock of the Company is equal to or exceeds $90.00 for 20 trading days in any 30 consecutive trading day period at any time</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left="1020"/>
        <w:spacing w:after="0"/>
        <w:rPr>
          <w:sz w:val="20"/>
          <w:szCs w:val="20"/>
          <w:color w:val="auto"/>
        </w:rPr>
      </w:pPr>
      <w:r>
        <w:rPr>
          <w:rFonts w:ascii="Times New Roman" w:cs="Times New Roman" w:eastAsia="Times New Roman" w:hAnsi="Times New Roman"/>
          <w:sz w:val="18"/>
          <w:szCs w:val="18"/>
          <w:color w:val="auto"/>
        </w:rPr>
        <w:t>during the period beginning on the first anniversary of the Closing Date and ending on the fourth anniversary of the Closing Date.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2,343,750 shares of Common Stock of the Company if the closing share price of a share of Common Stock of the Company is equal to or exceeds $120.00 for 20 trading days in any 30 consecutive trading day period at any time during the period beginning on the first anniversary of the Closing Date and ending on the fifth anniversary of the Closing Date.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Earn-Out Shares are treated as equity-linked instruments as opposed to shares outstanding, and as such are not included in shares outstanding on the Company's condensed consolidated balance sheets. As of June 30, 2025, there remained 4,687,500 Earn-Out Shares potentially issuable.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DeSPAC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sixth of a share of Class A Common Stock and one half of one warrant (the "deSPAC Public Warrants"). Simultaneously with the closing of the IPO, Rotor consummated the sale of 7,270,000 warrants (the "deSPAC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deSPAC Public Warrants, and the deSPAC Private Placement Warrants (together the "deSPAC Warrants"). The deSPAC Public Warrants are listed and traded under the PDYNW ticker symbol on the Nasdaq Global Market.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whole deSPAC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deSPAC Warrants and a current prospectus relating to them is available (or the Company permits holders to exercise their deSPAC Warrants on a cashless basis under the circumstances specified in the warrant agreement (the "deSPAC Warrant Agreement") entered into between Continental Stock Transfer &amp; Trust Company and Rotor and such shares are registered, qualified or exempt from registration under the securities laws of the state of residence of the holder. Pursuant to the deSPAC Warrant Agreement, a deSPAC Warrant holder may exercise its deSPAC Warrants only for a whole number of shares of the Company's Common Stock. The deSPAC Warrants will expire five years after the completion of the Business Combination, or September 24, 2026, at 5:00 p.m., New York City time, or earlier upon redemption or liquidation. As of June 30, 2025, there were 20,549,453 DeSPAC Warrants outstanding.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deSPAC Warrant and will have no obligation to settle such deSPAC Warrant exercise unless a registration statement under the Securities Act with respect to the shares of Common Stock underlying the deSPAC Warrants is then effective and a prospectus relating thereto is current, subject to the Company satisfying its obligations described below with respect to registration, or a valid exemption from registration is available. No deSPAC Warrant will be exercisable, and the Company will not be obligated to issue a share of Common Stock upon exercise of a deSPAC Warrant unless the share of the Company's Common Stock issuable upon such deSPAC Warrant exercise has been registered, qualified or deemed to be exempt under the securities laws of the state of residence of the registered holder of the deSPAC Warrants. If the conditions in the two immediately preceding sentences are not satisfied with respect to a deSPAC Warrant, the holder of such deSPAC Warrant will not be entitled to exercise such deSPAC Warrant and such deSPAC Warrant may have no value and expire worthless. In no event will the Company be required to net cash settle any deSPAC Warrant. In the event a registration statement is not effective for the exercised deSPAC Warrants, the purchaser in the Rotor IPO of a Unit containing such deSPAC Warrant will have paid the full purchase price for the Unit solely for the share of the Company's Common Stock underlying such Unit.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herein, the deSPAC Private Placement Warrants have terms and provisions that are identical to those of the deSPAC Public Warrants. If the deSPAC Private Placement Warrants are held by holders other than the initial purchasers or their permitted transferees, the deSPAC Private Placement Warrants will be redeemable by the Company in all redemption scenarios and exercisable by the holders on the same basis as the deSPAC Public Warrants. The deSPAC Private Placement Warrants will not be redeemable by the Company so long as they are held by the initial purchasers or their permitted transferees, subject to certain exceptions. The initial purchasers or their permitted transferees, have the option to exercise the deSPAC Private Placement Warrants on a cashless basis.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deSPAC Warrants When the Price per Share of the Company's Common Stock Equals or Exceeds $108.00. </w:t>
      </w:r>
      <w:r>
        <w:rPr>
          <w:rFonts w:ascii="Times New Roman" w:cs="Times New Roman" w:eastAsia="Times New Roman" w:hAnsi="Times New Roman"/>
          <w:sz w:val="18"/>
          <w:szCs w:val="18"/>
          <w:color w:val="auto"/>
        </w:rPr>
        <w:t>Once the deSPAC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exercisable, the Company may call the deSPAC Warrants for redemption:</w:t>
      </w:r>
    </w:p>
    <w:p>
      <w:pPr>
        <w:spacing w:after="0" w:line="133"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deSPAC Warrant;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deSPAC Warrant holder; and</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deSPAC Warrants become exercisable and ending three business days before the Company sends the notice of redemption to the deSPAC Warrant holders (which is referred to as the "Reference Value") equals or exceeds $108.00 per share (as adjusted for stock splits, stock dividends, reorganizations, recapitalizations and the like).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and when the deSPAC Warrants become redeemable by the Company, the Company may exercise its redemption right even if it is unable to register or qualify the underlying securities for sale under all applicable state securities laws. However, the Company will not redeem the deSPAC Warrants unless an effective registration statement under the Securities Act covering the shares of the Company's Common Stock issuable upon exercise of the deSPAC Warrants is effective and a current prospectus relating to those shares of the Company's Common Stock is available throughout the 30-day redemption period.</w:t>
      </w:r>
    </w:p>
    <w:p>
      <w:pPr>
        <w:spacing w:after="0" w:line="18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of deSPAC Warrants When the Price per Share of Our Common Stock Equals or Exceeds $60.00. </w:t>
      </w:r>
      <w:r>
        <w:rPr>
          <w:rFonts w:ascii="Times New Roman" w:cs="Times New Roman" w:eastAsia="Times New Roman" w:hAnsi="Times New Roman"/>
          <w:sz w:val="18"/>
          <w:szCs w:val="18"/>
          <w:color w:val="auto"/>
        </w:rPr>
        <w:t>Once the deSPAC Warrants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Company may redeem the outstanding deSPAC Warrants (except as described herein with respect to the deSPAC Private Placement Warrants if the Company does not utilize this redemption provision):</w:t>
      </w:r>
    </w:p>
    <w:p>
      <w:pPr>
        <w:spacing w:after="0" w:line="135"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deSPAC Warrant upon a minimum of 30 days' prior written notice of redemption; provided that holders will be able to exercise their deSPAC Warrants on a cashless basis prior to redemption and receive that number of shares determined by reference to an agreed table based on the redemption date and the "fair market value" of the Company's Common Stock;</w:t>
      </w:r>
    </w:p>
    <w:p>
      <w:pPr>
        <w:spacing w:after="0" w:line="14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$60.00 per share (as adjusted for stock splits, stock dividends, reorganizations, recapitalizations and the like);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$108.00 per share (as adjusted for stock splits, stock dividends, reorganizations, recapitalizations and the like) the deSPAC Private Placement Warrants must also be concurrently called for redemption on the same terms (except as described above with respect to a holder's ability to cashless exercise its deSPAC Warrants) as the outstanding deSPAC Public Warrants, as described above.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the deSPAC Public Warrants and the deSPAC Private Placement Warrants are recorded as warrant liabilities on the Company's consolidated balance sheets. The Company values both the deSPAC Public and deSPAC Private Placement Warrants using the closing price of the deSPAC Public Warrants on the Nasdaq Global Market as of the reporting date. The fair value measurement for the deSPAC Public Warrants is considered a level 1 fair value measurement, and the fair value measurement for the deSPAC Private Placement Warrants is considered a level 2 fair value measurement, as the deSPAC Private Placement Warrants are substantially the same, but not identical to, the deSPAC Public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losses of $2.1 million and gains of $0.1 million related to the change in fair value of the deSPAC Warrants during the three months ended June 30, 2025 and 2024, respectively. The Company recognized gains of $7.9 million and losses of $0.1 million related to the change in fair value of the deSPAC Warrants during the six months ended June 30,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2024 Warrants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On November 1, 2024, the Company closed a registered direct offering for an aggregate of 2,790,700 shares of its common stock at a purchase price of $2.15 per share. In a concurrent private placement, the Company agreed to issue to the same investor warrants to purchase up to 2,790,700 shares of common stock (the "2024 Private Placement Warrants"). The 2024 Private Placement Warrants have an exercise price of $2.30 per share and will expire five and one-half years following the date of issue.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a separate concurrent private placement, the Company's Chief Executive Officer and certain other members of the Board of Directors purchased 430,105 shares of common stock at a price of $2.20 per share, which represented the consolidated closing bid price of the Company's common stock on the Nasdaq Global Market on October 30, 2024, and warrants to purchase up to 430,105 shares of common stock, at a price of $0.125 per warrant (the "2024 Concurrent Private Placement Warrants"). The 2024 Concurrent Private Placement Warrants have an exercise price of $2.30 per share and will expire five and one-half years following the date of issue.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Company received gross proceeds of approximately $7 million, before deducting placement agency fees and offering expenses from the registered direct offering, the 2024 Private Placement Warrants and the 2024 Concurrent Private Placement Warrants (together the "2024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On May 9, 2025, 2,790,700 of the 2024 Warrants were exercised. </w:t>
      </w:r>
      <w:r>
        <w:rPr>
          <w:rFonts w:ascii="Times New Roman" w:cs="Times New Roman" w:eastAsia="Times New Roman" w:hAnsi="Times New Roman"/>
          <w:sz w:val="18"/>
          <w:szCs w:val="18"/>
          <w:color w:val="000000"/>
        </w:rPr>
        <w:t>As of June 30, 2025, 430,105 of the 2024 Warrants were outstanding.</w:t>
      </w:r>
      <w:r>
        <w:rPr>
          <w:rFonts w:ascii="Times New Roman" w:cs="Times New Roman" w:eastAsia="Times New Roman" w:hAnsi="Times New Roman"/>
          <w:sz w:val="18"/>
          <w:szCs w:val="18"/>
          <w:color w:val="212529"/>
        </w:rPr>
        <w:t xml:space="preserve"> The 2024 Warrants are recorded as warrant liabilities on the Company's consolidated balance sheet. The Company estimated the fair value of the 2024 Warrants using the Black-Scholes valuation model, which is considered a level 3 fair value measurement. The valuation model inputs are based on </w:t>
      </w:r>
      <w:r>
        <w:rPr>
          <w:rFonts w:ascii="Times New Roman" w:cs="Times New Roman" w:eastAsia="Times New Roman" w:hAnsi="Times New Roman"/>
          <w:sz w:val="18"/>
          <w:szCs w:val="18"/>
          <w:color w:val="000000"/>
        </w:rPr>
        <w:t>assumptions related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expected volatility, expected life, risk-free interest rate and expected dividends</w:t>
      </w:r>
      <w:r>
        <w:rPr>
          <w:rFonts w:ascii="Times New Roman" w:cs="Times New Roman" w:eastAsia="Times New Roman" w:hAnsi="Times New Roman"/>
          <w:sz w:val="18"/>
          <w:szCs w:val="18"/>
          <w:color w:val="212529"/>
        </w:rPr>
        <w:t>. These estimates, especially the expected volatility, are highly judgmental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and could differ materially in the future. The Company recognized gains of $2.2 million and $21.4 million related to the change in fair value of the 2024 Warrants during the three and six months ended June 30, 2025, respectively, which are recorded as a gain on warrant liabilities within the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assumptions used in the valuation model to determine the fair value of the 2024 Warrants: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r>
      <w:tr>
        <w:trPr>
          <w:trHeight w:val="19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price</w:t>
            </w:r>
          </w:p>
        </w:tc>
        <w:tc>
          <w:tcPr>
            <w:tcW w:w="4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4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Term (in years)</w:t>
            </w:r>
          </w:p>
        </w:tc>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105.5%</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3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bl>
    <w:p>
      <w:pPr>
        <w:spacing w:after="0" w:line="194" w:lineRule="exact"/>
        <w:rPr>
          <w:sz w:val="20"/>
          <w:szCs w:val="20"/>
          <w:color w:val="auto"/>
        </w:rPr>
      </w:pPr>
    </w:p>
    <w:p>
      <w:pPr>
        <w:ind w:right="8960" w:firstLine="8"/>
        <w:spacing w:after="0" w:line="503"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2021 Stock Plan</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(a) 5.0 million shares of Common Stock of the Company plus (b)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(b) equal to 2.1 million shares of Common Stock. As of June 30, 2025, 2.0 million shares were available to grant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Old Sarcos 2015 Equity Incentive Plan (the "2015 Plan") provided stock options, RSUs, RSAs, SARS and performance awards for issuance to Old Sarcos'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Inducement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the 2024 Inducement Equity Incentive Plan (the "Inducement Plan") with an effective date of December 15, 2024 to be used exclusively for grants of nonstatutory stock options, RSUs, RSAs, SARS and performance awards to individuals who were not previously employees or directors of the Company (or who are returning to employment following a bona fide period of non-employment), as an inducement material to the individual's entry into employment with the Company. The Inducement Plan was adopted and approved without stockholder approval pursuant to Nasdaq Listing Rule 5635(c)(4). As of June 30, 2025, 475,000 shares were available to grant under the Inducement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"ESPP") provides for the issuance of shares of Common Stock pursuant to purchase rights granted to employees over designated offering periods, by funds accumulated primarily through elective payroll deductions. Offerings under the ESPP commenced in December 2024. As of June 30, 2025, 0.5 million shares were available for sale under the ESPP.</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Offering periods are generally six months long and begin on June 1 and December 1 of each year. The purchase price for shares of Common Stock purchased under the ESPP is calculated as 85% of the lesser of the fair market value of the Common Stock on (1) the first trading day of the applicable offering period or (2) the last trading day of the offering period.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six months ended June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35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220" w:type="dxa"/>
            <w:vAlign w:val="bottom"/>
          </w:tcPr>
          <w:p>
            <w:pPr>
              <w:spacing w:after="0"/>
              <w:rPr>
                <w:sz w:val="15"/>
                <w:szCs w:val="15"/>
                <w:color w:val="auto"/>
              </w:rPr>
            </w:pPr>
          </w:p>
        </w:tc>
        <w:tc>
          <w:tcPr>
            <w:tcW w:w="1520" w:type="dxa"/>
            <w:vAlign w:val="bottom"/>
          </w:tcPr>
          <w:p>
            <w:pPr>
              <w:jc w:val="center"/>
              <w:ind w:left="1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03"/>
        </w:trPr>
        <w:tc>
          <w:tcPr>
            <w:tcW w:w="3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3500" w:type="dxa"/>
            <w:vAlign w:val="bottom"/>
          </w:tcPr>
          <w:p>
            <w:pPr>
              <w:spacing w:after="0"/>
              <w:rPr>
                <w:sz w:val="18"/>
                <w:szCs w:val="18"/>
                <w:color w:val="auto"/>
              </w:rPr>
            </w:pPr>
          </w:p>
        </w:tc>
        <w:tc>
          <w:tcPr>
            <w:tcW w:w="1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r>
      <w:tr>
        <w:trPr>
          <w:trHeight w:val="19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1,396,957</w:t>
            </w:r>
          </w:p>
        </w:tc>
        <w:tc>
          <w:tcPr>
            <w:tcW w:w="1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1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1.88</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7.5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14,519</w:t>
            </w: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6.43</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(44,056)</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1.22</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3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Cancelled</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(190,161)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1.57</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June 30, 2025</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1,204,407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2.11</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7.0</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100" w:type="dxa"/>
            <w:vAlign w:val="bottom"/>
            <w:shd w:val="clear" w:color="auto" w:fill="CFF0FC"/>
          </w:tcPr>
          <w:p>
            <w:pPr>
              <w:spacing w:after="0"/>
              <w:rPr>
                <w:sz w:val="17"/>
                <w:szCs w:val="17"/>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Exercisable – December 31,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2.05</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00" w:type="dxa"/>
            <w:vAlign w:val="bottom"/>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 June 30, 2025</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766,033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2.15</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6.4</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00" w:type="dxa"/>
            <w:vAlign w:val="bottom"/>
            <w:shd w:val="clear" w:color="auto" w:fill="CFF0FC"/>
          </w:tcPr>
          <w:p>
            <w:pPr>
              <w:spacing w:after="0"/>
              <w:rPr>
                <w:sz w:val="18"/>
                <w:szCs w:val="18"/>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-299720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-299720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-299720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Repricing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2024, the Company amended certain options to purchase 773,551 shares of the Company’s Common Stock. All of the options subject to the amendments had exercise prices that exceeded the value of the Company’s Common Stock on the amendment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set of amendments, which were entered into with seven senior employees of the Company, applied to options to purchase an aggregate of 225,670 shares held by those seven senior employees. These amendments (1) re-started the vesting schedule of the amended options, including for options that had already vested and (2) reduced the per share exercise price of the options to $1.59 (the “New Exercise Price”), which is equal to the closing price of the Company’s Common Stock on April 17, 2024, the effective date of the amendments. No other terms of these options were modified.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set of amendments applied to options to purchase an aggregate of 547,881 shares held by other eligible employees and service providers of the Company with an exercise price per share greater than the New Exercise Price. These amendments reduced the per share exercise price of affected options to the New Exercise Price, which is equal to the closing price of the Company’s Common Stock on April 17, 2024, the effective date of the amendments. No other terms of such options were modified.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amendments resulted in an incremental fair value of $0.2 million. Of this amount $0.1 million related to vested options and was recognized as stock-based compensation expense on the amendment date. The remaining incremental fair value will be amortized over the remaining requisite service periods of the unvested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RSU activity for the six months ended June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5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186"/>
        </w:trPr>
        <w:tc>
          <w:tcPr>
            <w:tcW w:w="3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20" w:type="dxa"/>
            <w:vAlign w:val="bottom"/>
          </w:tcPr>
          <w:p>
            <w:pPr>
              <w:spacing w:after="0"/>
              <w:rPr>
                <w:sz w:val="16"/>
                <w:szCs w:val="16"/>
                <w:color w:val="auto"/>
              </w:rPr>
            </w:pPr>
          </w:p>
        </w:tc>
      </w:tr>
      <w:tr>
        <w:trPr>
          <w:trHeight w:val="203"/>
        </w:trPr>
        <w:tc>
          <w:tcPr>
            <w:tcW w:w="3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03"/>
        </w:trPr>
        <w:tc>
          <w:tcPr>
            <w:tcW w:w="3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3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r>
      <w:tr>
        <w:trPr>
          <w:trHeight w:val="19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5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1,457,281</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FF0FC"/>
          </w:tcPr>
          <w:p>
            <w:pPr>
              <w:spacing w:after="0"/>
              <w:rPr>
                <w:sz w:val="17"/>
                <w:szCs w:val="17"/>
                <w:color w:val="auto"/>
              </w:rPr>
            </w:pPr>
          </w:p>
        </w:tc>
      </w:tr>
      <w:tr>
        <w:trPr>
          <w:trHeight w:val="20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670,682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7"/>
                <w:szCs w:val="17"/>
                <w:color w:val="auto"/>
              </w:rPr>
            </w:pPr>
          </w:p>
        </w:tc>
      </w:tr>
      <w:tr>
        <w:trPr>
          <w:trHeight w:val="203"/>
        </w:trPr>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56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(580,938)</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FF0FC"/>
          </w:tcPr>
          <w:p>
            <w:pPr>
              <w:spacing w:after="0"/>
              <w:rPr>
                <w:sz w:val="17"/>
                <w:szCs w:val="17"/>
                <w:color w:val="auto"/>
              </w:rPr>
            </w:pPr>
          </w:p>
        </w:tc>
      </w:tr>
      <w:tr>
        <w:trPr>
          <w:trHeight w:val="20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Cancelled</w:t>
            </w:r>
          </w:p>
        </w:tc>
        <w:tc>
          <w:tcPr>
            <w:tcW w:w="3800" w:type="dxa"/>
            <w:vAlign w:val="bottom"/>
          </w:tcPr>
          <w:p>
            <w:pPr>
              <w:spacing w:after="0"/>
              <w:rPr>
                <w:sz w:val="17"/>
                <w:szCs w:val="17"/>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(166,988)</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7"/>
                <w:szCs w:val="17"/>
                <w:color w:val="auto"/>
              </w:rPr>
            </w:pPr>
          </w:p>
        </w:tc>
      </w:tr>
      <w:tr>
        <w:trPr>
          <w:trHeight w:val="236"/>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June 30, 2025</w:t>
            </w:r>
          </w:p>
        </w:tc>
        <w:tc>
          <w:tcPr>
            <w:tcW w:w="380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1,380,037</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412"/>
        </w:trPr>
        <w:tc>
          <w:tcPr>
            <w:tcW w:w="3880" w:type="dxa"/>
            <w:vAlign w:val="bottom"/>
          </w:tcPr>
          <w:p>
            <w:pPr>
              <w:spacing w:after="0"/>
              <w:rPr>
                <w:sz w:val="24"/>
                <w:szCs w:val="24"/>
                <w:color w:val="auto"/>
              </w:rPr>
            </w:pPr>
          </w:p>
        </w:tc>
        <w:tc>
          <w:tcPr>
            <w:tcW w:w="3800" w:type="dxa"/>
            <w:vAlign w:val="bottom"/>
          </w:tcPr>
          <w:p>
            <w:pPr>
              <w:jc w:val="right"/>
              <w:ind w:right="1877"/>
              <w:spacing w:after="0"/>
              <w:rPr>
                <w:sz w:val="20"/>
                <w:szCs w:val="20"/>
                <w:color w:val="auto"/>
              </w:rPr>
            </w:pPr>
            <w:r>
              <w:rPr>
                <w:rFonts w:ascii="Times New Roman" w:cs="Times New Roman" w:eastAsia="Times New Roman" w:hAnsi="Times New Roman"/>
                <w:sz w:val="18"/>
                <w:szCs w:val="18"/>
                <w:color w:val="auto"/>
              </w:rPr>
              <w:t>19</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Restricted Stock Awards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RSA activity for the six months ended June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r>
      <w:tr>
        <w:trPr>
          <w:trHeight w:val="186"/>
        </w:trPr>
        <w:tc>
          <w:tcPr>
            <w:tcW w:w="4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20" w:type="dxa"/>
            <w:vAlign w:val="bottom"/>
          </w:tcPr>
          <w:p>
            <w:pPr>
              <w:spacing w:after="0"/>
              <w:rPr>
                <w:sz w:val="16"/>
                <w:szCs w:val="16"/>
                <w:color w:val="auto"/>
              </w:rPr>
            </w:pPr>
          </w:p>
        </w:tc>
      </w:tr>
      <w:tr>
        <w:trPr>
          <w:trHeight w:val="203"/>
        </w:trPr>
        <w:tc>
          <w:tcPr>
            <w:tcW w:w="49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03"/>
        </w:trPr>
        <w:tc>
          <w:tcPr>
            <w:tcW w:w="49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4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r>
      <w:tr>
        <w:trPr>
          <w:trHeight w:val="19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2840" w:type="dxa"/>
            <w:vAlign w:val="bottom"/>
            <w:gridSpan w:val="2"/>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shd w:val="clear" w:color="auto" w:fill="CFF0FC"/>
          </w:tcPr>
          <w:p>
            <w:pPr>
              <w:spacing w:after="0"/>
              <w:rPr>
                <w:sz w:val="17"/>
                <w:szCs w:val="17"/>
                <w:color w:val="auto"/>
              </w:rPr>
            </w:pPr>
          </w:p>
        </w:tc>
      </w:tr>
      <w:tr>
        <w:trPr>
          <w:trHeight w:val="20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2840" w:type="dxa"/>
            <w:vAlign w:val="bottom"/>
            <w:gridSpan w:val="2"/>
          </w:tcPr>
          <w:p>
            <w:pPr>
              <w:spacing w:after="0"/>
              <w:rPr>
                <w:sz w:val="17"/>
                <w:szCs w:val="17"/>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(625,000)</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7"/>
                <w:szCs w:val="17"/>
                <w:color w:val="auto"/>
              </w:rPr>
            </w:pPr>
          </w:p>
        </w:tc>
      </w:tr>
      <w:tr>
        <w:trPr>
          <w:trHeight w:val="23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June 30, 2025</w:t>
            </w:r>
          </w:p>
        </w:tc>
        <w:tc>
          <w:tcPr>
            <w:tcW w:w="27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Phantom Equity Award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fourth quarter of 2024 the Company and Benjamin Wolff agreed to extend Mr. Wolff’s term of employment as the Company’s President and Chief Executive Officer, effective January 1, 2025 through December 31, 2027. The agreement includes a phantom equity award that is subject to cliff vesting based on continued employment through October 31, 2027 or upon earlier change of control or earlier qualifying termination of his employment. The Company has the option, in its sole discretion, to settle the award in full with cash or replace the award in whole or in part with restricted stock awards with respect to the Company's common stock vesting on the same condition. If settled in cash, the value of the award shall be equal to 1.8 million (as proportionately adjusted for any stock splits, dividends, combinations and the like) times the Stock FMV. The "Stock FMV" is the volume weighted average closing price per share of the Company’s stock for the 10 consecutive trading days ending on the trading day immediately prior to vesting. If, at any time during the term of the award and no later than the day immediately prior to the payment date, the Company grants Mr. Wolff one or more restricted stock awards with the same vesting conditions as the phantom equity award, the cash settlement value will be reduced by 1.2 shares for every share subject to the restricted stock award(s) up to 1.5 million shares (as proportionately adjusted for any stock splits, dividends, combinations and the like).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phantom equity award has been accounted for as an equity classified award. As of June 30, 2025, and December 31, 2024, the phantom equity award with a common stock equivalent of 1.5 million shares was outstanding with a grant-date fair value per share of $2.23. On July 2, 2025, the Company granted Mr. Wolff a restricted stock award of 1.5 million shares, which reduced the phantom equity award to zero.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 of operations and comprehensive loss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2"/>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760" w:type="dxa"/>
            <w:vAlign w:val="bottom"/>
            <w:gridSpan w:val="2"/>
            <w:shd w:val="clear" w:color="auto" w:fill="CFF0FC"/>
          </w:tcPr>
          <w:p>
            <w:pPr>
              <w:ind w:left="15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tcPr>
          <w:p>
            <w:pPr>
              <w:spacing w:after="0"/>
              <w:rPr>
                <w:sz w:val="17"/>
                <w:szCs w:val="17"/>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760" w:type="dxa"/>
            <w:vAlign w:val="bottom"/>
            <w:gridSpan w:val="2"/>
            <w:shd w:val="clear" w:color="auto" w:fill="CFF0FC"/>
          </w:tcPr>
          <w:p>
            <w:pPr>
              <w:ind w:left="15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shd w:val="clear" w:color="auto" w:fill="CFF0FC"/>
          </w:tcPr>
          <w:p>
            <w:pPr>
              <w:spacing w:after="0"/>
              <w:rPr>
                <w:sz w:val="18"/>
                <w:szCs w:val="18"/>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$8.5 million of unrecognized stock-based compensation cost, which is expected to be recognized over a weighted average period of 2.7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8. Net Income (Loss) Per Share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three and six months ended June 30,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spacing w:after="0"/>
              <w:rPr>
                <w:sz w:val="17"/>
                <w:szCs w:val="17"/>
                <w:color w:val="auto"/>
              </w:rPr>
            </w:pPr>
          </w:p>
        </w:tc>
        <w:tc>
          <w:tcPr>
            <w:tcW w:w="1000" w:type="dxa"/>
            <w:vAlign w:val="bottom"/>
            <w:gridSpan w:val="2"/>
            <w:shd w:val="clear" w:color="auto" w:fill="CFF0FC"/>
          </w:tcPr>
          <w:p>
            <w:pPr>
              <w:spacing w:after="0"/>
              <w:rPr>
                <w:sz w:val="17"/>
                <w:szCs w:val="17"/>
                <w:color w:val="auto"/>
              </w:rPr>
            </w:pPr>
          </w:p>
        </w:tc>
      </w:tr>
      <w:tr>
        <w:trPr>
          <w:trHeight w:val="20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(7,487)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(5,323)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(12,552)</w:t>
            </w:r>
          </w:p>
        </w:tc>
      </w:tr>
      <w:tr>
        <w:trPr>
          <w:trHeight w:val="20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spacing w:after="0"/>
              <w:rPr>
                <w:sz w:val="17"/>
                <w:szCs w:val="17"/>
                <w:color w:val="auto"/>
              </w:rPr>
            </w:pPr>
          </w:p>
        </w:tc>
        <w:tc>
          <w:tcPr>
            <w:tcW w:w="1000" w:type="dxa"/>
            <w:vAlign w:val="bottom"/>
            <w:gridSpan w:val="2"/>
            <w:shd w:val="clear" w:color="auto" w:fill="CFF0FC"/>
          </w:tcPr>
          <w:p>
            <w:pPr>
              <w:spacing w:after="0"/>
              <w:rPr>
                <w:sz w:val="17"/>
                <w:szCs w:val="17"/>
                <w:color w:val="auto"/>
              </w:rPr>
            </w:pPr>
          </w:p>
        </w:tc>
      </w:tr>
      <w:tr>
        <w:trPr>
          <w:trHeight w:val="20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37,746,302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26,622,924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36,231,623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25,938,483</w:t>
            </w:r>
          </w:p>
        </w:tc>
        <w:tc>
          <w:tcPr>
            <w:tcW w:w="100" w:type="dxa"/>
            <w:vAlign w:val="bottom"/>
          </w:tcPr>
          <w:p>
            <w:pPr>
              <w:spacing w:after="0"/>
              <w:rPr>
                <w:sz w:val="17"/>
                <w:szCs w:val="17"/>
                <w:color w:val="auto"/>
              </w:rPr>
            </w:pPr>
          </w:p>
        </w:tc>
      </w:tr>
      <w:tr>
        <w:trPr>
          <w:trHeight w:val="203"/>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Dilutive effect of potential common shares</w:t>
            </w: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3,335,399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1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37,746,302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26,622,924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39,567,022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25,938,483</w:t>
            </w:r>
          </w:p>
        </w:tc>
        <w:tc>
          <w:tcPr>
            <w:tcW w:w="10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(0.20)</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(0.48)</w:t>
            </w: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(0.48)</w:t>
            </w: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12,626,958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12,070,666</w:t>
            </w: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8,245,129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12,070,666</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-316230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-299720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-316230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-299720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-316230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-299720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Potentially dilutive shares, which are based on the weighted-average shares of common stock, stock options, unvested stock units, unvested stock awards, purchase rights granted under the employee stock purchase plan and warrants using the treasury stock method are included when calculating diluted net income (loss) per share attributable to the Company when their effect is dilutive. Because the Company incurred a net loss for the three months ended June 30, 2025 and 2024 and the six months ended June 30, 2024, none of the potentially dilutive common shares were included in the diluted share calculation for that period as they would have been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no significant income tax expense for the three and six months ended June 30, 2025 and 2024. The provision for income taxes for the three and six months ended June 30, 2025 and 2024 is based on the Company’s estimated annualized effective tax rate for the fiscal years ending December 31, 2025 and 2024, respectively. For the three and six months ended June 30, 2025, the Company’s recognized effective tax rate differs from the U.S. federal statutory rate as the Company recorded net taxable losses during the periods with a corresponding full valuation allowance on the net deferred tax assets created from the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which includes a broad range of tax reform provisions affecting businesses, including extending and modifying certain key Tax Cuts &amp; Jobs Act provisions (both domestic and international), expanding certain Inflation Reduction Act incentives while accelerating the phase-out of others. The Company is currently evaluating the impact of this new bill.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June 30, 2025 and December 31,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could be required to make under these indemnification provisions may not be subject to maximum loss clauses. The maximum potential amount of future payments the Company could be required to make under these indemnification provisions is indeterminable. As of June 30, 2025 and December 31, 2024,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 has a single operating segment. The Company has historically derived revenues from product development contracts focused on the development of technologies included within the Company's AI/ML Foundational Technology, which the Company expects to commercialize and sell under software license arrangements. The accounting policies of the segment are the same as those described in Note 1, Basis of Presentation and Summary of Significant Accounting Policies.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The CODM allocates resources and makes operating decisions based on consolidated net income. The CODM does not evaluate profitability below the level of the consolidated company. Net income (loss) is used to monitor results on a budget versus actual basis. Net income (loss) is adjusted for various non-recurring and non-cash transactions such as stock compensation expenses and impairment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Borders>
              <w:bottom w:val="single" w:sz="8" w:color="auto"/>
            </w:tcBorders>
            <w:gridSpan w:val="5"/>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Revenue</w:t>
            </w:r>
          </w:p>
        </w:tc>
        <w:tc>
          <w:tcPr>
            <w:tcW w:w="110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shd w:val="clear" w:color="auto" w:fill="CFF0FC"/>
          </w:tcPr>
          <w:p>
            <w:pPr>
              <w:spacing w:after="0"/>
              <w:rPr>
                <w:sz w:val="17"/>
                <w:szCs w:val="17"/>
                <w:color w:val="auto"/>
              </w:rPr>
            </w:pPr>
          </w:p>
        </w:tc>
      </w:tr>
      <w:tr>
        <w:trPr>
          <w:trHeight w:val="203"/>
        </w:trPr>
        <w:tc>
          <w:tcPr>
            <w:tcW w:w="37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Other Revenue </w:t>
            </w:r>
            <w:r>
              <w:rPr>
                <w:rFonts w:ascii="Times New Roman" w:cs="Times New Roman" w:eastAsia="Times New Roman" w:hAnsi="Times New Roman"/>
                <w:sz w:val="21"/>
                <w:szCs w:val="21"/>
                <w:color w:val="auto"/>
                <w:vertAlign w:val="superscript"/>
              </w:rPr>
              <w:t>(1)</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tcPr>
          <w:p>
            <w:pPr>
              <w:spacing w:after="0"/>
              <w:rPr>
                <w:sz w:val="17"/>
                <w:szCs w:val="17"/>
                <w:color w:val="auto"/>
              </w:rPr>
            </w:pPr>
          </w:p>
        </w:tc>
      </w:tr>
      <w:tr>
        <w:trPr>
          <w:trHeight w:val="19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10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3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Cost of revenue</w:t>
            </w:r>
          </w:p>
        </w:tc>
        <w:tc>
          <w:tcPr>
            <w:tcW w:w="1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shd w:val="clear" w:color="auto" w:fill="CFF0FC"/>
          </w:tcPr>
          <w:p>
            <w:pPr>
              <w:spacing w:after="0"/>
              <w:rPr>
                <w:sz w:val="17"/>
                <w:szCs w:val="17"/>
                <w:color w:val="auto"/>
              </w:rPr>
            </w:pPr>
          </w:p>
        </w:tc>
      </w:tr>
      <w:tr>
        <w:trPr>
          <w:trHeight w:val="203"/>
        </w:trPr>
        <w:tc>
          <w:tcPr>
            <w:tcW w:w="3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tcPr>
          <w:p>
            <w:pPr>
              <w:spacing w:after="0"/>
              <w:rPr>
                <w:sz w:val="17"/>
                <w:szCs w:val="17"/>
                <w:color w:val="auto"/>
              </w:rPr>
            </w:pPr>
          </w:p>
        </w:tc>
      </w:tr>
      <w:tr>
        <w:trPr>
          <w:trHeight w:val="203"/>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7,765</w:t>
            </w:r>
          </w:p>
        </w:tc>
        <w:tc>
          <w:tcPr>
            <w:tcW w:w="100" w:type="dxa"/>
            <w:vAlign w:val="bottom"/>
            <w:shd w:val="clear" w:color="auto" w:fill="CFF0FC"/>
          </w:tcPr>
          <w:p>
            <w:pPr>
              <w:spacing w:after="0"/>
              <w:rPr>
                <w:sz w:val="17"/>
                <w:szCs w:val="17"/>
                <w:color w:val="auto"/>
              </w:rPr>
            </w:pPr>
          </w:p>
        </w:tc>
      </w:tr>
      <w:tr>
        <w:trPr>
          <w:trHeight w:val="203"/>
        </w:trPr>
        <w:tc>
          <w:tcPr>
            <w:tcW w:w="3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17"/>
                <w:szCs w:val="17"/>
                <w:color w:val="auto"/>
              </w:rPr>
            </w:pPr>
          </w:p>
        </w:tc>
      </w:tr>
      <w:tr>
        <w:trPr>
          <w:trHeight w:val="203"/>
        </w:trPr>
        <w:tc>
          <w:tcPr>
            <w:tcW w:w="3780" w:type="dxa"/>
            <w:vAlign w:val="bottom"/>
            <w:shd w:val="clear" w:color="auto" w:fill="CFF0FC"/>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shd w:val="clear" w:color="auto" w:fill="CFF0FC"/>
          </w:tcPr>
          <w:p>
            <w:pPr>
              <w:spacing w:after="0"/>
              <w:rPr>
                <w:sz w:val="17"/>
                <w:szCs w:val="17"/>
                <w:color w:val="auto"/>
              </w:rPr>
            </w:pPr>
          </w:p>
        </w:tc>
      </w:tr>
      <w:tr>
        <w:trPr>
          <w:trHeight w:val="203"/>
        </w:trPr>
        <w:tc>
          <w:tcPr>
            <w:tcW w:w="3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income, net</w:t>
            </w:r>
          </w:p>
        </w:tc>
        <w:tc>
          <w:tcPr>
            <w:tcW w:w="1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(505)</w:t>
            </w:r>
          </w:p>
        </w:tc>
        <w:tc>
          <w:tcPr>
            <w:tcW w:w="10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(718)</w:t>
            </w:r>
          </w:p>
        </w:tc>
      </w:tr>
      <w:tr>
        <w:trPr>
          <w:trHeight w:val="203"/>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Loss (gain) on warrant liabilities</w:t>
            </w:r>
          </w:p>
        </w:tc>
        <w:tc>
          <w:tcPr>
            <w:tcW w:w="1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(102)</w:t>
            </w:r>
          </w:p>
        </w:tc>
        <w:tc>
          <w:tcPr>
            <w:tcW w:w="10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(29,351)</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FF0FC"/>
          </w:tcPr>
          <w:p>
            <w:pPr>
              <w:spacing w:after="0"/>
              <w:rPr>
                <w:sz w:val="17"/>
                <w:szCs w:val="17"/>
                <w:color w:val="auto"/>
              </w:rPr>
            </w:pPr>
          </w:p>
        </w:tc>
      </w:tr>
      <w:tr>
        <w:trPr>
          <w:trHeight w:val="203"/>
        </w:trPr>
        <w:tc>
          <w:tcPr>
            <w:tcW w:w="3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income, net</w:t>
            </w:r>
          </w:p>
        </w:tc>
        <w:tc>
          <w:tcPr>
            <w:tcW w:w="110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36"/>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tcBorders>
              <w:top w:val="single" w:sz="8" w:color="auto"/>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(7,487)</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15,272</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-1327785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-1327785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-1327785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-8255</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-162560</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-162560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-162560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revenue from legacy product sales.</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three months ended June 30, 2025 includes $1.1 million of stock compensation expenses and $0.2 million of severance charges. Other for the three months ended June 30, 2024 includes $1.0 million of stock compensation expenses. Other for the six months ended June 30, 2025 includes $2.3 million of stock compensation expenses and $0.2 million of severance charges. Other for the six months ended June 30, 2024 includes $1.1 million of cost of revenue from legacy product sales, $1.5 million of stock compensation expenses and $0.4 million of asset write-off and restructuring charges.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revenue is derived primarily from U.S. customers. During the three and six months ended June 30, 2025 and 2024, the Company had no revenue earned from customers located outside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July 2025, the Company sold 77,960 shares of its Common Stock for gross sales proceeds of approximately $0.7 million, before deducting commission and other expenses, which was the remaining capacity under the at-the-market program in effect at the time.</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the “Company,” “Palladyne AI Corp.,” “Palladyne,” “we,” “us,” and “our” refers to Palladyne AI Corp.,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2024 (the “2024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139" w:lineRule="exact"/>
        <w:rPr>
          <w:sz w:val="20"/>
          <w:szCs w:val="20"/>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our full-stack, closed-loop autonomy software ("AI/ML Foundational Technology") and related products and the capabilities and functionality of our AI/ML Foundational Technology and related products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timeline and amount of our product revenues;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size of the markets that we are targeting;</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product roadmaps, including expected timing of new or enhanced product releases and target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rapid technological changes;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 and the potential advantages of our products as compared to competitors;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evolving laws and regulations applicable to our business;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 including employees who are instrumental to our business strategy;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 and estimates of market size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health epidemics and global economic and geopolitical conditions and international conflicts on our business and the business of our customers;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customs, tariffs and trade barriers;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for our software products;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and the outcome of any litigation or regulatory proceedings;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"aim," "target" or similar expressions.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known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is to deliver artificial intelligence software products that enable robotic and unmanned platforms, or robotic systems, in the industrial and defense sectors to perform complex tasks in arbitrary (i.e., unstructured and dynamic) human environments. Our AI/ML Foundational Technology enhances the utility and functionality of third-party stationary and mobile robotic systems by allowing these systems to quickly observe, learn, reason and act in structured and unstructured environments. Our AI/ML Foundational Technology is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and not in the cloud) without extensive programming, training or the latency associated with processing in the cloud. We believe this "human-like" ability to learn, reason and adapt will be a key differentiator in assisting our customers to enhance productivity in dynamic or unstructured environments, where human reasoning has traditionally been required to complete the task. We designed our AI/ML Foundational Technology to be hardware agnostic, meaning that our AI/ML software products are designed so that with a minimal integration effort they will be able to function on a wide variety of industrial robots, cobots, unmanned aerial vehicles ("UAV"), unmanned ground vehicles ("UGV") and other remotely operated vehicles ("ROV").</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AI/ML Foundational Technology is the foundational technology for our two software products. The first, Palladyne IQ, has been developed for use with industrial robots and cobots, and the second, Palladyne Pilot, has been developed for use with unmanned platforms with our current focus being Class 1 UAVs. We have released the initial commercial versions of our Palladyne IQ product and our Palladyne Pilot product. We expect to continue to advance and evolve our technology and products in response to the evolving demands of our customers in the various industries we expect to serve. Palladyne IQ and Palladyne Pilot are in the early stages of commercialization (the process of bringing the product to market, generating sales and deploying the product with customers) and they continue to undergo reliability testing, debugging, and other stabilizing improvements.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our initial customer base will be comprised of innovators and early adopters in the industrial manufacturing, defense, infrastructure maintenance, repair and surveillance, energy and aerospace and aviation industries. We believe that if we are successful in demonstrating the value of our products with these early adopters, there will be many potential customers that follow. Palladyne IQ is being offered through a term-based licensing model that would result in a recurring revenue stream, while Palladyne Pilot is offered through a device-based licensing model. We may also offer add-on functionality for an additional license fee. While we plan to charge an upfront fee for the hardware associated with Palladyne IQ, we may choose to embed the cost in the license fee in the future. Based on interaction with dozens of potential customers during the first half of 2025, we believe that the sales cycle for our products is likely to be between 12 and 18 months, or even longer. System integrators and potential customers of Palladyne IQ have indicated that recent changes in U.S. trade policy have caused some potential customers to re-evaluate their automation priorities which we believe will delay certain investment decisions in the near term but will overall create greater opportunities for Palladyne IQ deployments in the United States in the medium and long term. We continue to expect to begin generating revenues from commercial customers in 2025 and for revenues to grow modestly throughout 2026.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We have U.S. government revenue-generating contracts related to various aspects of our AI/ML Foundational Technology and our Palladyne IQ and Palladyne Pilot products. As scheduled to date, we have timely met all the development milestones associated with these contracts and recognized revenue based on work completed. Please see Part II Item 1A Risk Factors for a discussion of the risks related to these activities, in particular those discussed under "Risks Related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our AI/ML Software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commercialization efforts, internal testing and customer trials for both products throughout 2025. Whether we are successful in these efforts depends on many factors, including those discussed under Part II Item 1A Risk Factors. Such risks may result in delay in achieving product revenues, which would adversely affect our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our cash on hand to continue to enhance our software products, conduct product development activities, pursue marketing and sales opportunities and fund operations as we seek to further commercialize and enhance and achieve revenue from our products. The amount and timing of our future funding requirements will depend on many factors, including the pace and results of our product commercialization and enhancement efforts, our ability to sell our software products and thereby recognize associated revenue, capital and human capital requirements to develop and sell products prior to receiving payments sufficient to cover our costs and our ability to lower product costs as volumes increase.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taken and continue to take numerous steps to manage our use of cash. For example, we conducted two workforce reductions during 2023 (the "2023 RIFs") which allowed us to further conserve our cash resources and manage operating expenses. The last cash payments related to the 2023 RIFs were paid during the first quarter of 2024. Additionally, during the fourth quarter of 2024 and the first half of 2025 we raised approximately $60.7 million in gross proceeds from the sale of our Common Stock and warrants. For further information on our financing activities,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have sufficient liquidity to operate for at least the next 12 months without the need to raise additional capital. However, we may decide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sales of our AI/ML software products will negatively impact our ability to generate revenue, our profitability, our cash flows, our overall operating performance and our ability to continue operations and may result in the need to raise additional capital. We will continue to carefully evaluate our use of cash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demand for AI/ML software products has grown in recent years, the market continues to evolve. The market demand for our software is unproven, and important assumptions about the characteristics of targeted markets, pricing and sales cycles may be inaccurate. Based on interaction with dozens of potential customers during the first half of 2025, we believe that the sales cycle for our products is likely to be between 12 and 18 months, or even longer. While we believe that our products will provide significant benefits and return on investment to customers, as it is a new technology, we are dependent on customers who are willing to adopt, purchase and implement new technologies and products. If customer demand does not develop as expected or we do not accurately estimate pricing, adoption rates and sales cycles for our products, our business, results of operations and financial condition will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30-plus years and significant investment in research and development. Through our hardware development efforts over many years, including our related AI-software development efforts, we developed a significant amount of advanced technology that we are leveraging to develop our AI/ML Foundational Technology and related products. We believe our financial performance is dependent on our ability to enhance and update our products. It is important that we continually identify and respond to rapidly evolving customer requirements and competitive threats, develop and introduce innovative products, enhance our products and generate active market demand for and sell our products. If we fail to do this,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our market and financial position and revenue may be adversely affected, and our investments in these technologies will not be recovered.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Macro-economic Environment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Geopolitical and macro-economic factors, such as inflation, changes in United States trade policy, including tariffs, interest rates, oil prices, unemployment rates, international conflicts, such as the current wars between Russia and Ukraine and conflict in the middle east, volatility in the stock market and political or social unrest, can have significant impacts on economic activity, which in turn could affect demand for our products or our ability to cost-effectively develop and sell our products. Among other things, these and similar factors can affect our ability to hire or retain qualified personnel, our labor and materials costs, the prices we charge for our software products and the budgets of our customers and their expected return-on-investment from the purchase of a license for our software product.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June 30, 2025 and 2024,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(1,701)</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(1,698)</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by $1.7 million, or 63%, from $2.7 million for the three months ended June 30, 2024, to $1.0 million for the three months ended June 30, 2025,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development contract revenue decreased by $1.7 million, or 63%, from $2.7 million for the three months ended June 30, 2024, to $1.0 million for the three months ended June 30, 2025. The decrease was primarily due to available funding and the timing of the completion of certain milestones within our product development contracts during the current period.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Foundational Technology and related product development efforts. As a result, there may be fewer opportunities to replace completed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derived from product sales was minimal during the three months ended June 30,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June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7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9,109</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decreased by $0.1 million, or 17%, from $0.6 million for the three months ended June 30, 2024, to $0.5 million for the three months ended June 30, 2025. Cost of revenue decreased primarily due to lower labor and material expenses charged to product development contracts during the three months ended June 30, 2025 as compared to the three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$0.8 million, or 33%, from $2.3 million for the three months ended June 30, 2024, to $3.1 million for the three months ended June 30, 2025. Research and development costs during the three months ended June 30, 2025 increased due to labor and labor related expenses associated with product testing, debugging, stabilization and enhancements of our software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$0.1 million, or 3%, from $4.3 million for the three months ended June 30, 2024, to $4.2 million for the three months ended June 30, 2025. General and administrative expense decreased primarily due to reduced labor and labor related expenses and reduced business insurance expenses, partially offset by increased stock-based compensation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 decreased by 4%, from $1.4 million for the three months ended June 30, 2024, to $1.3 million for the three months ended June 30, 2025. This decrease was driven by decreased labor and labor related expense, mostly offset by increased marketing program expenses.</w:t>
      </w:r>
    </w:p>
    <w:p>
      <w:pPr>
        <w:sectPr>
          <w:pgSz w:w="11900" w:h="16838" w:orient="portrait"/>
          <w:cols w:equalWidth="0" w:num="1">
            <w:col w:w="11240"/>
          </w:cols>
          <w:pgMar w:left="320" w:top="981" w:right="33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asset write-down and restructuring costs for the three months ended June 30, 2025 or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June 30, 2025 and 2024,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2"/>
        </w:trPr>
        <w:tc>
          <w:tcPr>
            <w:tcW w:w="58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Other income</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net</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40" w:type="dxa"/>
            <w:vAlign w:val="bottom"/>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2"/>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4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21590</wp:posOffset>
            </wp:positionV>
            <wp:extent cx="7543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46%</w:t>
      </w:r>
    </w:p>
    <w:p>
      <w:pPr>
        <w:spacing w:after="0" w:line="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(100)%</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31%</w:t>
      </w:r>
    </w:p>
    <w:p>
      <w:pPr>
        <w:spacing w:after="0" w:line="230" w:lineRule="exact"/>
        <w:rPr>
          <w:sz w:val="20"/>
          <w:szCs w:val="20"/>
          <w:color w:val="auto"/>
        </w:rPr>
      </w:pPr>
    </w:p>
    <w:p>
      <w:pPr>
        <w:sectPr>
          <w:pgSz w:w="11900" w:h="16838" w:orient="portrait"/>
          <w:cols w:equalWidth="0" w:num="2">
            <w:col w:w="9680" w:space="400"/>
            <w:col w:w="1160"/>
          </w:cols>
          <w:pgMar w:left="320" w:top="98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increased minimally by $0.1 million from $0.5 million for the three months ended June 30, 2024, to $0.6 million for the three months ended June 30, 2025. Other income increased as a result of increased interest income from our investments in marketable securities due to an increase in invested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no significant income tax expense for the three months ended June 30, 2025 and 2024, respectively. The provision for income taxes for the three months ended June 30, 2025 and 2024 is based on the Company’s estimated annualized effective tax rate for the fiscal years ending December 31, 2025 and 2024, respectively. For the three months ended June 30, 2025 and 2024, the Company’s recognized effective tax rate differs from the U.S. federal statutory rate as the Company recorded net taxable losses during the period with a corresponding full valuation allowance on the net deferred tax assets created from the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six months ended June 30, 2025 and 2024,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(873)</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(2,556)</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(3,429)</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by $3.4 million, or 56%, from $6.2 million for the six months ended June 30, 2024, to $2.7 million for the six months ended June 30, 2025,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development contract revenue decreased by $0.9 million, or 24%, from $3.6 million for the six months ended June 30, 2024, to $2.7 million for the six months ended June 30, 2025. The decrease was primarily due to available funding and the timing of completion of certain milestones within our product development contracts during the current period.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Foundational Technology and related product development efforts. As a result, there may be fewer opportunities to replace completed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derived from product sales decreased by $2.6 million, or 100%. The decrease was due to legacy hardware product sales during the six months ended June 30, 2024 that did not recur during the six months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six months ended June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7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(1,628)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r>
      <w:tr>
        <w:trPr>
          <w:trHeight w:val="20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17,750</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19,294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(1,544)</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$1.6 million, or 66%, from $2.5 million for the six months ended June 30, 2024, to $0.8 million for the six months ended June 30, 2025. Cost of revenue decreased primarily due to lower product costs, which resulted from the decline in product revenue, as well as decreased labor and material expenses charged to product development contracts during the six months ended June 30, 2025 as compared to the six months ended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$0.8 million, or 14% from $5.2 million for the six months ended June 30, 2024, to $6.0 million for the six months ended June 30, 2025. Research and development costs during the six months ended June 30, 2025 increased due to labor and labor related expenses associated with product testing, debugging, stabilization and enhancements of our software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$1.0 million, or 11%, from $9.4 million for the six months ended June 30, 2024, to $8.4 million for the six months ended June 30, 2025. General and administrative expense decreased primarily due to reduced labor and labor related expenses and reduced business insurance expenses, partially offset by increased stock-based compensation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 increased by $0.4 million, or 17%, from $2.2 million for the six months ended June 30, 2024, to $2.6 million for the six months ended June 30, 2025. This increase was driven by increased marketing program costs related to our new software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asset write-down and restructuring costs for the six months ended June 30, 2025 or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six months ended June 30, 2025 and 2024,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8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net</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4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Gain (loss) on warrant liabilities</w:t>
            </w:r>
          </w:p>
        </w:tc>
        <w:tc>
          <w:tcPr>
            <w:tcW w:w="1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29,351</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29,483</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(22,336)%</w:t>
            </w:r>
          </w:p>
        </w:tc>
      </w:tr>
      <w:tr>
        <w:trPr>
          <w:trHeight w:val="202"/>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1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30,297</w:t>
            </w:r>
          </w:p>
        </w:tc>
        <w:tc>
          <w:tcPr>
            <w:tcW w:w="104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29,709</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5,053%</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increased by $29.7 million from $0.6 million for the six months ended June 30, 2024, to $30.3 million for the three months ended June 30, 2025. Other income increased almost entirely as a result of increased unrealized mark-to-market gains on our outstanding warrants. In addition, the increase was also impacted by increased interest income from our investments in marketable securities due to an increase in invested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no significant income tax expense for the six months ended June 30, 2025 and 2024, respectively. The provision for income taxes for the six months ended June 30, 2025 and 2024 is based on the Company’s estimated annualized effective tax rate for the fiscal years ending December 31, 2025 and 2024, respectively. For the six months ended June 30, 2025 and 2024, the Company’s recognized effective tax rate differs from the U.S. federal statutory rate as the Company recorded net taxable losses during the period with a corresponding full valuation allowance on the net deferred tax assets created from the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Total Estimated Contract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as of June 30, 2025, was $1.7 million, $0.9 million of which was funded and $0.8 million of which was unfunded. Our backlog is equal to our remaining performance obligations under contracts or the expected value of exercised contracts, both funded and</w:t>
      </w: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unfunded, less revenue recognized to date. Our total estimated remaining contract value, which combines backlog with estimated remaining potential contract value, including unexercised options from existing firm contracts, was $7.8 million as of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cash equivalents and marketable securities were $62.7 million as of June 30, 2025, compared to $40.1 million as of December 31, 2024. We have incurred losses from operations and negative cash flows from operations since inception and are likely to continue to incur losses from operations and negative cash flows from operations in the near term. As of June 30, 2025, we had an accumulated deficit of approximately $475.6 million and working capital of $62.0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31, 2024, we announced that we raised approximately $7 million in gross proceeds from the sale of Common Stock and warrants through a registered offering and two separate private placements. In May 2025, 2,790,700 of the 2024 Warrants were exercised resulting in proceeds of $6.4 million.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2024, we entered into an open market sale agreement (the "Sales Agreement") with Jefferies LLC to sell shares of our Common Stock from time to time through an "at-the-market" equity offering program under which Jefferies is acting as our sales agent and on November 13, 2024, we filed a prospectus supplement with the SEC in connection with the offer and sale of up to $18.0 million of shares of our Common Stock pursuant to the Sales Agreement. As of December 31, 2024, we had sold a total of 3,680,543 shares of our Common Stock under the Sales Agreement for gross sales proceeds of approximately $18.0 million, before deducting commission and other expenses. On December 31, 2024 we filed a prospectus supplement in connection with offering for sale an additional $30.0 million of shares pursuant to the Sales Agreement. During the six months ended June 30, 2025, we sold a total of 3,056,229 shares of our Common Stock under the Sales Agreement for gross sales proceeds of approximately $29.3 million, before deducting commission and other expenses. In July 2025, we sold 77,960 shares of our Common Stock for gross sales proceeds of approximately $0.7 million, before deducting commission and other expenses, which was the remaining capacity under the at-the-market program in effect at the time. We believe that our cash, cash equivalents and marketable securities on hand will be sufficient to support operations, working capital and capital expenditure requirements for at least the next 12 months from the date of this Report.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use of cash is for operations and administrative activities including employee-related expenses and general, operating and overhead expenses. While we do not have any debt, we do have a long-term lease for our facilities in Salt Lake City, Utah. Future capital requirements will depend on many factors, including the timing and extent of development efforts, the expansion and results of sales and marketing activities, the sales cycle for our products, customer acquisition and revenues, revenue growth rate, customer retention, the introduction of new and enhanced product offerings and market acceptance of our products.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taken many steps to reduce our use of cash. For example, we suspended our hardware product development efforts and focused our product development efforts on our AI/ML Foundational Technology and related products, conducted the 2023 RIFs and terminated our operations in Pittsburgh, Pennsylvania. We plan to use our existing capital to further commercialize and conduct sales and marketing efforts for Palladyne IQ and Palladyne Pilot, as well as continue product testing, debugging and stabilization efforts and conduct product development efforts for the next versions of our products.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product development efforts, our ability to commercialize our products and thereby recognize associated revenue and capital requirements to conduct marketing and sales activities prior to receiving payments sufficient to cover our costs. Any delays in the sales of our software products will negatively impact our ability to generate revenue, profitability, overall operating performance and financial condition. If we are unable to raise additional capital when desired or needed, our business, results of operations and financial condition would be materially and adversely affected.</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If additional financing is required from outside sources in connection with these arrangements, we may not be able to raise it on terms acceptable to us, or at all.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primarily use cash from equity financings to fund operations and capital expenditures and meet working capital requirements. If additional funds are required to support our working capital requirements, for acquisitions or for other purposes, we may seek to raise funds through additional debt or equity financings or from other sources. We have taken numerous steps to manage our use of cash, including conducting the 2023 RIFs and other related actions. However, we may decide to seek additional financing, and we intend to continue monitoring our liquidity, financial and business results and outlook and market conditions, and may be opportunistic and raise capital when market conditions are good or a favorable opportunity exists including under "at-the-market" equity offering programs. Any delays in the successful further commercialization and sales of our software products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II Item 1A Risk Factors “</w:t>
      </w:r>
      <w:r>
        <w:rPr>
          <w:rFonts w:ascii="Times New Roman" w:cs="Times New Roman" w:eastAsia="Times New Roman" w:hAnsi="Times New Roman"/>
          <w:sz w:val="18"/>
          <w:szCs w:val="18"/>
          <w:i w:val="1"/>
          <w:iCs w:val="1"/>
          <w:color w:val="auto"/>
        </w:rPr>
        <w:t>Our business plans require a significant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(12,842)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(13,033)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(33,129)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15,795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(48,924)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34,931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35,001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(50,001)%</w:t>
            </w:r>
          </w:p>
        </w:tc>
      </w:tr>
      <w:tr>
        <w:trPr>
          <w:trHeight w:val="20"/>
        </w:trPr>
        <w:tc>
          <w:tcPr>
            <w:tcW w:w="4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(11,040)</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(13,732)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used in operating activities during the six months ended June 30, 2025 decreased by $0.2 million to $12.8 million from $13.0 million during the same period in 2024. The decrease to net cash used in operating activities was primarily attributable to changes in operating assets and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used in investing activities during the six months ended June 30, 2025 increased by $48.9 million as compared to the same period in 2024. The increase in cash used in investing activities is almost entirely due to $33.0 million of purchases net of maturities of marketable securities during the six months ended June 30, 2025, as compared to $16.0 million of maturities of marketable securities, during the six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provided by financing activities during the six months ended June 30, 2025 increased by $35.0 million as compared to the prior year period. The increase in cash provided by financing activities is almost entirely due to the $34.8 million, after deducting transaction costs, in net proceeds from the sale of our Common Stock and exercise of warrants during the six months ended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1"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$1.235 billion or more during such fiscal year (as indexed for inflation),</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1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principles generally accepted in the United States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Annual Report on Form 10-K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executive officer and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June 30, 2025, pursuant to Rule 13a-15(b) under the Exchange Act. Based upon that evaluation, our Certifying Officers concluded that our disclosure controls and procedures were effective as of June 30, 2025.</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designed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June 30, 2025 covered by this Report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expect to incur significant losses for the foreseeable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losses from operations and negative cash flows from operations since inception and are likely to continue to incur losses from operations and negative cash flows from operations in the near term. We incurred a loss from operations of $15.0 million for the six months ended June 30, 2025, and a loss from operations of $26.9 million for the year ended December 31, 2024. As of June 30, 2025, we had an accumulated deficit of $475.6 million and working capital of $62.0 million. We expect to incur significant losses for the foreseeable future. Forecasting the timing and amounts of expected revenue and our quarterly and annual results is challenging, in particular because the sales cycle, product acceptance, product pricing and customer adoption rates of our products are uncertain. Even if we are able to successfully develop our products and attract customers for commercial sales, we may not become profitable. Our potential profitability is dependent upon the successful development, commercial introduction and adoption on a large scale of our AI/ML Foundational Technology and related products and our ability to lower costs, none of which may occur. We may not be successful in achieving meaningful revenues from these products. Further, the timing, amount and growth rate of any such revenues are unknown.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likely to continue to incur losses in future periods as we:</w:t>
      </w:r>
    </w:p>
    <w:p>
      <w:pPr>
        <w:spacing w:after="0" w:line="22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design, develop and commercialize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sales and marketing activities and develop our sales and customer service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AI/ML Foundational Technology and related products and our cybersecurity measures, policies and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general and administrative functions and systems to support our operations and to operate as a publicly-traded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will incur costs and expenses from these and other efforts before we receive significant product revenue, we expect to incur losses in future periods, which could be significant. In addition, we may find that these efforts are more expensive than we currently anticipate or that these efforts may result in less than expected or no additional revenue, which would further increase our losses and affect our ability to continue operations. We may have to obtain additional capital from external sources, and additional financing may not be available when needed or, if available, may not be available on terms favorable to us or to our stockholders. See "</w:t>
      </w:r>
      <w:r>
        <w:rPr>
          <w:rFonts w:ascii="Times New Roman" w:cs="Times New Roman" w:eastAsia="Times New Roman" w:hAnsi="Times New Roman"/>
          <w:sz w:val="18"/>
          <w:szCs w:val="18"/>
          <w:i w:val="1"/>
          <w:iCs w:val="1"/>
          <w:color w:val="auto"/>
        </w:rPr>
        <w:t>Our business plans require a significant amount of capital. We may sell additional equity or debt securities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early stage company, with no previous experience commercializing software products. Our projected financial and operating information reflect estimates of future performance and are based on multiple business, financial, technical and operational assumptions, including product strategy, timely hiring or retention of needed personnel, timing and successful commercialization of our products, the level of demand for our products, the size of our target markets, the performance and utilization of our products, product pricing and the nature and length of the sales cycle (which we believe to be long).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our ability to generate positive cash flow is uncertain.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had negative cash flow from operating activities of $22.6 million and $76.6 million for the years ended December 31, 2024 and 2023, respectively, and negative cash flow from operating activities of $12.8 million for the six months ended June 30, 2025. We expect to continue to have negative cash flow from operating activities for the foreseeable future as we expect to incur research and development, sales and marketing and general and administrative expenses in our efforts to commercialize our products, increase sales and engage in continuous development work. We may not achieve positive cash flow in the near future or at all. Our business also may at times require significant amounts of working capital to support sales growth or additional product development efforts. An inability to generate positive cash flow for the near term may adversely affect our ability to raise capital for our business on reasonable terms or at all, adversely affect our ability to pursue our business objectives, diminish customer willingness to enter into transactions with us and have other adverse effects, all of which would affect our ability to continue operations. See </w:t>
      </w:r>
      <w:r>
        <w:rPr>
          <w:rFonts w:ascii="Times New Roman" w:cs="Times New Roman" w:eastAsia="Times New Roman" w:hAnsi="Times New Roman"/>
          <w:sz w:val="18"/>
          <w:szCs w:val="18"/>
          <w:i w:val="1"/>
          <w:iCs w:val="1"/>
          <w:color w:val="auto"/>
        </w:rPr>
        <w:t>"We are an early stage company with a history of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expect to incur significant losses for the foreseeable future."</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 previous history or experience commercializing AI/ML software products and may not be able to do so efficiently or effectively or at all. Historically we were unsuccessful in our efforts to commercialize our hardware products. Moreover, commercialization may be delayed due to the challenges discussed under "</w:t>
      </w:r>
      <w:r>
        <w:rPr>
          <w:rFonts w:ascii="Times New Roman" w:cs="Times New Roman" w:eastAsia="Times New Roman" w:hAnsi="Times New Roman"/>
          <w:sz w:val="18"/>
          <w:szCs w:val="18"/>
          <w:i w:val="1"/>
          <w:iCs w:val="1"/>
          <w:color w:val="auto"/>
        </w:rPr>
        <w:t>Successful commercialization of our AI/ML Foundational Technology and related products may be delayed beyond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expectations and therefore product availability to customers, customer acquisition and receipt of software licensing revenue could be delayed.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commercialization of our software products is a complex and evolving process that involves the development of new and emerging technologies, continued investment, including in privacy, safety and security efforts and potential collaborations with other companies, developers, partners and other participants. Market acceptance of our software products is uncertain and we may need to change product features to meet customer needs. We regularly evaluate our product roadmaps and make significant changes as our understanding of the technological challenges and market landscape and our product ideas and designs evolve. We also may be unsuccessful in our research and product development efforts.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key element of our long-term business strategy involves 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products.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commercialization of our AI/ML Foundational Technology and related products may be delayed beyond our current expectations and therefore product availability to customers, customer acquisition and receipt of product revenue could be delayed.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our AI/ML Foundational Technology and related products. Product testing and customer use regularly provide feedback on how we can improve our products. If we are unable to demonstrate that our products deliver the performance, reliability, functionality and/or safety that we or our potential customers expect or quickly address discovered issues, commercial success may be delayed as we work to address the deficiencies. As a result of such delays, we may receive revenue later than expected or not at all if our potential customers decide to seek alternative solutions to our products, adversely affecting our results of operations and financial condition. If we are unable to recruit and retain employees as needed to commercialize our products, we may be unable to do so in a timely manner or at all.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Over recent years we experienced, and we continue to experience, these challenges, which have at times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macro-economic conditions, such as changes in United States trade policy, including tariffs, inflation and high interest rates and geopolitical events such as the current wars between Russia and Ukraine and in the Middle East, and responses thereto, have contributed to price increases and may continue to do so. If we are unable to develop and commercialize our products in a cost efficient manner, our financial results, financial condition and prospects would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anticipated revenues are expected to be primarily derived from the licensing of our AI/ML software products for the foreseeable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successful in commercializing our AI/ML Foundational Technology and related products, our revenue will be concentrated in licensing those software products for the foreseeable future. We will need to continue to enhance our products, develop new capabilities and establish and grow our customer base to diversify our revenue and customers. To the extent our AI/ML Foundational Technology and related products do not meet customer expectations, or cannot be commercialized on their projected timelines and in line with cost targets, our future revenue, operating results and financial condition will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issues in the development and use of our AI/ML Foundational Technology or related products, or issues in products developed by others, may result in reputational harm or liability.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issues in the development or use of our AI/ML Foundational Technology or related products, or issues in products developed by others may result in reputational harm or liability.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costs of compliance, as AI is an emerging technology for which the legal and regulatory landscape is not fully developed. See "</w:t>
      </w:r>
      <w:r>
        <w:rPr>
          <w:rFonts w:ascii="Times New Roman" w:cs="Times New Roman" w:eastAsia="Times New Roman" w:hAnsi="Times New Roman"/>
          <w:sz w:val="18"/>
          <w:szCs w:val="18"/>
          <w:i w:val="1"/>
          <w:iCs w:val="1"/>
          <w:color w:val="auto"/>
        </w:rPr>
        <w:t>Issues in the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use of AI/ML, combined with an uncertain regulatory environment, may result in reputational harm, liability or other adverse consequences to our business operations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AI/ML Foundational Technology and related products are new technologies, and customer trials and discussions may not result in purchases.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Foundational Technology and related products are new technologies. As of the date of this Report, we have revenue generating contracts with U.S. government customers related to various aspects of our AI/ML Foundational Technology and related products. However, while we continue to engage with numerous other potential customers, we currently have no commercial customers. Our products contain advanced software and control technologies that we have developed over many years. The design of our products is significantly influenced by feedback from potential customers and reflects the needs they express. Even if we are able to successfully incorporate that feedback into our products, customers who initially expressed an interest in our products during the design or testing phase may not purchase the software. If we cannot commercialize our AI/ML Foundational Technology and related products on our expected schedule, if our products do not offer our potential customers the features, functionality and return on investment that they expect, if potential customers are unwilling or hesitant to adopt new technologies and products such as ours and/or if potential customers are not willing to pay for our products at the rates that we currently expect, our ability to generate material revenues will be materially impaired.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Based on interaction with dozens of potential customers during the first half of 2025, we believe that the sales cycle for our products is likely to be between 12 and 18 months, or even longer. However, we have limited actual knowledge of or experience with the sales cycle of our products including the customer testing that will be required for customers to ultimately license our software products. As a result, customer testing may take longer than we anticipate, and we may not be able to provide such testing to the satisfaction of prospective customers, which could result in longer sales cycles and fewer purchases than anticipated. We may not be able to adapt our products to reflect customer feedback successfully or at all. If customers who initially express an interest in our software products and influenced their designs do not license our products, or if they adopt a competitors' technology, our business, prospects, financial condition and operating results would be adversely affected.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build and maintain our business, we must maintain confidence among customers and potential customers in our AI/ML Foundational Technology and related products, long-term financial viability and prospects. Maintaining such confidence may be particularly complicated by certain factors including those that are largely outside of our control, such as our limited commercial software experience, customer unfamiliarity with our software, any delays in development or testing, product performance, competition and uncertainty regarding the future of AI and robotics. If we do not generate sufficient licensing revenue, our business, prospects, financial condition and operating results would be materially and adversely affected. Further, if investors, analysts, rating agencies and other third parties are not confident in our AI/ML Foundational Technology and related products, our ability to commercialize our products, our financial viability or our prospects, we may not be able to raise any needed funding which would materially and adversely affect our financial condition and prospects and ability to continue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target markets and the robotics industry do not continue to develop as we anticipate or if potential customers do not adopt our AI/ML Foundational Technology and related products and license our products, our sales will not grow as quickly as expected, or at all, and our business, operating results and financial condition would be harmed.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our AI/ML Foundational Technology and related products and applications similar to ours is relatively new and evolving. We are developing our products to respond to an increasingly global and complex business environment with rigorous regulatory standards. If organizations do not allocate their budgets as we expect or if we do not succeed in convincing potential customers to license our products, our sales will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products as too costly or discretionary. For example, the effects of changes in U.S. trade policy, including tariffs, are unknown and may have the effect of diminishing customer willingness to enter into transactions with us. Moreover, market acceptance of our AI/ML Foundational Technology and related products is critical to our continued success. Even if the market grows as expected, if potential customers do not adopt our products, our business, operating results, financial condition and growth prospects will be materially and adversely affected. If we are not able to generate material revenues from our products before we exhaust our financial resources, we may need to cease business operations. See "</w:t>
      </w:r>
      <w:r>
        <w:rPr>
          <w:rFonts w:ascii="Times New Roman" w:cs="Times New Roman" w:eastAsia="Times New Roman" w:hAnsi="Times New Roman"/>
          <w:sz w:val="18"/>
          <w:szCs w:val="18"/>
          <w:i w:val="1"/>
          <w:iCs w:val="1"/>
          <w:color w:val="auto"/>
        </w:rPr>
        <w:t>We are an early stage company with a history of losses, and expect to incur significant losses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foreseeable future.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introduce and implement enhancements, new features or modifications to our AI/ML Foundational Technology and related products, our business would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successfully introduce and implement new applications, enhancements or features, or fail to develop new applications that achieve market acceptance or that keep pace with rapid technological developments, our business, operating results, financial condition and growth prospects would be adversely affected. The success of enhancements and new applications depends on several factors, including timely completion, introduction and market acceptance.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must continue to meet the changing expectations and requirements of our customers. Any failure of our products to operate effectively with future software, such as third-party robotic operating systems and technologies or to evolve and scale to address the changing needs of our customers could reduce the demand for our products or result in customer dissatisfaction. Further, uncertainties about the timing and nature of new software or technologies, or modifications to our software or products or existing software or technologies, could increase our research and development expenses. If we are not successful in developing modifications and enhancements to our products or if we fail to introduce new applications to market in a timely fashion, our products might become less marketable, less competitive or obsolete, and consequently our revenue growth might be significantly impaired and our business, operating results and financial condition could be harmed.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in sufficient numbers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previous history or experience commercializing software products and may not be able to do so efficiently or effectively or at all. To create and grow our customer base, we must license our software to new customers, which we may not be able to do in sufficient numbers or at all. Even if we are able to attract customers, these customers may not maintain a high level of commitment to our software products. In addition, we will incur marketing, sales and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AI/ML Foundational Technology and related products to be used with robots operating in a wide variety of environments and for a broad range of complex uses. Our success depends on our ability, and the ability of our customers, to implement our products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software products. If we or our customers are unable to implement our products successfully, or are unable to do so in a timely manner, inadequate performance might result and customer perceptions of our technology, products and company might be impaired, our reputation and brand might suffer, we may face legal claims, customers might choose not to renew or expand the use of our products and we might lose opportunities for additional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previous history with our licensing sales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experience with licensing software as a business model. The success of our strategy to build recurring revenue streams through software licenses depends on our ability to successfully market our products and their benefits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competitors may offer different pricing models that may be more attractive to potential customers. We may be required to adjust our sales model in response to these changes, which could adversely affect our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assumptions about market demand, pricing, adoption rates and sales cycles for our software products may be inaccurate.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decision to focus our business strategy on the development and commercialization of our AI/ML Foundational Technology was based in part on our estimates of the potential addressable market, pricing, adoption rates and sales cycles for our related products. However, the market demand for our AI/ML software products is unproven, and important assumptions about the characteristics of targeted markets, pricing and sales cycles may be inaccurate. Based on interaction with dozens of potential customers during the first half of 2025, we believe that the sales cycle for our products is likely to be between 12 and 18 months, or even longer.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evolving nature of the markets in which we operate, it is difficult to predict customer demand or adoption rates for our products or the future growth of the markets we target. If one or more of the targeted markets experience a shift in customer demand, whether due to new solutions that better address customer needs or otherwise, our products may not compete as effectively, if at all. If customer demand does not develop as expected, or if we do not achieve forecasted pricing, adoption rates and sales cycles for our software products, our business, results of operations and financial condition will be adversely affected, perhaps materially.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of our AI/ML Foundational Technology and related products to customers and projected return on investment have not been substantiated through customer use.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AI/ML Foundational Technology and related products have not been commercially used by customers. Our products may not perform consistent with customers' expectations or consistent with other products that may be or may become available. Any failure of our products to perform as expected could harm our reputation and result in adverse publicity, lost revenue, license cancellation, harm to our brand, delays in availability, product liability claims and significant warranty and other expenses and could have a material adverse impact on our business, prospects, financial condition and operating results.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intend to target many customers that are large businesses with substantial negotiating power, exacting product standards and potentially competitive internal solutions. If we are unable to sell our software products to these customers, our prospects and results of operations will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businesses with substantial negotiating power relative to us and, in some instances, may have internal solutions that are competitive to our AI/ML software products.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substantial investment of our time and resources. We may be unable to secure customers from these or other businesses or we may be unable to generate meaningful revenue from these potential customers. If our products are not selected by these large businesses or if these businesses develop or acquire competitive technology, it may have a material adverse effect on our business, prospects, financial condition and operating results.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currently and will continue to be generated by contracts with government entities, which makes us subject to a number of uncertainties, challenges and risks.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Contracts with government entities are subject to a number of risks. Such relationships can be highly competitive, expensive and time-consuming, often requiring significant upfront time and expense without any assurance that these efforts will generate revenue. Factors that could impede our ability to generate revenue from government contracts include: changing political environments and shifts in government priorities; impacts and changes to government spending; and budgetary or staffing cuts at government entities, including at the Department of Defense ("DoD"). The impact of any of these factors or other factors that affect government spending could result in cancellations of our contracts or in delays or terminations of opportunities that we are currently pursuing and negatively impact our business, financial condition and results of operations. U.S. government spending may be reduced as a result of changes in policy, and other factors affecting the U.S. government such as national security focus areas, budget deficits and the national debt. If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Also, see "</w:t>
      </w:r>
      <w:r>
        <w:rPr>
          <w:rFonts w:ascii="Times New Roman" w:cs="Times New Roman" w:eastAsia="Times New Roman" w:hAnsi="Times New Roman"/>
          <w:sz w:val="18"/>
          <w:szCs w:val="18"/>
          <w:i w:val="1"/>
          <w:iCs w:val="1"/>
          <w:color w:val="auto"/>
        </w:rPr>
        <w:t>We are subject to laws, regulations and contractual provisions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contractor or subcontractor, which may pose increased risk of potential liability and expenses related thereto, which could have a material adverse effect on our business, operating results and financial condition.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 Our products may not be competitive with other alternatives.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AI/ML software and robotics industries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products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 We believe our AI/ML Foundational Technology and related products will compete (both directly and indirectly) with companies such as Bright Machines, Intrinsic, Liquid AI, Mujin, Physical Intelligence, Rapid Robotics, Skild AI, Anduril and Shield AI. We believe that our competitors are seeking to solve the same or similar industry challenges as we are, but that most are focused on a particular aspect of the functionality of our AI/ML Foundational Technology rather than a fully competitive solution.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view industrial robotics and cobot manufacturers such as ABB, Fanuc, Kawasaki, KUKA, Universal Robots and Yasakawa, large system integrators such as Honeywell, Reply and Rockwell Automation and technology companies such as NVIDIA as potential target customers and/or channel and ecosystem partners for our products, we also recognize that these companies may emerge as formidable competitors through their own internal development efforts or future technology partnerships with or acquisitions of our competitors. They may bring their robust customer relationships, channels and significant financial resources to help accelerate the market viability of one of our direct or indirect competitors.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software products in the future. Competitors may develop products that utilize advanced technology similar to ours (such as computer vision, AI and ML) in a more effective way, or new technologies or products that provide superior results to customers or are less expensive than our products. Our technologies and products could be rendered obsolete by such developments.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provided by any of our competitors with whom they may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have an existing relationship. If we are not able to compete effectively, our business, prospects, financial condition and operating results will be adversely affected.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enhance our product offerings through our research and development efforts.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continue to advance and evolve our technology and products in response to the evolving demands of our customers in the various industries we expect to serve. Palladyne IQ and Palladyne Pilot are in the early stages of commercialization and we continue to undergo reliability testing, debugging, and other stabilizing improvements. We will incur significant additional product development efforts and expenses, and we may not be successful in commercializing or marketing our products at all or within our currently expected timelines or available resources.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released the initial commercial versions of our Palladyne IQ product and our Palladyne Pilot product. See "</w:t>
      </w:r>
      <w:r>
        <w:rPr>
          <w:rFonts w:ascii="Times New Roman" w:cs="Times New Roman" w:eastAsia="Times New Roman" w:hAnsi="Times New Roman"/>
          <w:sz w:val="18"/>
          <w:szCs w:val="18"/>
          <w:i w:val="1"/>
          <w:iCs w:val="1"/>
          <w:color w:val="auto"/>
        </w:rPr>
        <w:t>Successful commercialization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AI/ML Foundational Technology and related products may be delayed beyond our current expectations and therefore product availability to customers, customer acquisition and receipt of software licensing revenue could be delayed.</w:t>
      </w:r>
      <w:r>
        <w:rPr>
          <w:rFonts w:ascii="Times New Roman" w:cs="Times New Roman" w:eastAsia="Times New Roman" w:hAnsi="Times New Roman"/>
          <w:sz w:val="18"/>
          <w:szCs w:val="18"/>
          <w:color w:val="auto"/>
        </w:rPr>
        <w:t>" In addition, we continue to make iterative improvements to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work to develop the next versions of our products. If we fail to adequately communicate to customers product improvements, or if customer feedback is not adequately reflected in our product improvements, customers may not be persuaded of the value of our products. If we fail to generate demand by developing products that incorporate features desired by customers, we may fail to generate revenue sufficient to achieve or maintain profitability. We have in the past experienced and may in the future experience delays in various phases of product development, including during research and development,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develop our products when and as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and Growth</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or perceived design flaws, errors, defects, glitches, bugs or malfunctions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in our AI/ML Foundational Technology and related products, failure of our software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design, development and use of our AI/ML Foundational Technology and related products involve certain inherent risks. New software products generally suffer from flaws that are found, often as a result of customer use, and fixed over time. Real or perceived flaws in our products, connectivity issues, unanticipated or unintended use of our products, user errors or inadequate disclosure of risks relating to the use of our products, among others, can lead to injury, property damage or other adverse events. We have conducted, are conducting and plan to continue to conduct extensive testing of our software products, in some instances in collaboration with our customers, to ensure that any such issues can be identified and addressed.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products to prevent such incidents from reoccurring. However, any implemented improvements may not fully prevent similar or other incidents in the future. Moreover, because of the size and weight of the third-party systems that may in the future use our AI/ML Foundational Technology and related products, and the nature and variability of the environments in which we expect this software to be used, adverse events relating to the use of our products could include significant injuries or even death. To the extent that flaws or connectivity issues are discovered during or after product development, we may experience delays in the development and/or sale of our products while the issues are resolved. For example, we continue our efforts to increase product reliability and stability and conduct ordinary course product testing and debugging, which may result in product development or commercialization delays. If any flaws and related issues that may arise cannot be adequately resolved, product sales may not occur and/or resume.</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not be aware of flaws until injury to person or property has occurred. Such adverse events could lead to safety alerts relating to our software products (either voluntary or required by governmental authorities), and could result, in certain cases, in the removal of our products from the market. Flaws could also result in negative publicity, damage to our reputation or, in the event of regulatory developments, delays in new product approvals.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Complex software may frequently experience errors, especially when first introduced. Our products are complex and may experience errors or performance problems in the future. A failure of any part of our AI/ML Foundational Technology or related products could result in property damage, serious injury or even death. We plan to implement bug fixes and upgrades as part of our regular software maintenance, which may lead to downtime. Even if we are able to implement bug fixes and upgrades in a timely manner, customers and operators also may fail to install updates and fixes to the software for several reasons, including poor connectivity or inattention. Any such occurrence could cause delay in market acceptance of our software products, damage to our reputation, increased service and warranty costs, product liability claims and loss of revenue.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in the ordinary course of business we may be subject to product liability claims alleging flaws in the design of our products. A product liability claim, regardless of its merit or eventual outcome, could result in significant legal defense costs and high punitive damage payments, damage our reputation or require significant costs to redesign or fix our software or products. Although we maintain product liability insurance, the coverage is subject to deductibles and limitations, and may not be adequate to cover future claims.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AI/ML Foundational Technology performs properly and our products are used as intended, if personal injuries occur while operating third-party products that use our AI/ML software, we could be exposed to liability and our results of operations, financial condition and reputation may be adversely affected.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Third-party systems that may in the future use our AI/ML Foundational Technology will contain complex technology and must be used as designed and intended in order to operate safely and effectively. Even if our products are used as designed and intended, customers may not operate complex third-party systems that use our products safely and effectively. In addition, we cannot predict all the ways in which the proper use or misuse of our products can lead to injury or damage to property, and our training resources and safety systems may not be successful at preventing all incidents. If personal injury or damage to property were to occur while operating our products in a manner consistent with our training and instructions or otherwise, we could be exposed to liability and our results of operations, financial condition and reputation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which could negatively affect our ability to offer our AI/ML Foundational Technology and related products and subject us to possible litigation.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Foundational Technology incorporates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software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software, discontinue the sale of our software products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software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software.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monitor use of open source software and try to ensure that none is used in a manner that would subject our software to unintended conditions, few courts have interpreted open source licenses, and there is a risk that these licenses could be construed in a way that could impose unanticipated conditions or restrictions on our ability to commercialize our AI/ML Foundational Technology and related products. We cannot guarantee that we will incorporate open source software in our software in a manner that will not subject us to liability, or in a manner that is consistent with our current policies and procedures.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 We may not succeed in establishing, maintaining and strengthening an effective brand, and our brand and reputation could be harmed by negative publicity regarding us or our AI/ML Foundational Technology and related products.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prospects are dependent on our ability to develop, maintain and strengthen our brand. If we do not continue to establish, maintain and strengthen our brand, we may lose the opportunity to build a critical mass of customers. We believe that our inability to successfully commercialize our hardware products, and our resulting financial performance, damaged our prior brand. Promoting and positioning our brand will likely depend significantly on our ability to provide high quality software and engage with our customers as intended. To promote our brand, we may be required to change or expand our customer development and branding practices, including increased marketing activities, which could result in substantially increased expenses. If we do not develop and maintain a strong brand, our business, prospects, financial condition and operating results will be materially and adversely impacted.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has broad discretion in making strategic decisions to execute our growth plans and may devote time and company resources to new or expanded product offerings, potential acquisitions or strategic alliances, prospective customers or other initiatives that do not necessarily improve our operating results or contribute to our growth. For example, in November 2023, we pivoted our business to focus on the development and commercialization of our AI/ML Foundational Technology and related products in lieu of hardware products. However, this strategy may not prove to be effective. Our management must make these and other strategic and operational decisions in the context of limited financial and human resources. As a result, we have in the past, as in November 2023, and may in the future forgo opportunities we may have otherwise pursued given sufficient resources, some of which might have had greater likelihood of success.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and ability to continue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business, we may not be able to design, develop, market and commercialize our software products successfully.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to manage our business effectively could materially and adversely affect our prospects, financial condition and operating results. As we work to grow our business, we may need to manage the following activities, among others:</w:t>
      </w:r>
    </w:p>
    <w:p>
      <w:pPr>
        <w:spacing w:after="0" w:line="16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management, engineering and other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recruiting individuals with the appropriate relevant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AI/ML Foundational Technology and related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revenue, managing expenses and implementing enterprise resource planning, or ERP,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service providers or partners, including in relation to the development and commercialization of our AI/ML Foundational Technology and related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carrying out acquisitions and entering into collaborations, in-licensing arrangements, joint ventures, strategic alliances or partnerships;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and customer service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and customer trials of our software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controls and processes.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the 2023 RIFs to decrease our costs and create a more streamlined organization to support our business, and to focus on our AI/ML Foundational Technology. However, these RIFs have placed and will continue to place additional strain on our existing personnel and other resources, and we could experience systemic operating difficulties in managing our business and implementing controls and other business processes, resource constraints in our product development and commercialization efforts or other limitations or difficulties that are difficult to predict at this time. Any additional attrition may lead to the loss of institutional knowledge and expertise, increased difficulties in our day-to-day operations, pressure on our controls and processes and reduced employee morale. Moreover, we may not be able to monetize all of the assets unrelated to our current business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 in order to achieve profitability.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successfully developing and commercializing our AI/ML Foundational Technology and related products,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 and market our software products and general and administrative expenses. Although the 2023 RIFs and other cost-saving measures have significantly reduced expenses, and recent financing activities have increased our financial resources, it may be difficult to reduce expenses further or maintain current levels while pursuing our business objectives. Some of the factors that may lead to cost increases or difficulty further reducing cost are outside of our control, such as national or global geopolitical and economic conditions, including tariffs, inflation and interest rates. In addition, we may incur significant costs upgrading or fixing flaws in our products. Our ability to continue our operations in the long term and potentially become profitable in the future will not only depend on our ability to commercialize our products to meet customer needs and identify and investigate new areas of demand, but also on our ability to license our products at prices needed to achieve sufficient revenues and margins to cover our cash outlay, including the risks and costs associated with any warranty obligations. If we are unable to efficiently design, develop, market, deploy, distribute and service our software products in a cost-effective manner, our operating results, financial condition and prospects would be materially and adversely affected and we may not achieve profitability.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developing and commercializing our AI/ML Foundational Technology and related products, and we may never reach profitability and/or achieve significant or any licensing revenue.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our AI/ML Foundational Technology and products to new applications and customer requirements and introducing new features and functionality that achieve market acceptance. We expect to incur substantial, and potentially increasing, research, development, sales and marketing costs as part of our efforts to design, develop, enhance and commercialize our AI/ML Foundational Technology and related products. Our research and development program may not produce successful results or be sufficient to adapt to new or changing technologies (such as AI), and our products may not achieve market acceptance, create meaningful or any revenue or become profitable.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products related to our AI/ML Foundational Technology require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limited set of suppliers for the minimal hardware components that are required for use of our Palladyne IQ product. As of June 30, 2025, most of our key suppliers are based in the United States.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or unwilling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products. If we are unable to obtain components and materials used in our products from our suppliers, our business would be adversely affected.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fluctuations or shortages in raw materials or components and other economic conditions, including due to tariffs, may cause us to experience significant increases in freight charges and material costs. Substantial increases in the prices for our materials would increase our operating costs and could reduce our margins if the increased costs cannot be recouped through increased sales prices.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wars, natural disasters, health epidemics and other calamities and supply chain disruption, any of which could significantly disrupt our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or operations, or any potential third-party suppliers, partners, or service providers could be adversely affected by events outside of our or their control, such as natural disasters, wars, health epidemics, macro-economic conditions and other calamities and force majeure events. This may also include supply chain disruptions, inflation and high interest rates as a result of changes in U.S. trade policy, including tariffs and geopolitical events such as the current wars between Russia and Ukraine and in the Middle East, and responses thereto. The effects of the foregoing are unknown and may have the effect of diminishing customer willingness to enter into transactions with us.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cybersecurity incidents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potential health pandemics, epidemics or outbreaks that may emerge, our potential customers and partners may suspend or delay their engagement with us or take other actions or experience their own negative impacts, any of which could result in a material adverse effect on our financial condition and ability to meet current timelines. The COVID-19 pandemic adversely affected our ability to recruit skilled employees to join our team, conduct research and development activities and engage with development customers, and it or other similar events could do so again and may impede our product development timelines.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believe we have sufficient capital to fund our business for at least the next 12 months, we may seek additional financing during that time to bolster our cash reserves and ensure our ability to continue to pursue our business objectives. Our current business plans may require us, or we may deem it advisable,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Any delays in the successful commercialization and sales of our products will negatively impact our ability to generate revenue, our profitability and our overall operating performance and result in the need to raise additional capital sooner than expected. For further information on our financing activities, see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Operations—Liquidity and Capital Resources.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software products, coupled with our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belief that our AI/ML Foundational Technology represents a significant technology advancement, means we have limited to no historical data on the demand for our software products. In addition, we expect our expenses to continue to be significant in the foreseeable future as we continue development activities and bring our products to market, and that our level of cash usage will be significantly affected by customer demand for our products. As a result, our future capital requirements are uncertain and actual capital requirements may be different from those we currently anticipate. We may need to seek equity or debt financing to finance our expenses and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us when we need it or it may not be available on favorable terms. 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capital markets domestically and abroad are undergoing a period of significant volatility and uncertainty, and such financing alternatives may not be available to us in the future on favorable terms or at all should we determine it necessary or advisable to seek additional capital.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buying or selling assets, making capital expenditures or declaring dividends.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make the timing, amount, terms and conditions of such financing unattractive or unavailable to us. If we are unable to raise sufficient funds if and when needed, we will have to significantly reduce our spending, delay or cancel our 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prospects and financial condition would be materially and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revenues, product demand and other factors.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product demand, which we anticipate will fluctuate as the pace at which we continue to design, develop and release products. Additionally, as we commercialize our AI/ML Foundational Technology and related products and/or enter into or complete government or development contracts, we expect our revenue from period to period to fluctuate, including as we introduce new products, features or functionality or introduce our AI/ML Foundational Technology and related products to new markets for the first time.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integrate and retain a sufficient number of qualified employees, our ability to develop and commercialize our AI/ML Foundational Technology and related products, operate our business and compete could be harmed.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our AI/ML Foundational Technology leadership team, in particular our Chief Technology Officer, Dr. Denis Garagic. Dr. Garagic has a significant influence on our AI/ML Foundational Technology development efforts and our business plan. Benjamin G. Wolff rejoined our executive team as President and Chief Executive Officer in February 2024 following the pivot in our business to focus on the development of our AI/ML Foundational Technology. If key members of our senior management were to discontinue service due to death, disability or any other reason, we may be significantly disadvantaged and their departure or the departure of other key contributors to our software and technology development efforts could result in delays in product development, or potentially an inability to successfully complete development of our AI/ML Foundational Technology and related products at all, which would materially and adversely harm our business, results of operations and financial condition. Further, we may have difficulty finding, or be unable to find, qualified successors to any such persons should they depart the Company. If we are unable to successfully continue development and commercialization of our AI/ML Foundational Technology and related products in a timely manner, whether due to the departure of any such persons or otherwise, we may not have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sufficient time or resources to pursue alternative plans or opportunities and may need to cease operations. We do not maintain key-person insurance for any of our senior management. For these reasons, we may incur significant costs to retain our senior management team and key personnel.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and may continue to experience changes in our senior management team. For example, in connection with Mr. Wolff's return to our executive team as President and Chief Executive Officer in February 2024, there have been changes to our operations and there may be additional changes in the future. If we do not successfully implement and adapt to these changes they may not lead to the desired improvement in our business and results of operation. This in turn, could have a material adverse effect on our business. Any inability to successfully manage these changes could be viewed negatively by our customers, employees, investors and other third-party partners, and could have an adverse impact on our business and results of operations.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our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2023 RIFs and concerns about our financial condition may also cause us to experience increased difficulty attracting and retaining highly qualified personnel.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spacing w:after="0" w:line="19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headquarters are in Salt Lake City, Utah, which has fewer highly skilled employees in the AI/ML software and robotics fields than some other major metropolitan areas.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products or to operate our business and compete, as well as on our business, prospects,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publicly-traded company, we are incurring legal, accounting and other expenses that we previously did not have,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the Nasdaq Stock Market LLC. Our management and other personnel devote a substantial amount of time to these compliance initiatives. We may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expensive for us to obtain appropriate director and officer liability insurance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previously identified material weaknesses in our internal control over financial reporting, and undertook remediation efforts to address the identified deficiencies and concluded that each material weakness was remediated.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currently required to formally attest to the effectiveness of our internal control over financial reporting under Section 404(b) of the Sarbanes-Oxley Act. Should we become subject to Section 404(b), our independent registered public accounting firm may issue a report that is adverse if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Tax Cuts and Jobs Act of 2017 (the "Tax Act"), as modified by the Coronavirus Aid, Relief and Economic Security Act of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Additional or different limitations may apply under state law.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risks associated with strategic relationships or transactions and may not identify or form desired strategic relationships in the future.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strategic alliances, joint ventures, minority equity investments, acquisitions, collaborations and in-license arrangements with third parties. Some of our third-party relationships are not governed by formal agreements and this may also be true for future relationships. These partnerships, relationships or arrangements may not lead to binding agreements, lasting or successful business relationships or any other anticipated benefits. If any of these relationships are established, they may subject us to a number of risks, including risks associated with sharing proprietary information, non-performance or significant delays in 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that we believe are complementary to our existing business.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we have previously experienced an impairment of all of the goodwill associated with an acquisition we completed in 2022. Moreover, the costs of identifying and consummating acquisitions may be significant.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Claims and Regulatory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AI/ML, combined with an uncertain regulatory environment, may result in reputational harm, liability or other adverse consequences to our business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technical or operational risks, safety risks, ethical concerns or other complications that could adversely affect our business, reputation or financial results or limit the functionality of our software or our ability to sell our software products. Governmental bodies have implemented laws and are considering further regulation of AI/ML technologies that could negatively impact our ability to use and develop software products incorporating these technologies.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on March 13, 2024, the European Parliament adopted the European Union's Artificial Intelligence Act (the "AI Act"). The AI Act, which is scheduled to become effective over time through August 2, 2026, proposes a framework of prohibitions and disclosure, transparency and other regulatory obligations based on various levels of risk for businesses introducing AI systems in the EU. Once the AI Act becomes effective, certain provisions could require us to alter or restrict our use of AI, depending on respective levels of risk-categorization, types of systems, and manner of use, under the AI Act. The AI Act also may require us to comply with monitoring and reporting requirements. Noncompliance with the AI Act could result in fines of up to €35 million or 7% of annual global turnover for the previous year, whichever is higher. In addition, in October 2023 the Biden administration issued an executive order to, among other things, establish extensive new standards for AI safety and security, which was revoked by President Trump in January 2025. Other jurisdictions may adopt similar or more restrictive legislation that may render the use of such technologies challenging. Numerous other laws and bills have been enacted or proposed at the U.S. federal and state level, as well as internationally, aimed at regulating the development, deployment or provision of AI systems and services.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efforts to comply with the AI Act and other legislation or regulations, whether now in effect or as may be proposed or enacted in the future, relating to AI/ML technologies may be difficult, onerous and costly, and could adversely affect our business, reputation,</w:t>
      </w: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financial condition, results of operations and growth prospects. We may need to devote substantial time and resources to evaluate our obligations under the AI Act and other legislation and regulations and to develop and execute a plan designed to ensure compliance. Further, the intellectual property ownership and license rights, including copyright, surrounding AI/ML technologies have not been fully addressed by U.S. courts or other federal or state laws or regulations, and the use or adoption by our customers of third-party AI/ML technologies into robotic products and services may result in exposure to claims of copyright infringement or other intellectual property misappropriation or infringement.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 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flows, results of operations or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on July 4, 2025, the United States enacted tax legislation commonly referred to as the One Big Beautiful Bill Act (the “OBBB Act”). We are currently evaluating the full impact of the OBBB Act on us. In addition, Organisation for Economic Co-operation and Development has introduced a global minimum tax initiative, which is in various stages of adoption. On June 28, 2025, the G7 released a joint statement announcing an understanding regarding a proposed "side-by-side" solution that would exempt U.S.-parented multinational businesses from certain provisions of the global tax initiative; however, no agreement regarding implementation of the proposal has yet been reached.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spacing w:after="0" w:line="4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development, marketing, licensing, distribution or use of our AI/ML Foundational Technology and related products or to the providing of customer service, and a failure to comply with such regulations could lead to delays in launching our software products and/or withdrawal of our software products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and/or make our business unviable if we are unable to modify our software to comply.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develop and commercialize our AI/ML Foundational Technology and related products, we may become subject to a variety of existing or new laws and regulations in the United States and international jurisdictions, such as the AI Act, including in the areas of privacy, security, safety, competition, consumer protection development, marketing, licensing, distribution and the development and use of AI and ML. Such laws and regulations may also cover employment, taxation, privacy, data security, data protection, pricing, content, copyrights and other intellectual property, mobile communications, electronic contracts and other communications, the design and operation of websites, and the characteristics and quality of software and services, which may delay or impede the development and commercialization of our AI/ML Foundational Technology and related products or require us to pause sales and modify our software products, which could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software products from the market.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are subject to the DoD's cybersecurity requirements, including compliance with the recently updated Cybersecurity Maturity Model Certification ("CMMC") program requirements, under which we received Level 2 certification on April 10, 2025. Depending on certain factors, including the awarding DoD agency and type of contract, we may be required to obtain and affirm specific third-party cybersecurity certifications to be deemed eligible for award. Failure to comply with these requirements could restrict our ability to compete for, be awarded and/or perform on DoD contracts. The DoD expects that all new contracts will be required to comply with the CMMC program by 2026, and initial requests for information and for proposal have already begun. To the extent we, or our subcontractors or other third parties on whom we rely, are unable to achieve certification in advance of contract awards that specify the requirement, we may be deemed ineligible for awards or follow-on awards for existing work with the DoD, which could materially and adversely affect our results of operations, financial condition, business and prospects. We will also be required to go through a recertification process periodically, which may increase our costs of compliance relating to such certification, may increase risk exposure based on frequency of recertification affirmations and may cause operational delays. In addition, obligations that may be imposed on us under the CMMC program may be different from or in addition to those otherwise required by applicable laws and regulations, which may cause additional expense for compliance.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established a privacy framework for covered businesses, including an expansive definition of personal information and data privacy rights for California residents. The CCPA includes a framework with potentially severe statutory damages and private rights of action. The CCPA was modified and supplemented by the California Privacy Rights Act ("CPRA"), which went into effect on January 1, 2023. Numerous other states have proposed, and in many cases have enacted, laws addressing privacy and cybersecurity. These laws in many cases are comprehensive privacy statutes similar to the CCPA and CPRA. Additionally, some states have proposed, and in certain cases enacted, laws addressing specific matters such as biometrics or health-related personal information.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w:t>
      </w: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18"/>
          <w:szCs w:val="18"/>
          <w:color w:val="auto"/>
        </w:rPr>
        <w:t>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data protection regime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or maintaining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and data processed by us or third-party vendors.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in connection with international conflicts and any related political or economic responses and counter-responses.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(1) operational systems, including business, financial, accounting, product development, data processing or production processes, owned by us or our third-party vendors or suppliers; (2) facility security systems, owned by us or our third-party vendors or suppliers; (3) in-product technology, owned by us or our third-party vendors; (4) our software, including third-party software we license; and (5)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with data processing and handling, and harm our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launch more automated, targeted and coordinated attacks, resulting in heightened risks of security breaches and incidents.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Information Technology ("IT") infrastructure used in our business may be vulnerable to cybersecurity 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 development, finance and sales and service processes. These risks may affect our ability to manage our data or deploy and service our products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software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software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held responsible. Our exposure for violating these laws increases as our international presence expands and as we increase sales and operations in foreign jurisdictions.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AI/ML Foundational Technology and related products, technology and services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Moreover, international sales of our software may be subject to first obtaining licenses, clearances or authorizations from various regulatory entities. If we are not allowed to export our software or the clearance process is burdensome and costly, our ability to generate revenue would be adversely affected.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changes to our software, or changes in applicable export control, import or economic sanctions laws and regulations may create delays in the introduction and sale of our software products,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software, as well as our decreased ability to export or market our software to potential customers. Any decreased use of our software products or limitation on our ability to export or market our software would likely adversely affect our business, prospects, financial condition and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Regulators, investors, customers, employees and other stakeholders have focused increasingly on ESG practices and placed increasing importance on the implications and social cost of their investments, purchases and other interactions with companies. Equally, it is possible that some stakeholders may be opposed to the implementation of such initiatives at all. Anti-ESG sentiment has gained some momentum across the United States, with several states having enacted or proposed "anti-ESG" policies, legislation or issued related legal opinions. If our ESG practices and reporting do not meet investor, customer or employee expectations,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our software and other technologies.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our software and other technologies.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technologies.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 positions covering robotics software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software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we are investing fewer resources in filing and prosecuting new patents and on maintaining and enforcing various patents, especially in regions where we currently do not focus our market growth strategy or with respect to patents with less relevance to our current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and we are unable to use them, it could adversely affect our business and profitability.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could be harmed. Further, unauthorized use of our intellectual property may have occurred or may occur in the future, without our knowledge.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our intellectual property rights in our target markets or at all.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software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software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software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technology or methods. Moreover, there may be pending, published or allowed applications that may disclose, but not claim, subject matter covering our software, technology or methods, where such pending or published applications may be amended, or one or more continuation or divisional applications may be filed, in an attempt to capture, to the extent possible,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such software, technology or methods that are in the public domain, and which may result in issued patents that our current or future products infringe.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software products, unless we can obtain a license to use the technology covered by such patents or can redesign our software products so that they do not infringe. A license may not be available on commercially reasonable terms or at all, and we may not be able to redesign our software products to avoid infringement. In these circumstances, we may not be able to sell our software products at competitive prices or at all, and our business, prospects, financial condition and operating results would be harmed.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to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 and may cause dilution to our existing stockholders.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may from time to time conduct offerings of our Common Stock or other securities that are convertible into or exercisable for our Common Stock to finance our operations or fund acquisitions, or for other purposes. For further information on our financing activities for the quarter ended June 30, 2025,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If we issue additional shares of our Common Stock or rights to acquire shares of our Common Stock, if any of our existing stockholders sells a substantial amount of our Common Stock or if the market perceives that such issuances or sales may occur, the trading price of our Common Stock may significantly decrease. In addition, our issuance of additional shares of Common Stock, including upon exercise of our outstanding warrants, will dilute the ownership interests of our existing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shares of our Common Stock being subject to employee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these awards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"Sell-to-cover" transactions can be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publicly traded securities have been volatile and may not continue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Common Stock and deSPAC Public Warrants (as defined below) began trading on the Nasdaq Global Market, the prices of our publicly traded securities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or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robotics software or other technology companies, or those in our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deliver our software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publicly traded securities, including as a result of the exercise of our deSPAC Public Warrants or the exercise or vesting of employee equity awards;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comply with Nasdaq listing requirements (see </w:t>
      </w:r>
      <w:r>
        <w:rPr>
          <w:rFonts w:ascii="Times New Roman" w:cs="Times New Roman" w:eastAsia="Times New Roman" w:hAnsi="Times New Roman"/>
          <w:sz w:val="18"/>
          <w:szCs w:val="18"/>
          <w:i w:val="1"/>
          <w:iCs w:val="1"/>
          <w:color w:val="auto"/>
        </w:rPr>
        <w:t>"Our publicly traded securities are subject to potential delisting from The 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Market if we do not meet Nasdaq's continued listing requirements, which would likely impair the liquidity of the trading market for our Common Stock and warrants"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changes in U.S. trade policy including tariffs and expectations of tariffs, fuel prices, international currency fluctuations and acts of war or terrorism.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publicly traded securities are subject to potential delisting from the Nasdaq Global Market if we do not meet Nasdaq's continued listing requirements, which would likely impair the liquidity of the trading market for our Common Stock and warrants.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listing on the Nasdaq Global Market is contingent upon meeting all the continued listing requirements of the Nasdaq Global Market. On two occasions in the past, we received notice from Nasdaq that we were not in compliance with its continued listing requirements based on the minimum bid price per share of our Common Stock. While in each case we were able to achieve compliance within the compliance period, if we fail to meet any listing requirements, we could again receive notice of non-compliance and in that case may not be able to regain compliance. If our Common Stock or deSPAC Public Warrants are delisted from the Nasdaq Global Market and are not eligible for quotation or listing on another market or exchange, we may be transferred to an over-the-counter market or on an electronic bulletin board established for unlisted securities such as the Pink Sheets or the OTC Bulletin Board. In such event, it could become more difficult to dispose of, or obtain accurate price quotations for our shares, and it would likely also reduce the visibility, liquidity, and value of our Common Stock, reduce institutional investor interest in us, and may increase the volatility of our Common Stock. Delisting could also cause a 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markets for our Common Stock and deSPAC Public Warrants will be influenced by the research and reports that industry or securities analysts may publish about us, our business, our market or our competitors. From time to time, analysts covering us have ceased publishing research or reports about us. If any analyst covering our company now or in the future change their recommendation regarding our stock adversely, or provide more favorable relative recommendations about our competitors, the price of our Common Stock and deSPAC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deSPAC Public Warrants to decline.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deSPAC Public Warrants or the deSPAC Private Placement Warrants will ever be in the money, and they may expire worthless.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initial public offering and a concurrent private placement, we issued units with each unit including one sixth of a share of Class A Common Stock and one half of one warrant (the "deSPAC Public Warrants") and certain warrants (the "deSPAC Private Placement Warrants," and together with the deSPAC Public Warrants, the "deSPAC Warrants"). The exercise price of our deSPAC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deSPAC Warrants is $11.50 per warrant. Upon exercise of the deSPAC Warrants the number of shares of Common Stock issuable shall be adjusted 1-for-6, the same ratio as the reverse stock split that was effective as of July 5, 2023, such that each warrant will be exercisable for 1/6 of a share of our Common Stock for a purchase price of $11.50 per warrant. There is no guarantee that the deSPAC Warrants will ever be in the money prior to their expiration, and as such, the deSPAC Warrants may expire worthless.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deSPAC Warrants prior to their exercise at a time that is disadvantageous to deSPAC Warrant holders, thereby making their deSPAC Warrants worthless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deSPAC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deSPAC Warrant holders and provided certain other conditions are met. For additional information on the circumstances in which the deSPAC Public Warrants may be redeemed, see "</w:t>
      </w:r>
      <w:r>
        <w:rPr>
          <w:rFonts w:ascii="Times New Roman" w:cs="Times New Roman" w:eastAsia="Times New Roman" w:hAnsi="Times New Roman"/>
          <w:sz w:val="18"/>
          <w:szCs w:val="18"/>
          <w:i w:val="1"/>
          <w:iCs w:val="1"/>
          <w:color w:val="auto"/>
        </w:rPr>
        <w:t>Description of Securities—Warrants—Public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Warrants</w:t>
      </w:r>
      <w:r>
        <w:rPr>
          <w:rFonts w:ascii="Times New Roman" w:cs="Times New Roman" w:eastAsia="Times New Roman" w:hAnsi="Times New Roman"/>
          <w:sz w:val="18"/>
          <w:szCs w:val="18"/>
          <w:color w:val="auto"/>
        </w:rPr>
        <w:t>" in this Quarterly Report. If and when the deSPAC Warrants become redeemable by us, we may exercise our redemption right 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we are unable to register or qualify the underlying securities for sale under all applicable state securities laws. Redemption of the outstanding deSPAC Warrants could force the deSPAC Warrant holders (1) to exercise their deSPAC Warrants and pay the exercise price therefor at a time when it may be disadvantageous for them to do so, (2) to sell their deSPAC Warrants at the then-current market price when they might otherwise wish to hold their deSPAC Warrants or (3) to accept the nominal redemption price which, at the time the outstanding deSPAC Warrants are called for redemption, is likely to be substantially less than the market value of their deSPAC Warrants. None of the deSPAC Private Placement Warrants will be redeemable by us so long as they are held by the initial purchasers or their permitted transferees, subject to certain exceptions. None of the warrants sold in private placement under the Investor Purchase Agreement and the Insider Purchase Agreement are redeemable by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DeSPAC 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there were 20,549,453 deSPAC Warrants outstanding. Each whole deSPAC Warrant entitles the holder to purchase one sixth of a share of our Common Stock at a price of $11.50 per warrant, which is equivalent to approximately 3,424,909 shares of Common Stock. The shares of Common Stock issued upon exercise of our deSPAC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2024 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On November 1, 2024, we issued warrants to purchase up to </w:t>
      </w:r>
      <w:r>
        <w:rPr>
          <w:rFonts w:ascii="Times New Roman" w:cs="Times New Roman" w:eastAsia="Times New Roman" w:hAnsi="Times New Roman"/>
          <w:sz w:val="18"/>
          <w:szCs w:val="18"/>
          <w:color w:val="000000"/>
        </w:rPr>
        <w:t>3,220,805</w:t>
      </w:r>
      <w:r>
        <w:rPr>
          <w:rFonts w:ascii="Times New Roman" w:cs="Times New Roman" w:eastAsia="Times New Roman" w:hAnsi="Times New Roman"/>
          <w:sz w:val="18"/>
          <w:szCs w:val="18"/>
          <w:color w:val="212529"/>
        </w:rPr>
        <w:t xml:space="preserve"> shares of </w:t>
      </w:r>
      <w:r>
        <w:rPr>
          <w:rFonts w:ascii="Times New Roman" w:cs="Times New Roman" w:eastAsia="Times New Roman" w:hAnsi="Times New Roman"/>
          <w:sz w:val="18"/>
          <w:szCs w:val="18"/>
          <w:color w:val="000000"/>
        </w:rPr>
        <w:t>Common Stock</w:t>
      </w:r>
      <w:r>
        <w:rPr>
          <w:rFonts w:ascii="Times New Roman" w:cs="Times New Roman" w:eastAsia="Times New Roman" w:hAnsi="Times New Roman"/>
          <w:sz w:val="18"/>
          <w:szCs w:val="18"/>
          <w:color w:val="212529"/>
        </w:rPr>
        <w:t xml:space="preserve">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2024 Warrants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June 30, 2025, there were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430,105 2024 Warrants outstanding. Each whole 2024 Warrant entitles the holder to purchase one share of our Common Stock at a price of $2.30 per share. The shares of Common Stock issued upon exercise of our 2024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(1) the exemption from the auditor attestation requirements with respect to internal control over financial reporting under Section 404 of the Sarbanes-Oxley Act of 2002, (2) the exemptions from say-on-pay, say-on-frequency and say-on-golden parachute voting requirements and (3) reduced disclosure obligations regarding executive compensation in our periodic reports and proxy statements. As a result, our stockholders may not have access to certain information they deem important. We will remain an emerging growth company until the earlier of (1)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deSPAC Public Warrants that is held by non-affiliates exceeds $700 million as of the last business day of our prior second fiscal quarter, and (2) the date on which we have issued more than $1.0 billion in non-convertible debt during the prior three-year period.</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Investors may find our Common Stock or deSPAC Public Warrants less attractive because we rely on these exemptions and may continue to rely on them to the extent they remain available to us. If some investors find our Common Stock or deSPAC Public Warrants less</w:t>
      </w: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spacing w:after="0" w:line="261" w:lineRule="auto"/>
        <w:rPr>
          <w:sz w:val="20"/>
          <w:szCs w:val="20"/>
          <w:color w:val="auto"/>
        </w:rPr>
      </w:pPr>
      <w:r>
        <w:rPr>
          <w:rFonts w:ascii="Times New Roman" w:cs="Times New Roman" w:eastAsia="Times New Roman" w:hAnsi="Times New Roman"/>
          <w:sz w:val="18"/>
          <w:szCs w:val="18"/>
          <w:color w:val="auto"/>
        </w:rPr>
        <w:t>attractive as a result of these exemptions and reduced disclosure as an emerging growth company, there may be a less active trading market for and/or more price volatility with respect to our Common Stock or deSPAC Public Warrants.</w:t>
      </w: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on a Current Report on Form 8-K filed with the SEC on October 31, 2024, we conducted a private placement with an accredited investor pursuant to which we issued 2024 Warrants to purchase up to 2,790,700 shares of our Common Stock. On May 9, 2025, the investor cash exercised such 2024 Warrants in full and an exercise price of $2.30 per share or $6,418,610 in the aggregate. In connection with the cash exercise, on May 12, 2025, we issued an aggregate of 2,790,700 shares of Common Stock (“Warrant Shares”). The Warrant Shares were issued without registration under the Securities Act in reliance on the exemptions provided by Section 4(a)(2) of the Securities Act as transactions not involving a public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640" w:type="dxa"/>
            <w:vAlign w:val="bottom"/>
            <w:gridSpan w:val="10"/>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564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80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Second Amended and Restated Certificate of Incorporation of the Company (incorporated by reference to Exhibit 3.1 to the Company’s</w:t>
              </w:r>
            </w:hyperlink>
          </w:p>
        </w:tc>
        <w:tc>
          <w:tcPr>
            <w:tcW w:w="4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Current Report on Form 8-K, filed with the SEC on September 30,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the Company’s Current Report on Form 8-K filed with the SEC on June 20,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the Company’s Current Report on Form 8-K filed with the SEC on March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Amended and Restated Bylaws of the Company (incorporated by reference to Exhibit 3.2 to the Company's Current Report on Form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filed with the SEC on March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Outside Director Compensation Policy.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7"/>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10"/>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20" w:type="dxa"/>
            <w:vAlign w:val="bottom"/>
            <w:gridSpan w:val="11"/>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3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020" w:hanging="1012"/>
        <w:spacing w:after="0"/>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4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95123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97"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jc w:val="both"/>
        <w:ind w:left="520" w:hanging="512"/>
        <w:spacing w:after="0" w:line="261" w:lineRule="auto"/>
        <w:tabs>
          <w:tab w:leader="none" w:pos="4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Palladyne AI Corp. under the Securities Act of 1933, as amended, or the Securities Exchange Act of 1934, as amended, whether made before or after the date of this Form 10-Q, irrespective of any general incorporation language contained in such filing.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6, 2025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330898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33089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5700"/>
          </w:cols>
          <w:pgMar w:left="320" w:top="981" w:right="339"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PALLADYNE AI CORP.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OUTSIDE DIRECTOR COMPENSATION POLICY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as of April 7, 2025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Palladyne AI Corp. (the “Company”) believes that providing cash and equity compensation to members of its Board of Directors (the “Board,” and members of the Board, the “Directors”) represents an effective tool to attract, retain and reward Directors who are not employees of the Company (the “Outside Directors”). This Outside Director Compensation Policy (the “Policy”) is intended to formalize the Company’s policy regarding the compensation to its Outside Directors. Unless defined in this Policy, capitalized terms used in this Policy will have the meaning given to such terms in the Company’s 2021 Equity Incentive Plan (the “Plan”),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 No compensation will be paid under this Policy if it exceeds any limits under the Plan.</w:t>
      </w:r>
    </w:p>
    <w:p>
      <w:pPr>
        <w:spacing w:after="0" w:line="189" w:lineRule="exact"/>
        <w:rPr>
          <w:sz w:val="20"/>
          <w:szCs w:val="20"/>
          <w:color w:val="auto"/>
        </w:rPr>
      </w:pPr>
    </w:p>
    <w:p>
      <w:pPr>
        <w:ind w:left="1020" w:hanging="263"/>
        <w:spacing w:after="0"/>
        <w:tabs>
          <w:tab w:leader="none" w:pos="10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Annual Cash Retainer</w:t>
      </w:r>
    </w:p>
    <w:p>
      <w:pPr>
        <w:spacing w:after="0" w:line="188" w:lineRule="exact"/>
        <w:rPr>
          <w:sz w:val="20"/>
          <w:szCs w:val="20"/>
          <w:color w:val="auto"/>
        </w:rPr>
      </w:pPr>
    </w:p>
    <w:p>
      <w:pPr>
        <w:ind w:firstLine="749"/>
        <w:spacing w:after="0" w:line="267" w:lineRule="exact"/>
        <w:rPr>
          <w:sz w:val="20"/>
          <w:szCs w:val="20"/>
          <w:color w:val="auto"/>
        </w:rPr>
      </w:pPr>
      <w:r>
        <w:rPr>
          <w:rFonts w:ascii="Times New Roman" w:cs="Times New Roman" w:eastAsia="Times New Roman" w:hAnsi="Times New Roman"/>
          <w:sz w:val="20"/>
          <w:szCs w:val="20"/>
          <w:color w:val="auto"/>
        </w:rPr>
        <w:t>Each Outside Director will be paid an annual cash retainer of $50,000. There are no per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meeting attendance fees for attending Board meetings.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Chair and Committee Annual Cash Retainer</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Effective as of the Effective Date, each Outside Director who serves as the chair of the Board, or the chair or a member of a committee of the Board listed below will be eligible to earn additional annual cash retainers as follows:</w:t>
      </w:r>
    </w:p>
    <w:p>
      <w:pPr>
        <w:spacing w:after="0" w:line="159"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Chair of the Board</w:t>
            </w:r>
          </w:p>
        </w:tc>
        <w:tc>
          <w:tcPr>
            <w:tcW w:w="192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$25,000</w:t>
            </w:r>
          </w:p>
        </w:tc>
        <w:tc>
          <w:tcPr>
            <w:tcW w:w="660" w:type="dxa"/>
            <w:vAlign w:val="bottom"/>
          </w:tcPr>
          <w:p>
            <w:pPr>
              <w:spacing w:after="0"/>
              <w:rPr>
                <w:sz w:val="22"/>
                <w:szCs w:val="22"/>
                <w:color w:val="auto"/>
              </w:rPr>
            </w:pPr>
          </w:p>
        </w:tc>
      </w:tr>
      <w:tr>
        <w:trPr>
          <w:trHeight w:val="44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Chair of Audit Committee:</w:t>
            </w:r>
          </w:p>
        </w:tc>
        <w:tc>
          <w:tcPr>
            <w:tcW w:w="19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$5,000</w:t>
            </w:r>
          </w:p>
        </w:tc>
        <w:tc>
          <w:tcPr>
            <w:tcW w:w="660" w:type="dxa"/>
            <w:vAlign w:val="bottom"/>
          </w:tcPr>
          <w:p>
            <w:pPr>
              <w:spacing w:after="0"/>
              <w:rPr>
                <w:sz w:val="24"/>
                <w:szCs w:val="24"/>
                <w:color w:val="auto"/>
              </w:rPr>
            </w:pPr>
          </w:p>
        </w:tc>
      </w:tr>
      <w:tr>
        <w:trPr>
          <w:trHeight w:val="44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Member of Audit Committee:</w:t>
            </w:r>
          </w:p>
        </w:tc>
        <w:tc>
          <w:tcPr>
            <w:tcW w:w="1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$2,500</w:t>
            </w:r>
          </w:p>
        </w:tc>
        <w:tc>
          <w:tcPr>
            <w:tcW w:w="660" w:type="dxa"/>
            <w:vAlign w:val="bottom"/>
          </w:tcPr>
          <w:p>
            <w:pPr>
              <w:spacing w:after="0"/>
              <w:rPr>
                <w:sz w:val="24"/>
                <w:szCs w:val="24"/>
                <w:color w:val="auto"/>
              </w:rPr>
            </w:pPr>
          </w:p>
        </w:tc>
      </w:tr>
      <w:tr>
        <w:trPr>
          <w:trHeight w:val="44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Chair of Compensation Committee:</w:t>
            </w:r>
          </w:p>
        </w:tc>
        <w:tc>
          <w:tcPr>
            <w:tcW w:w="1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$3,000</w:t>
            </w:r>
          </w:p>
        </w:tc>
        <w:tc>
          <w:tcPr>
            <w:tcW w:w="660" w:type="dxa"/>
            <w:vAlign w:val="bottom"/>
          </w:tcPr>
          <w:p>
            <w:pPr>
              <w:spacing w:after="0"/>
              <w:rPr>
                <w:sz w:val="24"/>
                <w:szCs w:val="24"/>
                <w:color w:val="auto"/>
              </w:rPr>
            </w:pPr>
          </w:p>
        </w:tc>
      </w:tr>
      <w:tr>
        <w:trPr>
          <w:trHeight w:val="44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Member of Compensation Committee:</w:t>
            </w:r>
          </w:p>
        </w:tc>
        <w:tc>
          <w:tcPr>
            <w:tcW w:w="1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$1,500</w:t>
            </w:r>
          </w:p>
        </w:tc>
        <w:tc>
          <w:tcPr>
            <w:tcW w:w="660" w:type="dxa"/>
            <w:vAlign w:val="bottom"/>
          </w:tcPr>
          <w:p>
            <w:pPr>
              <w:spacing w:after="0"/>
              <w:rPr>
                <w:sz w:val="24"/>
                <w:szCs w:val="24"/>
                <w:color w:val="auto"/>
              </w:rPr>
            </w:pPr>
          </w:p>
        </w:tc>
      </w:tr>
      <w:tr>
        <w:trPr>
          <w:trHeight w:val="445"/>
        </w:trPr>
        <w:tc>
          <w:tcPr>
            <w:tcW w:w="5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 of Nominating and Corporate Governance Committee:</w:t>
            </w:r>
          </w:p>
        </w:tc>
        <w:tc>
          <w:tcPr>
            <w:tcW w:w="6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4"/>
              </w:rPr>
              <w:t>$1,500</w:t>
            </w:r>
          </w:p>
        </w:tc>
      </w:tr>
      <w:tr>
        <w:trPr>
          <w:trHeight w:val="445"/>
        </w:trPr>
        <w:tc>
          <w:tcPr>
            <w:tcW w:w="5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Member of Nominating and Corporate Governance Committee:</w:t>
            </w:r>
          </w:p>
        </w:tc>
        <w:tc>
          <w:tcPr>
            <w:tcW w:w="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$750</w:t>
            </w:r>
          </w:p>
        </w:tc>
      </w:tr>
    </w:tbl>
    <w:p>
      <w:pPr>
        <w:spacing w:after="0" w:line="18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For clarity, each Outside Director who serves as the chair of a committee will receive only the annual cash retainer as the chair of the committee, and not the additional annual cash retainer as a member of the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Payment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Each annual cash retainer payable under this Policy for service on the Board, chair of the Board, or the chair or a member of a committee of the Board (an “</w:t>
      </w:r>
      <w:r>
        <w:rPr>
          <w:rFonts w:ascii="Times New Roman" w:cs="Times New Roman" w:eastAsia="Times New Roman" w:hAnsi="Times New Roman"/>
          <w:sz w:val="20"/>
          <w:szCs w:val="20"/>
          <w:u w:val="single" w:color="auto"/>
          <w:color w:val="auto"/>
        </w:rPr>
        <w:t>Annual Cash Retainer</w:t>
      </w:r>
      <w:r>
        <w:rPr>
          <w:rFonts w:ascii="Times New Roman" w:cs="Times New Roman" w:eastAsia="Times New Roman" w:hAnsi="Times New Roman"/>
          <w:sz w:val="20"/>
          <w:szCs w:val="20"/>
          <w:color w:val="auto"/>
        </w:rPr>
        <w:t>”) will be paid quarterly in arrears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a prorated basis to each Outside Director who has served in the relevant capacity at any point during the fiscal quarter, and such payment will be made on the last business day of such fiscal quarter (or as soon thereafter as practical, but in no event later than 30 days following the end of such fiscal quarter). For purposes of clarification, an Outside Director who has served as an Outside Director and/or as a member of an applicable committee (or chair thereof) during only a portion of the relevant Company fiscal quarter will receive a pro-rated payment of the quarterly payment of the applicable annual cash retainer(s), calculated based on the number of days during such fiscal quarter such Outside Director has served in the relevant capacities.</w:t>
      </w:r>
    </w:p>
    <w:p>
      <w:pPr>
        <w:spacing w:after="0" w:line="184" w:lineRule="exact"/>
        <w:rPr>
          <w:sz w:val="20"/>
          <w:szCs w:val="20"/>
          <w:color w:val="auto"/>
        </w:rPr>
      </w:pPr>
    </w:p>
    <w:p>
      <w:pPr>
        <w:ind w:left="1020" w:hanging="263"/>
        <w:spacing w:after="0"/>
        <w:tabs>
          <w:tab w:leader="none" w:pos="10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 No Awards will be made if they would exceed any limitations in the Plan.</w:t>
      </w:r>
    </w:p>
    <w:p>
      <w:pPr>
        <w:spacing w:after="0" w:line="180" w:lineRule="exact"/>
        <w:rPr>
          <w:sz w:val="20"/>
          <w:szCs w:val="20"/>
          <w:color w:val="auto"/>
        </w:rPr>
      </w:pPr>
    </w:p>
    <w:p>
      <w:pPr>
        <w:jc w:val="both"/>
        <w:ind w:firstLine="1568"/>
        <w:spacing w:after="0" w:line="246" w:lineRule="auto"/>
        <w:tabs>
          <w:tab w:leader="none" w:pos="192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Discretion</w:t>
      </w:r>
      <w:r>
        <w:rPr>
          <w:rFonts w:ascii="Times New Roman" w:cs="Times New Roman" w:eastAsia="Times New Roman" w:hAnsi="Times New Roman"/>
          <w:sz w:val="20"/>
          <w:szCs w:val="20"/>
          <w:color w:val="auto"/>
        </w:rPr>
        <w:t>. No person will have any discretion to select which Outside Directors will be granted any Awards under this Policy or to determine the number of Shares to be covered by such Awards. Notwithstanding the foregoing, any individual Outside Director may refuse to receive all or any part of an Award otherwise due to such Outside Director pursuant to this policy, and a majority of all Outside Directors may determine to reduce the amount (including in full) of any Annual Awards otherwise due to all Outside Directors on behalf of all Outside Directors.</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Director Award</w:t>
      </w:r>
      <w:r>
        <w:rPr>
          <w:rFonts w:ascii="Times New Roman" w:cs="Times New Roman" w:eastAsia="Times New Roman" w:hAnsi="Times New Roman"/>
          <w:sz w:val="20"/>
          <w:szCs w:val="20"/>
          <w:color w:val="auto"/>
        </w:rPr>
        <w:t>. Subject to the following paragraph, upon an Outside Director’s initial appointment to the Board (other than by appointment on an Annual Meeting), such Outside Director automatically will be granted a number of restricted stock units equal to $100,000 divided by the simple average closing price of the Company’s common stock over the 60-trading days ending on the trading day immediately prior to the grant date multiplied by a fraction (A) the numerator of which is (x) 12 minus (y) the number of months between the date of the last Annual Meeting and the date the Outside Director becomes a member of the Board and (B) the denominator of which is 12 (a “</w:t>
      </w:r>
      <w:r>
        <w:rPr>
          <w:rFonts w:ascii="Times New Roman" w:cs="Times New Roman" w:eastAsia="Times New Roman" w:hAnsi="Times New Roman"/>
          <w:sz w:val="20"/>
          <w:szCs w:val="20"/>
          <w:u w:val="single" w:color="auto"/>
          <w:color w:val="auto"/>
        </w:rPr>
        <w:t>New Director Award</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Subject to Section 3, each New Director Award will fully vest upon the earlier of: (i) the first anniversary of the grant date and (ii) the day prior to date of the next Annual Meeting, in each case subject to the Outside Director continuing to be a Service Provider through the vesting date. For the avoidance of doubt, should the appointment date be the same as the date of an Annual Meeting, then such Outside Director will only be granted an Annual Award.</w:t>
      </w:r>
    </w:p>
    <w:p>
      <w:pPr>
        <w:spacing w:after="0" w:line="180" w:lineRule="exact"/>
        <w:rPr>
          <w:sz w:val="20"/>
          <w:szCs w:val="20"/>
          <w:color w:val="auto"/>
        </w:rPr>
      </w:pPr>
    </w:p>
    <w:p>
      <w:pPr>
        <w:jc w:val="both"/>
        <w:ind w:firstLine="1505"/>
        <w:spacing w:after="0" w:line="254" w:lineRule="auto"/>
        <w:tabs>
          <w:tab w:leader="none" w:pos="189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Award</w:t>
      </w:r>
      <w:r>
        <w:rPr>
          <w:rFonts w:ascii="Times New Roman" w:cs="Times New Roman" w:eastAsia="Times New Roman" w:hAnsi="Times New Roman"/>
          <w:sz w:val="20"/>
          <w:szCs w:val="20"/>
          <w:color w:val="auto"/>
        </w:rPr>
        <w:t>. Subject to the following paragraph, on the date of each Annual Meeting, each Outside Director will be automatically granted a number of restricted stock units equal to $100,000 divided by the simple average closing price of the Company’s common stock over the 60-trading days ending on the trading day immediately prior to the grant date.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Subject to Section 3 of this Policy, each Annual Award will vest on the earlier of (i) the first anniversary of the date the Annual Award is granted and (ii) the day prior to the date of the Annual Meeting next following the date the Annual Award was granted, in each case, subject to the Outside Director continuing to be a Service Provider through the applicable vesting date.</w:t>
      </w:r>
    </w:p>
    <w:p>
      <w:pPr>
        <w:spacing w:after="0" w:line="174" w:lineRule="exact"/>
        <w:rPr>
          <w:sz w:val="20"/>
          <w:szCs w:val="20"/>
          <w:color w:val="auto"/>
        </w:rPr>
      </w:pPr>
    </w:p>
    <w:p>
      <w:pPr>
        <w:jc w:val="both"/>
        <w:ind w:firstLine="1505"/>
        <w:spacing w:after="0" w:line="254" w:lineRule="auto"/>
        <w:tabs>
          <w:tab w:leader="none" w:pos="189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 of New Director Awards and Annual Awards</w:t>
      </w:r>
      <w:r>
        <w:rPr>
          <w:rFonts w:ascii="Times New Roman" w:cs="Times New Roman" w:eastAsia="Times New Roman" w:hAnsi="Times New Roman"/>
          <w:sz w:val="20"/>
          <w:szCs w:val="20"/>
          <w:color w:val="auto"/>
        </w:rPr>
        <w:t>. Each New Director Award and Annual Award will be granted under and subject to the terms and conditions of the Plan and the applicable form of Award Agreement previously approved by the Board or its Committee, as applicable, for use thereunder.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9" w:lineRule="exact"/>
        <w:rPr>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Immediately prior to a Change in Control, each Outside Director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the Outside Director and the Company or any of its Subsidiaries or Parents, as applicable.</w:t>
      </w:r>
    </w:p>
    <w:p>
      <w:pPr>
        <w:spacing w:after="0" w:line="184" w:lineRule="exact"/>
        <w:rPr>
          <w:sz w:val="20"/>
          <w:szCs w:val="20"/>
          <w:color w:val="auto"/>
        </w:rPr>
      </w:pPr>
    </w:p>
    <w:p>
      <w:pPr>
        <w:ind w:left="1020" w:hanging="263"/>
        <w:spacing w:after="0"/>
        <w:tabs>
          <w:tab w:leader="none" w:pos="10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Travel Expenses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Each Outside Director’s reasonable, customary and documented travel expenses to Board or Board committee meetings or related to his or her Board service will be reimbursed by the Company.</w:t>
      </w:r>
    </w:p>
    <w:p>
      <w:pPr>
        <w:spacing w:after="0" w:line="159" w:lineRule="exact"/>
        <w:rPr>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Provisions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All provisions of the Plan not inconsistent with this Policy will apply to Awards granted to Outside Directors.</w:t>
      </w:r>
    </w:p>
    <w:p>
      <w:pPr>
        <w:spacing w:after="0" w:line="216" w:lineRule="exact"/>
        <w:rPr>
          <w:sz w:val="20"/>
          <w:szCs w:val="20"/>
          <w:color w:val="auto"/>
        </w:rPr>
      </w:pPr>
    </w:p>
    <w:p>
      <w:pPr>
        <w:ind w:left="1020" w:hanging="263"/>
        <w:spacing w:after="0"/>
        <w:tabs>
          <w:tab w:leader="none" w:pos="10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20"/>
          <w:szCs w:val="20"/>
          <w:color w:val="auto"/>
        </w:rPr>
        <w:t>In no event will cash compensation or expense reimbursement payments under this Policy be paid after the later of (i)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the 3rd month following the end of the Fiscal Year in which the compensation is earned or expenses are incurred, as applicable, or (ii)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have any liability or obligation to reimburse, indemnify, or hold harmless an Outside Director (or any other person) for any taxes or costs that may be imposed on or incurred by an Outside Director (or any other person) as a result of Section 409A.</w:t>
      </w:r>
    </w:p>
    <w:p>
      <w:pPr>
        <w:spacing w:after="0" w:line="190" w:lineRule="exact"/>
        <w:rPr>
          <w:sz w:val="20"/>
          <w:szCs w:val="20"/>
          <w:color w:val="auto"/>
        </w:rPr>
      </w:pPr>
    </w:p>
    <w:p>
      <w:pPr>
        <w:ind w:left="1020" w:hanging="263"/>
        <w:spacing w:after="0"/>
        <w:tabs>
          <w:tab w:leader="none" w:pos="10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20"/>
          <w:szCs w:val="20"/>
          <w:color w:val="auto"/>
        </w:rPr>
        <w:t>The Board or Compensation Committee of 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G. Wolff, certify that:</w:t>
      </w:r>
    </w:p>
    <w:p>
      <w:pPr>
        <w:spacing w:after="0" w:line="22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Trevor Thatcher, certify that:</w:t>
      </w:r>
    </w:p>
    <w:p>
      <w:pPr>
        <w:spacing w:after="0" w:line="225"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June 30,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June 30,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7"/>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lowerRoman"/>
      <w:start w:val="2"/>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lvl w:ilvl="1">
      <w:lvlJc w:val="left"/>
      <w:lvlText w:val="%2"/>
      <w:numFmt w:val="decimal"/>
      <w:start w:val="104"/>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2"/>
    </w:lvl>
  </w:abstractNum>
  <w:abstractNum w:abstractNumId="26">
    <w:nsid w:val="4516DDE9"/>
    <w:multiLevelType w:val="hybridMultilevel"/>
    <w:lvl w:ilvl="0">
      <w:lvlJc w:val="left"/>
      <w:lvlText w:val="%1"/>
      <w:numFmt w:val="lowerLetter"/>
      <w:start w:val="1"/>
    </w:lvl>
    <w:lvl w:ilvl="1">
      <w:lvlJc w:val="left"/>
      <w:lvlText w:val="(%2)"/>
      <w:numFmt w:val="lowerLetter"/>
      <w:start w:val="1"/>
    </w:lvl>
  </w:abstractNum>
  <w:abstractNum w:abstractNumId="27">
    <w:nsid w:val="3006C83E"/>
    <w:multiLevelType w:val="hybridMultilevel"/>
    <w:lvl w:ilvl="0">
      <w:lvlJc w:val="left"/>
      <w:lvlText w:val="(%1)"/>
      <w:numFmt w:val="lowerLetter"/>
      <w:start w:val="2"/>
    </w:lvl>
    <w:lvl w:ilvl="1">
      <w:lvlJc w:val="left"/>
      <w:lvlText w:val="%2"/>
      <w:numFmt w:val="lowerLetter"/>
      <w:start w:val="1"/>
    </w:lvl>
  </w:abstractNum>
  <w:abstractNum w:abstractNumId="28">
    <w:nsid w:val="614FD4A1"/>
    <w:multiLevelType w:val="hybridMultilevel"/>
    <w:lvl w:ilvl="0">
      <w:lvlJc w:val="left"/>
      <w:lvlText w:val="(%1)"/>
      <w:numFmt w:val="lowerLetter"/>
      <w:start w:val="3"/>
    </w:lvl>
  </w:abstractNum>
  <w:abstractNum w:abstractNumId="29">
    <w:nsid w:val="419AC241"/>
    <w:multiLevelType w:val="hybridMultilevel"/>
    <w:lvl w:ilvl="0">
      <w:lvlJc w:val="left"/>
      <w:lvlText w:val="(%1)"/>
      <w:numFmt w:val="lowerLetter"/>
      <w:start w:val="4"/>
    </w:lvl>
  </w:abstractNum>
  <w:abstractNum w:abstractNumId="30">
    <w:nsid w:val="5577F8E1"/>
    <w:multiLevelType w:val="hybridMultilevel"/>
    <w:lvl w:ilvl="0">
      <w:lvlJc w:val="left"/>
      <w:lvlText w:val="%1."/>
      <w:numFmt w:val="decimal"/>
      <w:start w:val="3"/>
    </w:lvl>
  </w:abstractNum>
  <w:abstractNum w:abstractNumId="31">
    <w:nsid w:val="440BADFC"/>
    <w:multiLevelType w:val="hybridMultilevel"/>
    <w:lvl w:ilvl="0">
      <w:lvlJc w:val="left"/>
      <w:lvlText w:val="%1."/>
      <w:numFmt w:val="decimal"/>
      <w:start w:val="4"/>
    </w:lvl>
  </w:abstractNum>
  <w:abstractNum w:abstractNumId="32">
    <w:nsid w:val="5072367"/>
    <w:multiLevelType w:val="hybridMultilevel"/>
    <w:lvl w:ilvl="0">
      <w:lvlJc w:val="left"/>
      <w:lvlText w:val="%1."/>
      <w:numFmt w:val="decimal"/>
      <w:start w:val="5"/>
    </w:lvl>
  </w:abstractNum>
  <w:abstractNum w:abstractNumId="33">
    <w:nsid w:val="3804823E"/>
    <w:multiLevelType w:val="hybridMultilevel"/>
    <w:lvl w:ilvl="0">
      <w:lvlJc w:val="left"/>
      <w:lvlText w:val="%1."/>
      <w:numFmt w:val="decimal"/>
      <w:start w:val="6"/>
    </w:lvl>
  </w:abstractNum>
  <w:abstractNum w:abstractNumId="34">
    <w:nsid w:val="77465F01"/>
    <w:multiLevelType w:val="hybridMultilevel"/>
    <w:lvl w:ilvl="0">
      <w:lvlJc w:val="left"/>
      <w:lvlText w:val="%1."/>
      <w:numFmt w:val="decimal"/>
      <w:start w:val="7"/>
    </w:lvl>
  </w:abstractNum>
  <w:abstractNum w:abstractNumId="35">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04" Type="http://schemas.openxmlformats.org/officeDocument/2006/relationships/hyperlink" Target="https://www.sec.gov/Archives/edgar/data/1826681/000156459021049662/strc-ex31_83.htm" TargetMode="External"/><Relationship Id="rId305" Type="http://schemas.openxmlformats.org/officeDocument/2006/relationships/hyperlink" Target="https://www.sec.gov/Archives/edgar/data/1826681/000095017023028943/strc-ex3_1.htm" TargetMode="External"/><Relationship Id="rId306" Type="http://schemas.openxmlformats.org/officeDocument/2006/relationships/hyperlink" Target="https://www.sec.gov/Archives/edgar/data/1826681/000095017024032876/strc-ex3_1.htm" TargetMode="External"/><Relationship Id="rId307" Type="http://schemas.openxmlformats.org/officeDocument/2006/relationships/hyperlink" Target="https://www.sec.gov/Archives/edgar/data/1826681/000095017024032876/strc-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2025-08-06T15:23:09Z</dcterms:created>
  <dcterms:modified xsi:type="dcterms:W3CDTF">2025-08-06T15:23:09Z</dcterms:modified>
</cp:coreProperties>
</file>