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10845.xml.htm"/>
      <w:bookmarkStart w:id="1" w:name="ksform408212026_1108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SONNE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PALLADYNE AI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SOUTH 500 WEST,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Palladyne AI Corp.</w:t>
              </w:r>
            </w:hyperlink>
            <w:r>
              <w:rPr/>
              <w:t xml:space="preserve"> [ </w:t>
            </w:r>
            <w:r>
              <w:rPr>
                <w:rFonts w:ascii="Times;serif" w:hAnsi="Times;serif"/>
                <w:color w:val="0000FF"/>
                <w:sz w:val="24"/>
                <w:shd w:fill="FFFFFF" w:val="clear"/>
              </w:rPr>
              <w:t>PDYN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6.1589</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340,690</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sold to cover income tax liabilities in connection with the vesting of restricted stock unit awards pursuant to sell-to-cover arrangements implemented by the Issuer, which the Reporting Person may elect to pay in cash, and does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and "Price" reported in this Column 4 reflect the aggregate number and weighted-average price, respectively, of shares sold. These shares were sold in multiple transactions at prices ranging from $6.1201 to $6.2101,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represented by RSUs, of which 12,856 settled on August 20, 2026 and were then reduced by the 5,341 shares sold for taxes as reported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Sonne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996" TargetMode="External"/><Relationship Id="rId5" Type="http://schemas.openxmlformats.org/officeDocument/2006/relationships/hyperlink" Target="http://www.sec.gov/cgi-bin/browse-edgar?action=getcompany&amp;CIK=000182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3907</Characters>
  <CharactersWithSpaces>4562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