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680" w:right="1600" w:hanging="365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38"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927-7296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23, 2024, the registrant had 26.8 million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488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4"/>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9"/>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are likely to incur losses, which could be significant, for the foreseeable future.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resources and access to capital, and our failure to properly estimate the time and expense required to commercialize our prior hardware-centric industrial robotics solutions, we made the decision in late 2023 to focus on our AI/ML Software Platform product and to suspend the development and commercialization of our hardware products. These and future decisions about how to use our limited resources may prove to be wrong and may adversely affect our business.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AI/ML Software Platform may be delayed beyond our current expectations and therefore initial availability to customers and receipt of anticipated revenue could be delayed.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revenues are expected to be primarily derived from the development and licensing of our AI/ML Software Platform for the foreseeable future.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Software Platform is still under development and any issues in the development and use of our platform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AI/ML Software Platform still under development, the timing and magnitude of revenues from customers is uncertain. If we cannot commercialize our AI/ML Software Platform on our expected schedule, if the platform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AI/ML Software Platform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software products may be inaccurate.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Software Platform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or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(collectively, “Defects”) in our AI/ML Software Platform, failure of our AI/ML Software Platform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AI/ML Software Platform and subject us to possible litigation.</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503" w:hanging="503"/>
        <w:spacing w:after="0" w:line="258"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business and prospects depend significantly on our ability to build an effective brand. We may not succeed in establishing, maintaining and strengthening an effective brand, and our brand and reputation could be harmed by negative publicity regarding us or our AI/ML Software Platform. We believe that our inability to successfully commercialize our hardware products, and our resulting financial performance, damaged our prior brand. As a result, in March 2024 we changed our name to Palladyne AI Corp. and have branded our AI/ML software products accordingly.</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design, develop, market and commercialize our software products successfully.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Software Platform, and we may never reach profitability and/or achieve significant or any revenues.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initiatives to improve our cost structure, including significant workforce reductions, may not result in the anticipated savings, could result in total costs and expenses that are greater than expected and could disrupt our business.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(including from development contracts), product demand and other factors.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AI/ML Software Platform, operate our business and compete could be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development, marketing, licensing, distribution or use of our AI/ML Software Platform or to the providing of customer service, and a failure to comply with such regulations could lead to delays in launching our platform and/or withdrawal of our platform from the market, delay our projected revenues, increase costs and/or make our business unviable if we are unable to modify our software products to comply.</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and Warrants are subject to potential delisting from The Nasdaq Global Market in the event we do not meet Nasdaq’s</w:t>
      </w:r>
    </w:p>
    <w:p>
      <w:pPr>
        <w:spacing w:after="0" w:line="27" w:lineRule="exact"/>
        <w:rPr>
          <w:sz w:val="20"/>
          <w:szCs w:val="20"/>
          <w:color w:val="auto"/>
        </w:rPr>
      </w:pPr>
    </w:p>
    <w:p>
      <w:pPr>
        <w:jc w:val="center"/>
        <w:ind w:right="297"/>
        <w:spacing w:after="0" w:line="260" w:lineRule="auto"/>
        <w:rPr>
          <w:sz w:val="20"/>
          <w:szCs w:val="20"/>
          <w:color w:val="auto"/>
        </w:rPr>
      </w:pPr>
      <w:r>
        <w:rPr>
          <w:rFonts w:ascii="Times New Roman" w:cs="Times New Roman" w:eastAsia="Times New Roman" w:hAnsi="Times New Roman"/>
          <w:sz w:val="18"/>
          <w:szCs w:val="18"/>
          <w:color w:val="auto"/>
        </w:rPr>
        <w:t>continued listing requirements, which would likely impair the liquidity of the trading market for our Common Stock and Warrants.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457200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25,831</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45,114</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Borders>
              <w:bottom w:val="single" w:sz="8" w:color="CFF0FC"/>
            </w:tcBorders>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8,456</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June 30, 2024, and December 31, 2023;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26,769,694 and 25,877,865 shares issued and outstanding as of June 30, 2024, and December 31, 2023,</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(430,766 )</w:t>
            </w:r>
          </w:p>
        </w:tc>
        <w:tc>
          <w:tcPr>
            <w:tcW w:w="1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(418,214 )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45,114</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-2073910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9"/>
                <w:szCs w:val="19"/>
                <w:color w:val="auto"/>
              </w:rPr>
            </w:pPr>
          </w:p>
        </w:tc>
        <w:tc>
          <w:tcPr>
            <w:tcW w:w="240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5800" w:type="dxa"/>
            <w:vAlign w:val="bottom"/>
          </w:tcPr>
          <w:p>
            <w:pPr>
              <w:ind w:left="28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21,109</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17,987</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tcPr>
          <w:p>
            <w:pPr>
              <w:spacing w:after="0"/>
              <w:rPr>
                <w:sz w:val="19"/>
                <w:szCs w:val="19"/>
                <w:color w:val="auto"/>
              </w:rPr>
            </w:pPr>
          </w:p>
        </w:tc>
      </w:tr>
      <w:tr>
        <w:trPr>
          <w:trHeight w:val="223"/>
        </w:trPr>
        <w:tc>
          <w:tcPr>
            <w:tcW w:w="58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(5,787 )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(29,959 )</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(13,140 )</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(53,147 )</w:t>
            </w:r>
          </w:p>
        </w:tc>
      </w:tr>
      <w:tr>
        <w:trPr>
          <w:trHeight w:val="23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warrant liability</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shd w:val="clear" w:color="auto" w:fill="CFF0FC"/>
          </w:tcPr>
          <w:p>
            <w:pPr>
              <w:spacing w:after="0"/>
              <w:rPr>
                <w:sz w:val="19"/>
                <w:szCs w:val="19"/>
                <w:color w:val="auto"/>
              </w:rPr>
            </w:pPr>
          </w:p>
        </w:tc>
      </w:tr>
      <w:tr>
        <w:trPr>
          <w:trHeight w:val="23"/>
        </w:trPr>
        <w:tc>
          <w:tcPr>
            <w:tcW w:w="58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 expense</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(5,323 )</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(28,657 )</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(12,552 )</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(50,133 )</w:t>
            </w:r>
          </w:p>
        </w:tc>
      </w:tr>
      <w:tr>
        <w:trPr>
          <w:trHeight w:val="23"/>
        </w:trPr>
        <w:tc>
          <w:tcPr>
            <w:tcW w:w="5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r>
        <w:trPr>
          <w:trHeight w:val="23"/>
        </w:trPr>
        <w:tc>
          <w:tcPr>
            <w:tcW w:w="58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(5,323 )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(28,660 )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(12,552 )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(50,136 )</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(0.20 )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(0.48 )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(1.97 )</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26,622,924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25,512,057</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25,938,483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25,491,654</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-1898015</wp:posOffset>
            </wp:positionV>
            <wp:extent cx="10223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-1898015</wp:posOffset>
            </wp:positionV>
            <wp:extent cx="10223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-1898015</wp:posOffset>
            </wp:positionV>
            <wp:extent cx="939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-1898015</wp:posOffset>
            </wp:positionV>
            <wp:extent cx="939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-1139190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-1139190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-830580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-830580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-830580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-505460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-505460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-505460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9"/>
                <w:szCs w:val="19"/>
                <w:color w:val="auto"/>
              </w:rPr>
            </w:pPr>
          </w:p>
        </w:tc>
        <w:tc>
          <w:tcPr>
            <w:tcW w:w="240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23"/>
        </w:trPr>
        <w:tc>
          <w:tcPr>
            <w:tcW w:w="5800" w:type="dxa"/>
            <w:vAlign w:val="bottom"/>
          </w:tcPr>
          <w:p>
            <w:pPr>
              <w:ind w:left="28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(5,323 )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(28,660 )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(12,552 )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(50,136 )</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 in unrealized gain (loss) on available-for-sale investments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(3 )</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17"/>
        </w:trPr>
        <w:tc>
          <w:tcPr>
            <w:tcW w:w="5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(5,322 )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(28,714 )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(12,555 )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(50,131 )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-346710</wp:posOffset>
            </wp:positionV>
            <wp:extent cx="10223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-346710</wp:posOffset>
            </wp:positionV>
            <wp:extent cx="10223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-346710</wp:posOffset>
            </wp:positionV>
            <wp:extent cx="939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-346710</wp:posOffset>
            </wp:positionV>
            <wp:extent cx="939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34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34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9"/>
                <w:szCs w:val="19"/>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 Income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25,708,519</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447,085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(302,621 )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(2,170 )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(21,476 )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25,713,553</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449,784</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(324,097 )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151,327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(22,991 )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(28,660 )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(28,660 )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25,841,889</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451,815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(352,757 )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360" w:type="dxa"/>
            <w:vAlign w:val="bottom"/>
          </w:tcPr>
          <w:p>
            <w:pPr>
              <w:spacing w:after="0"/>
              <w:rPr>
                <w:sz w:val="24"/>
                <w:szCs w:val="24"/>
                <w:color w:val="auto"/>
              </w:rPr>
            </w:pPr>
          </w:p>
        </w:tc>
        <w:tc>
          <w:tcPr>
            <w:tcW w:w="234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34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9"/>
                <w:szCs w:val="19"/>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(418,214 )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697,967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(23,260 )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(7,229 )</w:t>
            </w:r>
          </w:p>
        </w:tc>
        <w:tc>
          <w:tcPr>
            <w:tcW w:w="1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(7,229 )</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26,552,572</w:t>
            </w: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(425,443 )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198,127</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(15,200 )</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3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34,195</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(5,323 )</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(5,323 )</w:t>
            </w:r>
          </w:p>
        </w:tc>
        <w:tc>
          <w:tcPr>
            <w:tcW w:w="0" w:type="dxa"/>
            <w:vAlign w:val="bottom"/>
          </w:tcPr>
          <w:p>
            <w:pPr>
              <w:spacing w:after="0"/>
              <w:rPr>
                <w:sz w:val="1"/>
                <w:szCs w:val="1"/>
                <w:color w:val="auto"/>
              </w:rPr>
            </w:pPr>
          </w:p>
        </w:tc>
      </w:tr>
      <w:tr>
        <w:trPr>
          <w:trHeight w:val="23"/>
        </w:trPr>
        <w:tc>
          <w:tcPr>
            <w:tcW w:w="336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26,769,694</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460,574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(430,766 )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-4196080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-4178935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-4196080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-4178935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-4196080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-4178935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-4196080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-4178935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-4196080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-4178935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-4196080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-4178935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-3159125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-3141980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-3159125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-3141980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-3159125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-3141980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-3159125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-3141980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-3159125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-3141980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-3141980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-1170305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-1153160</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-1170305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-1153160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-1170305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-1153160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-1170305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-1153160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-1170305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-1153160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-1170305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-1153160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-141605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-141605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-141605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-141605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-141605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12065</wp:posOffset>
            </wp:positionV>
            <wp:extent cx="4937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-126365</wp:posOffset>
            </wp:positionV>
            <wp:extent cx="49377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7760" cy="8890"/>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(12,552 )</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(50,136 )</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tcPr>
          <w:p>
            <w:pPr>
              <w:spacing w:after="0"/>
              <w:rPr>
                <w:sz w:val="19"/>
                <w:szCs w:val="19"/>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(56 )</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(1,365 )</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 write-down</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Unbilled receivable</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(283 )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(4,588 )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(844 )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(2,855 )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(1,823 )</w:t>
            </w: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(610 )</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(651 )</w:t>
            </w:r>
          </w:p>
        </w:tc>
      </w:tr>
      <w:tr>
        <w:trPr>
          <w:trHeight w:val="223"/>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(39,985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(205 )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(673 )</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9"/>
                <w:szCs w:val="19"/>
                <w:color w:val="auto"/>
              </w:rPr>
            </w:pP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(48,872 )</w:t>
            </w: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15,795</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(72 )</w:t>
            </w:r>
          </w:p>
        </w:tc>
        <w:tc>
          <w:tcPr>
            <w:tcW w:w="98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000" w:type="dxa"/>
            <w:vAlign w:val="bottom"/>
          </w:tcPr>
          <w:p>
            <w:pPr>
              <w:spacing w:after="0"/>
              <w:rPr>
                <w:sz w:val="19"/>
                <w:szCs w:val="19"/>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(2 )</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3"/>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(9,593 )</w:t>
            </w: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25,831</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-2708910</wp:posOffset>
            </wp:positionV>
            <wp:extent cx="93980" cy="1879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-2708910</wp:posOffset>
            </wp:positionV>
            <wp:extent cx="93980" cy="1879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-1950085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-1950085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-1217295</wp:posOffset>
            </wp:positionV>
            <wp:extent cx="939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-1217295</wp:posOffset>
            </wp:positionV>
            <wp:extent cx="939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-749935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-749935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Palladyne AI Corp. (the “Company” or “Palladyne AI”) is a pioneer in the robotic systems industry. The Company’s mission is to deliver software to its customers that enhances the utility and functionality of third-party stationary and mobile robotic systems by enabling these systems to quickly observe, learn, reason and act in structured and unstructured environments. The Company’s full-stack, closed-loop autonomy software platform (“AI/ML Software Platform”) is being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To reflect the Company’s transition from a hardware-focused company, in March 2024 the Company changed its name from Sarcos Technology and Robotics Corporation to Palladyne AI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2024, are unaudited. The condensed consolidated balance sheet as of December 31, 2023,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2023, included in the Company’s Annual Report on Form 10-K, filed with the SEC on February 28,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5, 2023, the Company effected a 1-for-6 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2023,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$25.8 million as of June 30, 2024, compared to $39.1 million as of December 31, 2023. The Company has historically incurred losses and negative cash flows from operations. As of June 30, 2024, the Company also had an accumulated deficit of approximately $430.8 million and working capital of $25.8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78" w:lineRule="exact"/>
        <w:rPr>
          <w:sz w:val="20"/>
          <w:szCs w:val="20"/>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(i)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w:t>
      </w:r>
    </w:p>
    <w:p>
      <w:pPr>
        <w:spacing w:after="0" w:line="1" w:lineRule="exact"/>
        <w:rPr>
          <w:sz w:val="20"/>
          <w:szCs w:val="20"/>
          <w:color w:val="auto"/>
        </w:rPr>
      </w:pPr>
    </w:p>
    <w:p>
      <w:pPr>
        <w:jc w:val="both"/>
        <w:ind w:left="1020"/>
        <w:spacing w:after="0" w:line="250" w:lineRule="auto"/>
        <w:rPr>
          <w:sz w:val="20"/>
          <w:szCs w:val="20"/>
          <w:color w:val="auto"/>
        </w:rPr>
      </w:pPr>
      <w:r>
        <w:rPr>
          <w:rFonts w:ascii="Times New Roman" w:cs="Times New Roman" w:eastAsia="Times New Roman" w:hAnsi="Times New Roman"/>
          <w:sz w:val="18"/>
          <w:szCs w:val="18"/>
          <w:color w:val="auto"/>
        </w:rPr>
        <w:t>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consists of sales of the Company’s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legacy commercially available products, and certain miscellaneous parts, accessories and repair services. The Company provides a limited one-year warranty on certain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recognized for Product Development Contract Revenue and Product Revenue for the three and six months ended June 30, 2024 and 2023,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June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5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00" w:type="dxa"/>
            <w:vAlign w:val="bottom"/>
          </w:tcPr>
          <w:p>
            <w:pPr>
              <w:spacing w:after="0"/>
              <w:rPr>
                <w:sz w:val="19"/>
                <w:szCs w:val="19"/>
                <w:color w:val="auto"/>
              </w:rPr>
            </w:pPr>
          </w:p>
        </w:tc>
      </w:tr>
      <w:tr>
        <w:trPr>
          <w:trHeight w:val="226"/>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Revenue,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June 30, 2024 and December 31, 2023, are as follows:</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12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2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9"/>
                <w:szCs w:val="19"/>
                <w:color w:val="auto"/>
              </w:rPr>
            </w:pPr>
          </w:p>
        </w:tc>
      </w:tr>
      <w:tr>
        <w:trPr>
          <w:trHeight w:val="22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net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(75 )</w:t>
            </w:r>
          </w:p>
        </w:tc>
      </w:tr>
      <w:tr>
        <w:trPr>
          <w:trHeight w:val="26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as of June 30,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and six months ended June 30, 2024, the Company recognized all of the deferred revenue which existed at December 31, 2023. There was no deferred revenue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backlog, or revenue related to remaining performance obligations, of $1.5 million. The Company expects most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(“ASU 2023-07”), Segment Reporting (Topic 280): Improvements to Reportable Segment Disclosures, which requires enhanced disclosure of significant segment expenses on an annual and interim basis. ASU 2023-07 is effective for fiscal years beginning after December 15, 2023, and interim periods within fiscal years beginning after December 31, 2024, on a retrospective basis. Early adoption is permitted. The Company is currently evaluating the impact of this accounting standard update on its consolidated financial statements and related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June 30, 2024 and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00" w:type="dxa"/>
            <w:vAlign w:val="bottom"/>
            <w:shd w:val="clear" w:color="auto" w:fill="CFF0FC"/>
          </w:tcPr>
          <w:p>
            <w:pPr>
              <w:spacing w:after="0"/>
              <w:rPr>
                <w:sz w:val="20"/>
                <w:szCs w:val="20"/>
                <w:color w:val="auto"/>
              </w:rPr>
            </w:pPr>
          </w:p>
        </w:tc>
      </w:tr>
      <w:tr>
        <w:trPr>
          <w:trHeight w:val="21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6"/>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00" w:type="dxa"/>
            <w:vAlign w:val="bottom"/>
            <w:shd w:val="clear" w:color="auto" w:fill="CFF0FC"/>
          </w:tcPr>
          <w:p>
            <w:pPr>
              <w:spacing w:after="0"/>
              <w:rPr>
                <w:sz w:val="20"/>
                <w:szCs w:val="20"/>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20,920</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-2005330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-1988185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-2005330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-1988185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-2005330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-1988185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-805180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-805180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held $13.9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inventories, net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jc w:val="right"/>
              <w:ind w:right="66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19"/>
        </w:trPr>
        <w:tc>
          <w:tcPr>
            <w:tcW w:w="7720" w:type="dxa"/>
            <w:vAlign w:val="bottom"/>
            <w:tcBorders>
              <w:bottom w:val="single" w:sz="8" w:color="CFF0FC"/>
            </w:tcBorders>
            <w:shd w:val="clear" w:color="auto" w:fill="CFF0FC"/>
          </w:tcPr>
          <w:p>
            <w:pPr>
              <w:jc w:val="right"/>
              <w:ind w:right="6359"/>
              <w:spacing w:after="0"/>
              <w:rPr>
                <w:sz w:val="20"/>
                <w:szCs w:val="20"/>
                <w:color w:val="auto"/>
              </w:rPr>
            </w:pPr>
            <w:r>
              <w:rPr>
                <w:rFonts w:ascii="Times New Roman" w:cs="Times New Roman" w:eastAsia="Times New Roman" w:hAnsi="Times New Roman"/>
                <w:sz w:val="16"/>
                <w:szCs w:val="16"/>
                <w:color w:val="auto"/>
              </w:rPr>
              <w:t>Finished goods, net</w:t>
            </w:r>
          </w:p>
        </w:tc>
        <w:tc>
          <w:tcPr>
            <w:tcW w:w="1340" w:type="dxa"/>
            <w:vAlign w:val="bottom"/>
            <w:tcBorders>
              <w:bottom w:val="single" w:sz="8" w:color="auto"/>
            </w:tcBorders>
            <w:shd w:val="clear" w:color="auto" w:fill="CFF0FC"/>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jc w:val="right"/>
              <w:ind w:right="6339"/>
              <w:spacing w:after="0"/>
              <w:rPr>
                <w:sz w:val="20"/>
                <w:szCs w:val="20"/>
                <w:color w:val="auto"/>
              </w:rPr>
            </w:pPr>
            <w:r>
              <w:rPr>
                <w:rFonts w:ascii="Times New Roman" w:cs="Times New Roman" w:eastAsia="Times New Roman" w:hAnsi="Times New Roman"/>
                <w:sz w:val="16"/>
                <w:szCs w:val="16"/>
                <w:color w:val="auto"/>
              </w:rPr>
              <w:t>Total inventories</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prepaid expenses and other current assets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prepaid expenses and assets</w:t>
            </w: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property and equipment, net consist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 equipment</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Financed leased computer equipment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0"/>
                <w:szCs w:val="20"/>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9"/>
                <w:szCs w:val="19"/>
                <w:color w:val="auto"/>
              </w:rPr>
            </w:pPr>
          </w:p>
        </w:tc>
      </w:tr>
      <w:tr>
        <w:trPr>
          <w:trHeight w:val="23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9,109</w:t>
            </w:r>
          </w:p>
        </w:tc>
        <w:tc>
          <w:tcPr>
            <w:tcW w:w="100" w:type="dxa"/>
            <w:vAlign w:val="bottom"/>
            <w:tcBorders>
              <w:top w:val="single" w:sz="8" w:color="CFF0FC"/>
            </w:tcBorders>
          </w:tcPr>
          <w:p>
            <w:pPr>
              <w:spacing w:after="0"/>
              <w:rPr>
                <w:sz w:val="19"/>
                <w:szCs w:val="19"/>
                <w:color w:val="auto"/>
              </w:rPr>
            </w:pPr>
          </w:p>
        </w:tc>
      </w:tr>
      <w:tr>
        <w:trPr>
          <w:trHeight w:val="23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(2,742 )</w:t>
            </w: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(4,267 )</w:t>
            </w:r>
          </w:p>
        </w:tc>
      </w:tr>
      <w:tr>
        <w:trPr>
          <w:trHeight w:val="223"/>
        </w:trPr>
        <w:tc>
          <w:tcPr>
            <w:tcW w:w="7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00" w:type="dxa"/>
            <w:vAlign w:val="bottom"/>
            <w:tcBorders>
              <w:top w:val="single" w:sz="8" w:color="CFF0FC"/>
            </w:tcBorders>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expenses were $0.2 million and $0.4 million, for the three months ended June 30, 2024 and 2023, respectively. Depreciation expenses were $0.4 million and $0.8 million, for the six months ended June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accrued liabilities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9"/>
                <w:szCs w:val="19"/>
                <w:color w:val="auto"/>
              </w:rPr>
            </w:pPr>
          </w:p>
        </w:tc>
      </w:tr>
      <w:tr>
        <w:trPr>
          <w:trHeight w:val="22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shd w:val="clear" w:color="auto" w:fill="CFF0FC"/>
          </w:tcPr>
          <w:p>
            <w:pPr>
              <w:spacing w:after="0"/>
              <w:rPr>
                <w:sz w:val="19"/>
                <w:szCs w:val="19"/>
                <w:color w:val="auto"/>
              </w:rPr>
            </w:pP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restructuring accrual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r>
      <w:tr>
        <w:trPr>
          <w:trHeight w:val="239"/>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Legal services accrual</w:t>
            </w: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FF0FC"/>
          </w:tcPr>
          <w:p>
            <w:pPr>
              <w:spacing w:after="0"/>
              <w:rPr>
                <w:sz w:val="20"/>
                <w:szCs w:val="20"/>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9"/>
                <w:szCs w:val="19"/>
                <w:color w:val="auto"/>
              </w:rPr>
            </w:pPr>
          </w:p>
        </w:tc>
      </w:tr>
      <w:tr>
        <w:trPr>
          <w:trHeight w:val="263"/>
        </w:trPr>
        <w:tc>
          <w:tcPr>
            <w:tcW w:w="7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previously announced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spacing w:after="0" w:line="68" w:lineRule="exact"/>
        <w:rPr>
          <w:sz w:val="20"/>
          <w:szCs w:val="20"/>
          <w:color w:val="auto"/>
        </w:rPr>
      </w:pPr>
    </w:p>
    <w:p>
      <w:pPr>
        <w:jc w:val="both"/>
        <w:ind w:left="1020" w:firstLine="6"/>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in the aggregate if the closing share price of a share of Common Stock of the Company is equal to or exceeds $90.00 for 20 trading days in any 30 consecutive trading day period at any time during the period beginning on the first anniversary of the Closing Date and ending on the fourth anniversary of the Closing Date.</w:t>
      </w:r>
    </w:p>
    <w:p>
      <w:pPr>
        <w:spacing w:after="0" w:line="67" w:lineRule="exact"/>
        <w:rPr>
          <w:rFonts w:ascii="Times New Roman" w:cs="Times New Roman" w:eastAsia="Times New Roman" w:hAnsi="Times New Roman"/>
          <w:sz w:val="18"/>
          <w:szCs w:val="18"/>
          <w:color w:val="auto"/>
        </w:rPr>
      </w:pPr>
    </w:p>
    <w:p>
      <w:pPr>
        <w:jc w:val="both"/>
        <w:ind w:left="1020" w:firstLine="6"/>
        <w:spacing w:after="0" w:line="266" w:lineRule="auto"/>
        <w:tabs>
          <w:tab w:leader="none" w:pos="15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if the closing share price of a share of Common Stock of the Company is equal to or exceeds $120.00 for 20 trading days in any 30 consecutive trading day period at any time during the period beginning on the first anniversary of the Closing Date and ending on the fifth anniversary of the Closing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June 30, 2024, there remained 4,687,500 Earn-Out Shares potentially issuable.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 after the completion of the Business Combination, or September 24, 2026, at 5:00 p.m., New York City time, or earlier upon redemption or liquidation. As of June 30, 2024, there were 20,549,453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the Company’s Common Stock Equals or Exceeds $108.00. </w:t>
      </w:r>
      <w:r>
        <w:rPr>
          <w:rFonts w:ascii="Times New Roman" w:cs="Times New Roman" w:eastAsia="Times New Roman" w:hAnsi="Times New Roman"/>
          <w:sz w:val="18"/>
          <w:szCs w:val="18"/>
          <w:color w:val="auto"/>
        </w:rPr>
        <w:t>Once the Warrants become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may call the Warrants for redemption:</w:t>
      </w:r>
    </w:p>
    <w:p>
      <w:pPr>
        <w:spacing w:after="0" w:line="12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Our Common Stock Equals or Exceeds $60.00.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(except as described herein with respect to the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(i) 5.0 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(ii) equal to 2.1 million shares of Common Stock. As of June 30, 2024, 2.0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2015 Equity Incentive Plan (the “2015 Plan”) provided stock options, RSUs, RSAs, SARS and performance awards for issuance to Company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six months ended June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3740" w:type="dxa"/>
            <w:vAlign w:val="bottom"/>
            <w:tcBorders>
              <w:bottom w:val="single" w:sz="8" w:color="auto"/>
            </w:tcBorders>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3480" w:type="dxa"/>
            <w:vAlign w:val="bottom"/>
          </w:tcPr>
          <w:p>
            <w:pPr>
              <w:spacing w:after="0"/>
              <w:rPr>
                <w:sz w:val="19"/>
                <w:szCs w:val="19"/>
                <w:color w:val="auto"/>
              </w:rPr>
            </w:pPr>
          </w:p>
        </w:tc>
        <w:tc>
          <w:tcPr>
            <w:tcW w:w="1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6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9"/>
                <w:szCs w:val="19"/>
                <w:color w:val="auto"/>
              </w:rPr>
            </w:pPr>
          </w:p>
        </w:tc>
      </w:tr>
      <w:tr>
        <w:trPr>
          <w:trHeight w:val="22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2,845,084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9"/>
                <w:szCs w:val="19"/>
                <w:color w:val="auto"/>
              </w:rPr>
            </w:pPr>
          </w:p>
        </w:tc>
      </w:tr>
      <w:tr>
        <w:trPr>
          <w:trHeight w:val="220"/>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2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(34,195 )</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6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(1,705,546 )</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June 30, 2024</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1,575,343</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December 31, 2023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1,250,104</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9"/>
                <w:szCs w:val="19"/>
                <w:color w:val="auto"/>
              </w:rPr>
            </w:pPr>
          </w:p>
        </w:tc>
      </w:tr>
      <w:tr>
        <w:trPr>
          <w:trHeight w:val="263"/>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 June 30, 2024</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587,831</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6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-333375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-333375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-333375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Option Repricing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the Company amended certain options to purchase 753,551 shares of the Company’s common stock. All of the options subject to the amendments had exercise prices that exceeded the value of the Company’s common stock on the amendment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527,881 shares held by other eligible current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incremental fair value to be recognized as a result of the amendments was $0.2 million. The incremental fair value attributable to the vested options of $0.1 million was recognized as stock-based compensation expense during the three and six months ended June 30, 2024. The remaining incremental fair value attributable to the unvested option shares will be amortized over the remaining requisite service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six months ended June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35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200"/>
        </w:trPr>
        <w:tc>
          <w:tcPr>
            <w:tcW w:w="76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25"/>
        </w:trPr>
        <w:tc>
          <w:tcPr>
            <w:tcW w:w="7680" w:type="dxa"/>
            <w:vAlign w:val="bottom"/>
          </w:tcPr>
          <w:p>
            <w:pPr>
              <w:spacing w:after="0"/>
              <w:rPr>
                <w:sz w:val="19"/>
                <w:szCs w:val="19"/>
                <w:color w:val="auto"/>
              </w:rPr>
            </w:pP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1,180,115</w:t>
            </w: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1,544,319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Released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(271,094 )</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(695,426 )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June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1,757,914</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six months ended June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80" w:type="dxa"/>
            <w:vAlign w:val="bottom"/>
          </w:tcPr>
          <w:p>
            <w:pPr>
              <w:spacing w:after="0"/>
              <w:rPr>
                <w:sz w:val="19"/>
                <w:szCs w:val="19"/>
                <w:color w:val="auto"/>
              </w:rPr>
            </w:pPr>
          </w:p>
        </w:tc>
        <w:tc>
          <w:tcPr>
            <w:tcW w:w="35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200"/>
        </w:trPr>
        <w:tc>
          <w:tcPr>
            <w:tcW w:w="768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7"/>
                <w:szCs w:val="17"/>
                <w:color w:val="auto"/>
              </w:rPr>
            </w:pPr>
          </w:p>
        </w:tc>
      </w:tr>
      <w:tr>
        <w:trPr>
          <w:trHeight w:val="203"/>
        </w:trPr>
        <w:tc>
          <w:tcPr>
            <w:tcW w:w="7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25"/>
        </w:trPr>
        <w:tc>
          <w:tcPr>
            <w:tcW w:w="7680" w:type="dxa"/>
            <w:vAlign w:val="bottom"/>
          </w:tcPr>
          <w:p>
            <w:pPr>
              <w:spacing w:after="0"/>
              <w:rPr>
                <w:sz w:val="19"/>
                <w:szCs w:val="19"/>
                <w:color w:val="auto"/>
              </w:rPr>
            </w:pPr>
          </w:p>
        </w:tc>
        <w:tc>
          <w:tcPr>
            <w:tcW w:w="1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9"/>
                <w:szCs w:val="19"/>
                <w:color w:val="auto"/>
              </w:rPr>
            </w:pPr>
          </w:p>
        </w:tc>
      </w:tr>
      <w:tr>
        <w:trPr>
          <w:trHeight w:val="263"/>
        </w:trPr>
        <w:tc>
          <w:tcPr>
            <w:tcW w:w="7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 June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19"/>
                <w:szCs w:val="19"/>
                <w:color w:val="auto"/>
              </w:rPr>
            </w:pP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9"/>
                <w:szCs w:val="19"/>
                <w:color w:val="auto"/>
              </w:rPr>
            </w:pPr>
          </w:p>
        </w:tc>
      </w:tr>
      <w:tr>
        <w:trPr>
          <w:trHeight w:val="23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FF0FC"/>
          </w:tcPr>
          <w:p>
            <w:pPr>
              <w:spacing w:after="0"/>
              <w:rPr>
                <w:sz w:val="20"/>
                <w:szCs w:val="20"/>
                <w:color w:val="auto"/>
              </w:rPr>
            </w:pPr>
          </w:p>
        </w:tc>
      </w:tr>
      <w:tr>
        <w:trPr>
          <w:trHeight w:val="223"/>
        </w:trPr>
        <w:tc>
          <w:tcPr>
            <w:tcW w:w="5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100" w:type="dxa"/>
            <w:vAlign w:val="bottom"/>
            <w:tcBorders>
              <w:bottom w:val="single" w:sz="8" w:color="CFF0FC"/>
            </w:tcBorders>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-179705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-179705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right="420"/>
        <w:spacing w:after="0" w:line="282" w:lineRule="auto"/>
        <w:rPr>
          <w:sz w:val="20"/>
          <w:szCs w:val="20"/>
          <w:color w:val="auto"/>
        </w:rPr>
      </w:pPr>
      <w:r>
        <w:rPr>
          <w:rFonts w:ascii="Times New Roman" w:cs="Times New Roman" w:eastAsia="Times New Roman" w:hAnsi="Times New Roman"/>
          <w:sz w:val="18"/>
          <w:szCs w:val="18"/>
          <w:color w:val="auto"/>
        </w:rPr>
        <w:t>As of June 30, 2024, there was approximately $5.5 million of unrecognized stock-based compensation cost, which is expected to be recognized over a weighted average period of 2.7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and six months ended June 30,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0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(5,323 )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(28,660 )</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(12,552 )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(50,136 )</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shares outstanding, basic and diluted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26,622,924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25,512,057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25,938,483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25,491,654</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(0.20 )</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(1.12 )</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(0.48 )</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(1.97 )</w:t>
            </w:r>
          </w:p>
        </w:tc>
      </w:tr>
      <w:tr>
        <w:trPr>
          <w:trHeight w:val="238"/>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12,070,666</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13,389,271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12,070,666</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13,389,271</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-184150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-167005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-184150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-167005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-184150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-167005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-184150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the same for the three and six months ended June 30, 2024 and 2023, as the inclusion of potential shares of Common Stock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no significant income tax expense for the three and six months ended June 30, 2024 and 2023. The provision for income taxes for the three months ended June 30, 2024 and 2023 is based on the Company’s estimated annualized effective tax rate for the fiscal years ending December 31, 2024 and 2023, respectively. For the three and six months ended June 30, 2024,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June 30, 2024 and December 31,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June 30, 2024 and December 31, 2023, the Company has not accrued a liability for these indemnification obligations as the likelihood of incurring a material payment obligation in connection with these indemnification obligations is either not probable or not reasonably estimable.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The Company had $0.2 and $0.9 million of revenue earned from customers located outside the United States during the three and six months ended June 30,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2023 (the “2023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9"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pivot our business pursuant to our strategy to focus on the development of our full-stack, closed-loop autonomy software platform (“AI/ML Software Platform”);</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AI/ML Software Platform and the capabilities and functionality of our AI/ML Software Platform;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product roadmaps, including expected timing of new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applicable to our business;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new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our reductions in force on our cash usage and savings, cost structure and restructuring costs;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software products;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known and unknown litigation and regulatory proceedings;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de minimis hardware development efforts;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deliver software to our customers that enhances the utility and functionality of third-party stationary and mobile robotic systems by enabling these systems to quickly observe, learn, reason and act in structured and unstructured environments. Our AI/ML Software Platform is being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We believe this “human-like” ability to learn and adapt will be a key differentiator in helping our customers maintain optimal productivity in dynamic or unstructured environments, where new situations and unexpected challenges are more likely to cause delays and costly downtime. Our value proposition is further enhanced relative to other competitive solutions because robotic systems using our AI/ML Software Platform are not required to be continuously connected to the cloud for our software to function, thereby reducing the performance issues associated with poor connectivity and latency typically associated with processing in the cloud. Our approach also reduces the expense typically associated with transmitting large amounts of data to and from the cloud.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pioneer in the robotic systems industry, we benefit from both experiences and lessons gained from our 30-plus years, as well as significant investment in our internal research and development efforts. Software has been an integral part of our development efforts over the years. Our vision for our AI/ML Software Platform began in 2017 as a foundational technology to enhance training for the autonomous operation of our own internally developed hardware solutions and progressed to our first contract with the U.S. Department of Defense to develop our CYTAR (Cybernetic Training for Autonomous Robots) AI/ML platform in 2019. We have since continued to develop our AI/ML software both for the U.S. Department of Defense and in connection with our development of commercial robotic systems.</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designing our AI/ML Software Platform to be hardware agnostic in order to be compatible with most industrial robots being sold today and to support specific types of commercially available robots with additional development and the necessary application programming interface (API). The AI/ML Software Platform is expected to enable robotic systems to perform tasks that involve variations in the environment and the objects being manipulated by the robot. Specifically, we expect our AI/ML Software Platform to incorporate internal and external environmental inputs that allow robots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expedite robot training, expand the tasks that a robot can perform, reduce costly workflow stoppages, mitigate downtimes and reduce human labor requirements.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developing two products based on our AI/ML Software Platform. The first, Palladyne IQ, is being developed for use with both stationary industrial robots and cobots, and the second, Palladyne Pilot, is being developed for use with mobile robotic platforms such as drones and unmanned ground vehicles. We have developed a minimal viable product (MVP) version (i.e., a version of the product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that is capable of performing the minimal functions necessary but that does not have all the features of and has not been fully tested, debugged or refined into our planned product for general commercial release) of Palladyne IQ for customer evaluation and trials, and we are now in the process of testing, fixing bugs and adding additional features and capabilities in advance of the expected commercial launch of the product during the second half of 2024. We are regularly providing customer demos of our Palladyne IQ product at our facilities and, in June 2024, we had our first trial of Palladyne IQ at a customer location. We have recently begun another onsite trial at a major automotive manufacturer. We expect to continue customer trials throughout the second half of 2024 and to begin generating revenues from commercial customers in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following a similar process with our Palladyne Pilot product and expect to have the MVP version ready for customer trials during the second half of 2024 and a commercial product ready for release in the first quarter of 2025. We recently completed a customer trial of an early version of Palladyne Pilot.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U.S. government revenue-generating contracts related to various aspects of our AI/ML Software Platform and our Palladyne IQ and Palladyne Pilot products. As scheduled to date, we have timely met all the development milestones associated with these contracts and recognized revenue based on work completed.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to date we have met our key AI/ML Software Platform product development timelines and government contract milestones on schedule, we may not be able to do so in the future and our current expectations regarding the timing or success of customer trials, product release, revenues, features and related matters may be delayed or may not occur. Please see Part II Item 1A Risk Factors for a discussion of the risks related to these activities, in particular those discussed under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refined strategy, we reorganized our operations to focus on this AI/ML Software Platform opportunity and are taking or have taken actions to reduce costs, including our 2023 RIFs (as defined below) and winding down substantially all of our operations in Pittsburgh, Pennsylvania. For additional information around the risks associated with our strategic decision-making see Part II Item 1A Risk Factors “</w:t>
      </w:r>
      <w:r>
        <w:rPr>
          <w:rFonts w:ascii="Times New Roman" w:cs="Times New Roman" w:eastAsia="Times New Roman" w:hAnsi="Times New Roman"/>
          <w:sz w:val="18"/>
          <w:szCs w:val="18"/>
          <w:i w:val="1"/>
          <w:iCs w:val="1"/>
          <w:color w:val="auto"/>
        </w:rPr>
        <w:t>Due to our limited resources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access to capital, and our failure to properly estimate the time and expense required to commercialize our hardware-centric industrial robotics solutions, we made the decision to focus on our AI/ML Software Platform product and to suspend the development and commercialization of our hardware products. These and future decisions about how to use our limited resources may prove to be wrong and may adversely affect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derive commercial licensing revenues from Palladyne IQ and Palladyne Pilot beginning in 2025. We expect to continue commercialization efforts, internal testing and customer trials for both products throughout the second half of 2024. Whether we are successful in these efforts depends on many factors, including those discussed under Part II Item 1A Risk Factors. Such risks may result in delay of the anticipated commercial launch of one or both of our products, which would adversely affect our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Prior to commercialization, we must complete the development and testing of our AI/ML Software Platform. As a result, we will use our cash on hand to develop our software platform and fund operations as we seek to commercialize and achieve revenue from our products. The amount and timing of our future funding requirements will depend on many factors, including the pace and results of our product development efforts, our ability to sell our software products and thereby recognize associated revenue, capital and human capital requirements to develop a commercial version of our software platform prior to receiving payments sufficient to cover our costs and our ability to lower product costs as volumes increase. In addition, we have taken and continue to take numerous steps to manage our use of cash. For example, on July 12, 2023 (the “July 2023 RIF”), and on November 14, 2023 (the “November 2023 RIF,” and together with the July 2023 RIF, the “2023 RIFs”), we announced reductions in force intended to further conserve our cash resources and manage operating expenses. The majority of the cash payments related to the expenses from the July 2023 RIF were paid out during the third quarter of 2023. The majority of the cash payments related to the November 2023 RIF were paid out during the fourth quarter of 2023 and the first quarter of 2024. The November 2023 RIF was substantially completed in the first quarter of 2024. We continued to incur expenses associated with winding down our hardware-centric business in the second quarter of 2024. We believe we have sufficient liquidity to operate for at least the next twelve months without the need to raise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and may be opportunistic and raise capital when we consider market conditions are good or a favorable opportunity exists. Any delays in the successful commercialization and sales of our AI/ML Software Platform will negatively impact our ability to generate revenue, our profitability, our cash flows, our overall operating performance and our ability to continue operations and result in the need to raise additional capital sooner than expected. We will continue to carefully evaluate our use of cash as we pursue our AI/ML Software Platform opportunity.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Although demand for AI/ML platforms and applications has grown in recent years, the market for these platforms and applications continues to evolve. The market demand for our software platform is unproven, and important assumptions about the characteristics of targeted markets, pricing and sales cycles may be inaccurate. While we believe that our AI/ML Software Platform will provide significant benefits and return on investment to customers, we are dependent on customers who are willing to adopt, purchase, and implement new technologies and products. If customer demand does not develop as expected or we do not accurately forecast pricing, adoption rates and sales cycles for our AI/ML Software Platform, our business, results of operations and financial condition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in our proprietary technologies. Through our previous hardware development efforts, we developed a significant amount of advanced technology that we are leveraging to develop our AI/ML Software Platform. We believe our financial performance is dependent on our ability to successfully develop and commercialize our advanced AI/ML technologies. It is important that we continually identify and respond to rapidly evolving customer requirements and competitive threats, develop and introduce innovative products, enhance our products and generate active market demand for our products. If we fail to do this, our market position and revenue may be adversely affected, and our investments in these technologies will not be recovered.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Geopolitical and macro-economic factors, such as inflation, interest rates, oil prices, unemployment rates, international conflicts, such as the wars between Israel and Hamas and between Russia and Ukraine, volatility in the stock market and political or social unrest, can have significant impacts on economic activity, which in turn could affect demand for our AI/ML Software Platform or our ability to cost-effectively develop and sell our software platform. Among other things, these and similar factors can affect our ability to hire or retain qualified personnel, our labor and materials costs, the prices we charge for our software platform and the budgets of our customers and their expected return-on-investment from the purchase of a license for our software platform.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June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24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2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112 %</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increased by $1.4 million, or 112%, from $1.3 million for the three months ended June 30, 2023, to $2.7 million for the three months ended June 30, 2024,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Product development contract revenue increased by $1.4 million, or 113%, from $1.3 million for the three months ended June 30, 2023, to $2.7 million for the three months ended June 30, 2024. The increase was primarily due to the progress made on and completion of certain milestones within our product development contracts during the current period. We expect future revenue from product development contracts to fluctuate due to the timing of additional development contracts signed and the completion of existing contracts.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24" w:name="page25"/>
    <w:bookmarkEnd w:id="24"/>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For the time being, we intend to take on only those development contracts that we believe support and contribute to our AI/ML Software Platform development efforts under our refined sales and product development strategy. As a result, there may be fewer opportunities to replace completed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derived from product sales was not significant for the three months ended June 30, 2023 or the three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June 30,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(9,358 )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(3,961 )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(3,030 )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(819 )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(5,194 )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0"/>
        </w:trPr>
        <w:tc>
          <w:tcPr>
            <w:tcW w:w="5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31,236</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(22,736 )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Cost of revenue decreased by $0.4 million, or 40%, from $0.9 million for the three months ended June 30, 2023, to $0.6 million for the three months ended June 30, 2024. Cost of revenue decreased mainly due to decreased labor and material expenses charged to product development due to contract mix during the three months ended June 30, 2024 as compared to the prior year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$9.4 million, or 80% from $11.7 million for the three months ended June 30, 2023, to $2.3 million for the three months ended June 30, 2024. The decrease was driven primarily by reduced labor and labor related expenses due to the 2023 RIFs.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$4.0 million, or 48%, from $8.3 million for the three months ended June 30, 2023, to $4.3 million for the three months ended June 30, 2024. General and administrative expense decreased primarily due to reduced labor and labor related expenses, including stock-based compensation, due to the 2023 RIFs.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$3.0 million, or 69%, from $4.4 million for the three months ended June 30, 2023, to $1.4 million for the three months ended June 30, 2024. This decrease was driven by a decrease in professional service fees related to third-party platform expense utilized in data management of our products and services and decreased events and public relations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product development reprioritization announced in November 2023, our intangible assets were fully amortized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Asset write-down and restructuring expenses were $5.1 million for the three months ended June 30, 2023, as a result of the prior year product development reprioritization. There were no significant asset write-down and restructuring costs for the three months ended June 30, 2024.</w:t>
      </w: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June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(loss),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0"/>
        </w:trPr>
        <w:tc>
          <w:tcPr>
            <w:tcW w:w="5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Other income decreased by $0.8 million for the three months ended June 30, 2024 as compared to the prior year period, primarily as a result of decreased interest income from our investments in marketable securities due to the reduction in invested funds during the current year period and the decrease in unrealized mark-to-market gain on our outstanding private placement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had no significant income tax expense for the three months ended June 30, 2024 and 2023. The provision for income taxes for the three months ended June 30, 2024 and 2023 is based on the Company’s estimated annualized effective tax rate for the fiscal years ending December 31, 2024 and 2023, respectively. For the three months ended June 30, 2024 and 2023,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six months ended June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9"/>
                <w:szCs w:val="19"/>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85,200 %</w:t>
            </w: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increased by $2.6 million, or 72%, from $3.6 million for the six months ended June 30, 2023, to $6.2 million for the six months ended June 30, 2024,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Product development contract revenue was flat for the six months ended June 30, 2024 and 2023.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under our refined sales and product development strategy. As a result, there may be fewer opportunities to replace completed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Revenue derived from product sales increased by $2.6 million, from the six months ended June 30, 2023. The increase was primarily due to legacy product sales during the six months ended June 30, 2024.</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six months ended June 30,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(15,866 )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(8,571 )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(5,966 )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3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2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(1,638 )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(5 )</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(5,111 )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19,294</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56,720</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(37,426 )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Cost of revenue decreased by $0.3 million, or 10%, from $2.7 million for the six months ended June 30, 2023, to $2.5 million for the six months ended June 30, 2024. Cost of revenue decreased mainly due to decreased labor and material expenses charged to product development due to contract mix, partially offset by increased product costs associated with our product revenue during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$15.9 million, or 75% from $21.1 million for the six months ended June 30, 2023, to $5.2 million for the six months ended June 30, 2024. The decrease was driven primarily by reduced labor and labor related expenses due to the 2023 RIFs.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$8.6 million, or 48%, from $18.0 million for the six months ended June 30, 2023, to $9.4 million for the six months ended June 30, 2024. General and administrative expense decreased primarily due to reduced labor and labor related expenses, including stock-based compensation, due to the 2023 RIFs.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$6.0 million, or 73%, from $8.2 million for the six months ended June 30, 2023, to $2.2 million for the six months ended June 30, 2024. This decrease was driven by a decrease in professional service fees related to third-party platform expense utilized in data management of our products and services, labor and labor related expenses due to the 2023 RIFs and decreased events and public relations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our product development reprioritization announced in November 2023, our intangible assets were fully amortized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Asset write-down and restructuring expenses were $5.1 million for the six months ended June 30, 2023, as a result of the prior year product development reprioritization. There were no significant asset write-down and restructuring costs for the six months ended June 30, 2024.</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six months ended June 30, 2024 and 2023,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2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gain on warrant liability</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(4,500 )%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(1,036 )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240" w:type="dxa"/>
            <w:vAlign w:val="bottom"/>
            <w:gridSpan w:val="2"/>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(2,426 )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Other income decreased by $2.4 million for the six months ended June 30, 2024 as compared to the prior year period, primarily as a result of decreased interest income from our investments in marketable securities due to the reduction in invested funds during the current year period and employee retention credit refunds received in the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had no significant income tax expense for the six months ended June 30, 2024 and 2023. The provision for income taxes for the six months ended June 30, 2024 and 2023 is based on the Company’s estimated annualized effective tax rate for the fiscal years ending December 31, 2024 and 2023, respectively. For the six months ended June 30, 2024 and 2023,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backlog, as of June 30, 2024, was $1.5 million, $0.4 million of which was funded and $1.1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$11.4 million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currently use cash from equity financings to fund operations and capital expenditures and meet working capital requirements. As of June 30, 2024, we had $25.8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develop and deliver our commercial AI/ML Software Platform and thereby recognize associated revenue and capital requirements to develop our commercial AI/ML Software Platform prior to receiving payments sufficient to cover our costs. Any delays in the successful commercialization of our software products will negatively impact our ability to generate revenue, profitability, overall operating performance and ability to continue operations.</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and believe we have sufficient capital to fund our business for at least the next 12 months without seeking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market conditions are good or a favorable opportunity exists. Any delays in the successful commercialization and sales of our software platform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1" w:right="239" w:bottom="1440" w:gutter="0" w:footer="0" w:header="0"/>
        </w:sectPr>
      </w:pPr>
    </w:p>
    <w:bookmarkStart w:id="28" w:name="page29"/>
    <w:bookmarkEnd w:id="28"/>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2024 vs. 2023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gridSpan w:val="2"/>
          </w:tcPr>
          <w:p>
            <w:pPr>
              <w:spacing w:after="0"/>
              <w:rPr>
                <w:sz w:val="19"/>
                <w:szCs w:val="19"/>
                <w:color w:val="auto"/>
              </w:rPr>
            </w:pPr>
          </w:p>
        </w:tc>
      </w:tr>
      <w:tr>
        <w:trPr>
          <w:trHeight w:val="22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(13,033 )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(39,985 )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26,952</w:t>
            </w: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(67 )%</w:t>
            </w:r>
          </w:p>
        </w:tc>
      </w:tr>
      <w:tr>
        <w:trPr>
          <w:trHeight w:val="229"/>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(14,660 )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46"/>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(70 )</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(7 )</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2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(9,593 )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2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Cash flows used in operating activities during the six months ended June 30, 2024 decreased by $27.0 million to $13.0 million from $40.0 million during the same period in 2023. The decrease to net cash used in operating activities was primarily attributable to a $37.6 million decrease to net loss, which was driven by the 2023 RIFs, partially offset by a net decrease of $8.9 million in non-cash expenses driven mainly by decreased asset write-downs, stock-based compensation and amortization of intangible assets. Additionally, net cash used in operating activities related to changes in operating assets and liabilities increased by $1.7 million, driven mainly by decreases in current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net cash provided by investing activities during the six months ended June 30, 2024 decreased by $14.7 million. The decrease in cash provided by investing activities is predominantly due to the $31.1 million of maturities of marketable securities, net of purchases during the six months ended June 30, 2023, as compared to the $16.0 million of maturities of marketable securities and no purchases of marketable securities, during the six months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used in financing activities during the six months ended June 30, 2024, was flat as compared to the six months ended June 30,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jc w:val="both"/>
        <w:ind w:right="100" w:firstLine="8"/>
        <w:spacing w:after="0" w:line="250" w:lineRule="auto"/>
        <w:tabs>
          <w:tab w:leader="none" w:pos="3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chosen not to take advantage of the extended transition period exemptions because of the potential differences in accounting standards used.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executive officer and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June 30, 2024, pursuant to Rule 13a-15(b) under the Exchange Act. Based upon that evaluation, our Certifying Officers concluded that our disclosure controls and procedures were effective as of June 30,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June 30, 2024 covered by this Report that has materially affected, or is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are likely to incur losses, which could be significant, for the foreseeable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incurred a net loss of $12.6 million for the six months ended June 30, 2024, and a net loss of $115.6 million for the year ended December 31, 2023. As of June 30, 2024, we had an accumulated deficit of $430.8 million. We believe that we are likely to continue to incur operating and net losses, which could be significant, for the foreseeable future. Our shift in product development and commercialization strategy to focus on our AI/ML Software Platform has affected the timing of expected revenue and has made forecasting our quarterly and annual results more challenging. Even if we are able to successfully develop our AI/ML Software Platform and attract customers for commercial sales, we may not become profitable. Our potential profitability is dependent upon the successful development, commercial introduction and adoption on a large scale of our AI/ML Software Platform and our ability to lower costs, none of which may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333"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and begin to commercialize our AI/ML Software Platform and related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and develop potential new relationships with third-party partners for software design and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expand our AI/ML Software Platform's technology infrastructure and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will incur costs and expenses from these efforts before we receive incremental revenue with respect thereto and because we are still developing our AI/ML Software Platform and related products, we expect to incur losses in future periods, which could be significant, until we start to achieve significant software licensing revenue.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that,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Our future capital needs may require us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and our failure to properly estimate the time and expense required to commercialize our prior hardware-centric industrial robotics solutions, we made the decision in late 2023 to focus on our AI/ML Software Platform product and to suspend the development and commercialization of our hardware products. These and future decisions about how to use our limited resources may prove to be wrong and may adversely affect our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limited financial and human resources and, as a result, we have in the past and may in the future forgo or delay pursuit of opportunities with product candidates that might have had greater commercial potential or a greater likelihood of success. For example, on November 14, 2023, we announced a pivot in strategy to suspend our efforts to bring our hardware products to market and instead focus our resources and efforts on the development of our commercial AI/ML Software Platform and a related significant reduction in force. After continued analysis of our business and careful consideration of our hardware product’s development costs and market opportunity, and of our available resources, we concluded that focusing on our AI/ML Software Platform met our goal of pursuing significant near-term revenue tied to acute customer needs and would reduce our capital requirements and related risks in line with available resources. However, this strategy may not prove to be effective. Moreover, we may be unable to monetize assets relating to discontinued products or further reduce expenses.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of our AI/ML Software Platform is a complex and evolving process that involves the development of new and emerging technologies, continued investment, including in privacy, safety and security efforts, and potential collaborations with other companies, developers, partners and other participants. Our AI/ML Software Platform may not develop in accordance with our expectations and its market acceptance is uncertain. We regularly evaluate our product roadmaps and make significant changes as our understanding of the technological challenges and market landscape and our product ideas and designs evolve. In addition, we have no experience with commercializing a software platform, which may enable other companies to compete more effectively than us, and we may not be successful. We also may be unsuccessful in our research and product development efforts.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develop and commercialize our AI/ML Software Platform, we may become subject to a variety of existing or new laws and regulations in the United States and international jurisdictions, including in the areas of privacy, security, safety, competition and consumer protection, which may delay or impede the development of our AI/ML Software Platform, increase our operating costs, require significant management time and attention or otherwise harm our business. As a result of these or other factors, our product strategy may not be successful in the foreseeable future, or at all, which would adversely affect our business, reputation, or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of commercial launch of our AI/ML Software Platform, the level of demand for our software platform, the size of our target markets, the performance of our software platform, the utilization of the platform,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negative cash flow from operating activities of $76.6 million and $65.4 million for the years ended December 31, 2023 and 2022, respectively, and negative cash flow from operating activities of $13.0 million for the six months ended June 30, 2024. We expect to continue to have negative cash flow from operating and investing activities for the foreseeable future as we expect to incur research and development, sales and marketing, and general and administrative expenses and make capital expenditures in our efforts to commercialize our AI/ML Software Platform, increase sales and engage in continuous development work. We may not achieve positive cash flow in the near future or at all. Our business also will at times require significant amounts of working capital to support the growth of additional products. An inability to generate positive cash flow for the near term may adversely affect our ability to raise capital for our business on reasonable terms, adversely affect our ability to pursue our business objectives, diminish customer willingness to enter into transactions with us and have other adverse effects, all of which would affect our ability to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We have no previous history or experience commercializing AI/ML software products or platforms and may not be able to do so efficiently or effectively or at all. Further, we have historically been unsuccessful in our efforts to commercialize our hardware products. Moreover, commercialization may be delayed due to the challenges discussed under “</w:t>
      </w:r>
      <w:r>
        <w:rPr>
          <w:rFonts w:ascii="Times New Roman" w:cs="Times New Roman" w:eastAsia="Times New Roman" w:hAnsi="Times New Roman"/>
          <w:sz w:val="18"/>
          <w:szCs w:val="18"/>
          <w:i w:val="1"/>
          <w:iCs w:val="1"/>
          <w:color w:val="auto"/>
        </w:rPr>
        <w:t>Commercialization of our AI/ML Software Platform may be delayed beyond our current expectations and therefore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initial availability to customers and receipt of anticipated revenue could be delayed.</w:t>
      </w:r>
      <w:r>
        <w:rPr>
          <w:rFonts w:ascii="Times New Roman" w:cs="Times New Roman" w:eastAsia="Times New Roman" w:hAnsi="Times New Roman"/>
          <w:sz w:val="18"/>
          <w:szCs w:val="18"/>
          <w:color w:val="auto"/>
        </w:rPr>
        <w:t>” A key element of our long-term business strategy involves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AI/ML Software Platform.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Commercialization of our AI/ML Software Platform may be delayed beyond our current expectations and therefore initial availability to customers and receipt of anticipated revenue could be delayed.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focusing our efforts on the development and commercialization of our AI/ML Software Platform. If product testing, production or customer use demonstrate that our AI/ML Software Platform does not deliver the performance, reliability, functionality and/or safety that we or our potential customers expect, commercial release and availability to customers may be delayed as we work to address the deficiencies. As a result of such delays, we may receive revenue later than expected or not at all if our potential customers decide to seek alternative solutions to our product, adversely affecting our results of operations and financial condition.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our current estimates for completion of our AI/ML Software Platform development efforts and the commencement of sales to potential customers are dependent in part on our ability to hire and retain qualified employees. We have seen a significant increase in personnel costs in recent years due to shortages of qualified personnel in the labor market and general inflationary pressures. If we are unable to recruit and retain employees as needed to complete the development of and commercialize our AI/ML Software Platform, we may be unable to do so in a timely basis or at all.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geopolitical events and macro-economic conditions, such as the continuing effects of the COVID-19 pandemic, the current conflicts between Russia and Ukraine and between Israel and Hamas , inflation and high interest rates, and responses thereto have contributed to price increases. If we are unable to develop and commercialize our AI/ML Software Platform in a cost efficient manner, our financial results, financial condition and prospects would be materially and adversely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recent years we have experienced, and we continue to experience, these challenges, which have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anticipated revenues are expected to be primarily derived from the development and licensing of our AI/ML Software Platform for the foreseeable future.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successful in commercializing our AI/ML Software Platform, our revenue will be concentrated in related products for the foreseeable future. We will need to continue to develop our platform and establish and grow our customer base to diversify our revenue and customers. To the extent our AI/ML Software Platform does not meet customer expectations, or cannot be completed or released on its projected timelines and in line with cost targets, our future revenue, operating results and financial condition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AI/ML Software Platform and related products are still under development and any issues in the development and use of our platform or products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our AI/ML Software Platform and related products, and any issues in the development of our platform or products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use of 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our AI/ML Software Platform still under development, customer trials and discussions may not result in purchases.</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Our AI/ML Software Platform is still under development. At present, we have revenue generating contracts with U.S. government customers related to various aspects of our AI/ML Software Platform, but no commercial customers. Our AI/ML Software Platform contains advanced software and control technologies that we have developed over many years. The design of our software products are significantly influenced by feedback from potential customers and reflects the needs they express. Even if we are able to successfully incorporate that feedback into our software platform, customers who initially expressed an interest in our software products during the design phase may not ever purchase the software. If we cannot commercialize our AI/ML Software Platform on our expected schedule, if the AI/ML Software Platform does not offer our potential customers the features, functionality and return on investment that they expect, and/or if potential customers are not willing to pay for our software products at the rates that we currently expect, our ability to generate material revenues will be materially impaired.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began initial customer testing in June 2024, we have limited knowledge of the customer testing that will be required for customers to ultimately adopt our software platform. As a result, customer testing may take longer than we anticipate, and we may not be able to provide such testing to the satisfaction of prospective customers, which could result in longer sales cycles and fewer purchases than anticipated. We may not be able to adapt our platform to reflect customer feedback successfully or at all. If customers who initially express an interest in our software platform and influenced its design ultimately do not license our AI/ML Software platform, or if they adopt a competitors’ technology, our business, prospects, financial condition and operating results would be adversely affected.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AI/ML Software Platform, long-term financial viability and business prospects. Maintaining such confidence may be particularly complicated by certain factors including those that are largely outside of our control, such as our limited commercial software experience, customer unfamiliarity with our software, any delays in development to meet demand, product performance, competition and uncertainty regarding the future of AI and robotics. If we do not generate sufficient license revenue for our software platform, our business, prospects, financial condition and operating results would be materially and adversely affected. Further, if investors, analysts, rating agencies and other third parties are not confident in our AI/ML Software Platform, our ability to commercialize the platform, our financial viability, or our business prospects, we may not be able to raise any needed funding which would materially and adversely affect our financial condition and prospects and ability to continue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robotics industry do not continue to develop as we anticipate or if potential customers do not adopt our AI/ML Software Platform, our sales will not grow as quickly as expected, or at all, and our business, operating results and financial condition would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AI/ML Software Platform and applications similar to the ones we are developing is relatively new and evolving. We are developing our AI/ML Software Platform to respond to an increasingly global and complex business environment with rigorous regulatory standards. If organizations do not allocate their budgets as we expect or if we do not succeed in convincing potential customers to license our AI/ML Software Platform, our sales might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AI/ML Software Platform as too costly or discretionary. Moreover, market acceptance of our AI/ML Software Platform is critical to our continued success. Even if the market grows as expected, if potential customers do not adopt our AI/ML Software Platform, our business, operating results, financial condition and growth prospects will be materially and adversely affected. If we are not able to generate material revenues from our AI/ML Software Platform before we exhaust our financial resources, we may need to cease business operations. See “</w:t>
      </w:r>
      <w:r>
        <w:rPr>
          <w:rFonts w:ascii="Times New Roman" w:cs="Times New Roman" w:eastAsia="Times New Roman" w:hAnsi="Times New Roman"/>
          <w:sz w:val="18"/>
          <w:szCs w:val="18"/>
          <w:i w:val="1"/>
          <w:iCs w:val="1"/>
          <w:color w:val="auto"/>
        </w:rPr>
        <w:t>Our business plans require a significant amount of capital. Our future capital needs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AI/ML Software Platform, our business would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meet changing expectations and requirements of our customers. Any failure of our platform to operate effectively with future software, such as third-party robotic operating systems and technologies or to evolve and scale to address the changing needs of our customers could reduce the demand for our platform or result in customer dissatisfaction. Further, uncertainties about the timing and nature of new software or technologies, or modifications to our platform or existing software or technologies, could increase our research and development expenses. If we are not successful in developing modifications and enhancements to our platform or if we fail to introduce new applications to market in a timely fashion, our AI/ML Software Platform might become less marketable, less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competitive or obsolete, our revenue growth might be significantly impaired and our business, operating results and financial condition could be harmed.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platform.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AI/ML Software Platform to be used with robots operating in a wide variety of environments and for a broad range of complex uses. Our success depends on our ability, and the ability of our customers, to implement our AI/ML Software Platform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AI/ML Software Platform. If we or our customers are unable to implement our AI/ML Software Platform successfully, or are unable to do so in a timely manner, inadequate performance might result and customer perceptions of our platform and company might be impaired, our reputation and brand might suffer, we may face legal claims, customers might choose not to renew or expand the use of our platform and we might lose opportunities for additional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software platform and the benefits of our product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software products may be inaccurate.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decision to pivot our business strategy to focus on the development of our commercial AI/ML Software Platform was based in part on our estimates of the potential addressable market, pricing, adoption rates and sales cycles for our platform. However, the market demand for our software platform is unproven, and important assumptions about the characteristics of targeted markets, pricing and sales cycles may be inaccurate.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software platform or the future growth of the markets we target. If one or more of the targeted markets experience a shift in customer demand, whether due to new solutions that better address customer needs or otherwise, our software platform may not compete as effectively, if at all, and it may not be fully developed into a commercial software product. If customer demand does not develop as expected, or if we do not accurately forecast pricing, adoption rates and sales cycles for our software platform, our business, results of operations and financial condition will be adversely affected, perhaps materially.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AI/ML Software Platform to customers and projected return on investment have not been substantiated through customer use.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AI/ML Software Platform and related products are under development and have not been commercially used by customers. Our software platform may not perform consistent with customers’ expectations or consistent with other products which may be or may become available. Any failure of our software platform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with substantial negotiating power relative to us and, in some instances, may have internal solutions that are competitive to our platform.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key potential customers. If our software platform is not selected by these large businesses or if these businesses develop or acquire competitive technology, it may have a material adverse effect on our business, prospects, financial condition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 us subject to a number of uncertainties, challenges and risks.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Contracts with government entities are subject to a number of risks. Such relationships can be highly competitive, expensive and time-consuming, often requiring significant upfront time and expense without any assurance that these efforts will generate revenue.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 contractual provisions as a government contractor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AI/ML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platform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Software Platform will compete (both directly and indirectly) with companies such as Covariant, Dexterity, Formic, GrayMatter Robotics, Intrinsic, Liquid AI, Mujin and Rapid Robotics. We believe that our competitors are seeking to solve the same or similar industry challenges as we are, but that most are focused on a particular aspect of the functionality of our AI Software Platform rather than a fully competitive solution.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view industrial robotics and cobot manufacturers such as ABB, Fanuc, Kuka, Universal Robots and Yasakawa, large system integrators such as Honeywell, Reply, and Rockwell Automation, and technology companies such as NVIDIA as potential target customers and/or channel and ecosystem partners for our software platform, we also recognize that these companies may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one of our direct or indirect competitors.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software platform in the future. Competitors may develop products that utilize advanced technology similar to ours (such as computer vision, AI and ML) in a more effective way, or new technologies or products that provide superior results to customers or are less expensive than our software platform. Our technologies and software platform could be rendered obsolete by such developments.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products, particularly if they compete with or have the potential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to compete with, or diminish the need/utilization of software products or technologies provided by any of our competitors with whom they may have an existing relationship. If we are not able to compete effectively, our business, prospects, financial condition and operating results will be adversely affected.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or enhance our product offerings through our research and development efforts.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produce a commercial version of our AI/ML Software Platform, we need to complete our development efforts. Even after introduction of a commercial version of our platform, we will also likely need to continue to advance and evolve the product in response to the evolving demands of our customers in the various industries we expect to serve. Our AI/ML Software Platform is in the early stages of development and commercialization. We will incur significant additional product development efforts and expenses, and we may not be successful in commercializing or marketing our software platform at all or within our currently expected timelines or available resources.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developed an MVP version of our Palladyne IQ product and expect to have an MVP version of our Palladyne Pilot product in the second half of 2024.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software platform. If we fail to generate demand by developing a software platform that incorporates features desired by customers, we may fail to generate revenue sufficient to achieve or maintain profitability. We have in the past experienced and may in the future experience delays in various phases of product development, including during research and development, limited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software platform, or to purchase competitors’ products. Even if we are able to successfully develop our software platform when anticipated, we may not produce sales in excess of the costs of development, and our software platform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software platform, which would adversely affect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&amp;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Real or perceived design flaws, errors, defects, glitches, bugs or malfunctions in our AI/ML Software Platform, failure of our AI/ML Software Platform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design, development and marketing of our AI/ML Software Platform involve certain inherent risks. Real or perceived Defects, connectivity issues, unanticipated or unintended use of our software platform, user errors or inadequate disclosure of risks relating to the use of our software platform, among others, can lead to injury, property damage or other adverse events. We plan to conduct extensive testing of our software platform, in some instances in collaboration with our customers, to ensure that any such issues can be identified and addressed in advance of commercial launch.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systems and solutions to prevent such incidents from reoccurring. However, any implemented improvements may not fully prevent similar or other incidents in the future. Moreover, because of the size and weight of the third-party systems that may in the future use our AI/ML Software Platform, and the nature and variability of the environments in which we expect this software to be used, adverse events relating to the use of our software platform could include significant injuries or even death. To the extent that Defects or connectivity issues are discovered during or after the development of the platform, we may experience delays in the development and/or sale of the platform while the issues are resolved. If the issues cannot be adequately resolved, production of the platform may not occur and/or resume.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aware of design Defects until injury to person or property has occurred. Such adverse events could lead to safety alerts relating to our software platform (either voluntary or required by governmental authorities), and could result, in certain cases, in the removal of our software platform from the market. Defects could also result in negative publicity, damage to our reputation or, in the event of regulatory developments, delays in new product approvals.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software may experience errors or performance problems in the future. A failure of any part of our AI/ML Software Platform could result in property damage, serious injury or even death. We plan to implement bug fixes and upgrades as part of our regular system maintenance, which may lead to system downtime. Even if we are able to implement the bug fixes and upgrades in a timely manner, customers and operators also may fail to install updates and fixes to the software for several reasons, including poor connectivity or inattention. Any such occurrence could cause delay in market acceptance of our software platform, damage to our reputation, increased service and warranty costs, product liability claims and loss of revenue.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defects in the design of our software platform. A product liability claim, regardless of its merit or eventual outcome, could result in significant legal defense costs and high punitive damage payments, damage our reputation or require significant costs to redesign or fix our software platform. Although we maintain product liability insurance, the coverage is subject to deductibles and limitations, and may not be adequate to cover future claims.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AI/ML Software Platform performs properly and is used as intended, if personal injuries occur while operating third-party products that use our AI/ML software, we could be exposed to liability and our results of operations, financial condition and reputation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systems that may in the future use our AI/ML Software Platform contain complex technology and must be used as designed and intended in order to operate safely and effectively. Even if our software platform is used as designed and intended, customers may not operate complex third-party systems that use our platform safely and effectively. In addition, we cannot predict all the ways in which the use or misuse of our platform can lead to injury or damage to property, and our training resources and safety systems may not be successful at preventing all incidents. If personal injury or damage to property were to occur while operating our platform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AI/ML Software Platform and subject us to possible litigation.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Software Platform incorporates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platform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platform,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platform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platform.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platform to unintended conditions, few courts have interpreted open source licenses, and there is a risk that these licenses could be construed in a way that could impose unanticipated conditions or restrictions on our ability to commercialize our AI/ML Software Platform. We cannot guarantee that we will incorporate open source software in our platform in a manner that will not subject us to liability, or in a manner that is consistent with our current policies and procedures.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Software Platform.</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damaged our prior brand. As a result and to reflect our AI/ML Software Platform, in March 2024 we changed our name to Palladyne AI Corp. and have branded our AI/ML software products accordingly. Promoting and positioning our brand will likely depend significantly on our ability to provide high quality software and engage with our customers as intended. To promote our brand, we may be required to change or expand our customer development and branding practices, including increased marketing activities, which could result in substantially increased expenses. If we do not develop and maintain a strong brand, our business, prospects, financial condition and operating results will be materially and adversely impacted.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in November 2023, we pivoted our business to focus on the development of our commercial AI/ML Software Platform in lieu of hardware products. We concluded this strategy met our goal of pursuing significant near-term revenue tied to acute customer needs and would reduce our capital requirements and related risks in line with available resources. However, this strategy may not prove to be effective.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design, develop, market and commercialize our software products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27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Software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and implementing enterprise resource planning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development and commercialization of our AI/ML Software Platform;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carrying out acquisitions and entering into collaborations, in-licensing arrangements, joint ventures, strategic alliances or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platform;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two RIFs during 2023, the July 2023 RIF, affecting approximately 24% of our workforce at the time, and the November 2023 RIF, affecting approximately 70% of our workforce at the time, as we evaluated our business, organization, prospects and resources and ultimately decided to focus on our AI/ML Software Platform. However, these RIFs, in particular the November 2023 RIF, has placed and will continue to place additional strain on our existing resources, and we could experience systemic operating difficulties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managing our business and implementing controls and other business processes, resource constraints in our product development and commercialization efforts, or other limitations or difficulties that are difficult to predict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our commercial AI/ML Software Platform,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platform and general and administrative expenses. Although the RIFs and other cost-saving measures have significantly reduced expenses, the amount of savings may not be as much as we expect or take longer to achieve than expected. Some of the factors that may lead to cost increases or reduced cost decreases are outside of our control, such as national or global geopolitical and economic conditions, including inflation and interest rates. In addition, we may incur significant costs upgrading or fixing Defects in our software platform. Our ability to continue our operations in the long term and potentially become profitable in the future will not only depend on our ability to complete the design and development of our software platform to meet customer needs and identify and investigate new areas of demand and successfully market our software products, but also on our ability to sell our AI/ML Software Platform at a price needed to achieve sufficient revenues and margins to cover our cash outlay, including the risks and costs associated with any warranty obligations. If we are unable to efficiently design, develop, market, deploy, distribute and service our software platform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Software Platform, and we may never reach profitability and/or achieve significant or any revenues.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Software Platform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Software Platform. Our research and development program may not produce successful results or, be sufficient to adapt to new or changing technologies (such as AI), and our products may not achieve market acceptance, create additional revenue or become profitable.</w:t>
      </w:r>
    </w:p>
    <w:p>
      <w:pPr>
        <w:spacing w:after="0" w:line="17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AI/ML Software Platform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will be offered with our AI/ML Software Platform. We expect most of our suppliers to be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solutions. If we are unable to obtain components and materials used in our products from our suppliers, our business would be adversely affected.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and other calamities and force majeure events.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products will negatively impact our ability to generate revenue, our profitability and our overall operating performance and result in the need to raise additional capital sooner than expected.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products, coupled with our belief that our AI/ML Software Platform represents a significant technology advancement, means we have limited to no historical data on the demand for our software platform. In addition, we expect our expenses to continue to be significant in the foreseeable future as we complete the development and launch of our commercial software platform, and that our level of cash usage will be significantly affected by customer demand for our platform.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global capital markets have undergone periods of significant volatility and uncertainty in the past, and there can be no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assurance that such financing alternatives will be available to us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initiatives to improve our cost structure, including significant workforce reductions, may not result in the anticipated savings, could result in total costs and expenses that are greater than expected and could disrupt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conducted two RIFs in the past year, one in July 2023, affecting approximately 24% of our workforce at the time, and another in November 2023, affecting approximately 70% of our workforce at the time. These efforts are expected to result in significant annualized cost savings. However, we may incur additional expenses not currently contemplated due to events associated with the RIFs or otherwise. The annualized cost savings are estimates and subject to a number of assumptions, and actual results may differ materially. We may not realize, in full or in part, the anticipated benefits and savings from the RIFs due to unforeseen difficulties, delays or unexpected costs. If we are unable to realize the expected operational efficiencies and cost savings from the RIFs, our operating results and financial condition would be adversely affected. In addition, we may need to undertake additional workforce reductions or restructuring activities in the future. Furthermore, our initiatives to improve our cost structure, including the RIFs, may be disruptive to our operations. For example, our workforce reductions have resulted in and may continue to result in some attrition beyond planned staff reductions, and may lead to the loss of institutional knowledge and expertise, increased difficulties in our day-to-day operations, pressure on our controls and processes and reduced employee morale. We may need to seek contractor support due to unwanted attrition at unplanned additional expense or harm our productivity. In addition, we may be unsuccessful in distributing the duties and obligations of departed employees that are necessary to our operations among our remaining employees or to contractors, which could result in disruptions to our operations. Our workforce reductions could also harm our ability to attract and retain qualified personnel who are critical to our business, and make it difficult for us to pursue new opportunities and initiatives and require us to hire qualified replacement personnel. Any failure to attract or retain qualified personnel could prevent us from successfully developing or selling our software platform, which would adversely affect our business, financial condition, and results of operations.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(including from development contracts),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release software products. Additionally, as we commercialize our AI/ML Software Platform and/or achieve revenue from government or development contracts, we expect our revenue from period to period to fluctuate, including as we introduce new products, features or functionality or introduce our AI/ML Software Platform to new markets for the first time, and as product development contract revenue fluctuates.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AI/ML Software Platform, operate our business and compete could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Software Platform leadership team, in particular our Chief Technology Officer, Dr. Denis Garagic. Dr. Garagic has a significant influence on our AI/ML Software Platform development efforts and our business plan. If he were to discontinue service due to death, disability or any other reason, we may be significantly disadvantaged and his departure or the departure of other key contributors to our software and technology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efforts could result in delays in product development, or potentially an inability to successfully complete development of our AI/ML Software Platform at all, which would materially and adversely harm our business, results of operations and financial condition. Further, we may have difficulty finding, or be unable to find, qualified successors to any such persons should they depart the Company. If we are unable to successfully complete development of our AI/ML Software Platform in a timely manner, whether due to the departure of any such persons or otherwise, we may not have sufficient time or resources to pursue alternative plans or opportunities and may need to cease operations. We do not maintain key-person insurance for any of our senior management.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For example, Benjamin G. Wolff rejoined the Company’s executive team as President and Chief Executive Officer effective February 23, 2024. In connection with this change in management, there have been changes to the Company’s operations and there may be additional changes in the future. If we do not successfully implement and adapt to these changes they may not lead to the desired improvement in our business and results of operation. This in turn, could have a material adverse effect on our business. Our future performance will depend, in part, on the successful transition of our workforce to our new operating and organizational structure following our recent RIFs. Any inability to successfully manage these transitions could be viewed negatively by our customers, employees, investors and other third-party partners, and could have an adverse impact on our business and results of operations.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the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Further, in connection with our recent RIFs, we have reorganized our operations, which has resulted in some employees having different reporting relationships, team members or responsibilities, which could result in delays or other operational difficulties as employees become accustomed to the new organizational structure. Our recent RIFs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In addition, as part of the pivot in strategy announced on November 14, 2023 to focus on our AI/ML Software Platform, we closed our facility in Pittsburgh, Pennsylvania and may no longer be able to attract highly skilled employees in that location.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("Nasdaq").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as of December 31, 2021 and June 30, 2022, respectively.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ownership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States may not conform to the Tax Act or the CARES Act in their entirety, if at all.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or transactions and may not identify or form desired strategic relationships in the future.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ethical concerns or other complications that could adversely affect our business, reputation or financial results or limit the functionality of our software platform or our ability to sell our software platform. Governmental bodies have implemented laws and are considering further regulation of AI/ML technologies that could negatively impact our ability to use and develop platforms and products incorporating these technologies. For example, on October 30, 2023 the Biden administration issued an Executive Order to, among other things, establish extensive new standards for AI safety and security. Additionally, the European Union has proposed certain legislation, such as the EU AI Act, which was adopted by the European Parliament on March 13, 2024. The EU AI Act imposes significant obligations related to the use of AI/ML related systems and is anticipated to be augmented by secondary legislation in the EU. Other jurisdictions may decide to adopt similar or more restrictive legislation that may render the use of such technologies challenging. If such legislation, or similar regulations in other jurisdictions, is enacted, compliance with such obligations may be difficult, onerous, and costly, and could adversely affect our business, reputation,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financial condition, results of operations, and growth prospects. Further, the intellectual property ownership and license rights, including copyright, surrounding AI/ML technologies has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The Tax Act has eliminated the option to deduct research and development expenditures currently and instead requires taxpayers to capitalize and amortize them over five or fifteen years beginning in 2022. The Inflation Reduction Act of 2022 has imposed a 1% excise tax on certain repurchases of stock.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development, marketing, licensing, distribution or use of our AI/ML Software Platform or to the providing of customer service, and a failure to comply with such regulations could lead to delays in launching our platform and/or withdrawal of our platform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 if we are unable to modify our software platform to comply.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subject to new or changing international, national, state and local regulations, including laws relating to the development, marketing, licensing, distribution or use of AI/ML software products, or to the providing of customer service, such as our AI/ML Software Platform. Such laws and regulations may also cover employment, taxation, privacy, data security, data protection, pricing, content, copyrights and other intellectual property, mobile communications, electronic contracts and other communications, consumer protection, unencumbered internet access to our services, the design and operation of websites, and the characteristics and quality of software and services, and may require us to pause sales and modify our software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 by, the California Privacy Rights Act (“CPRA”), which went into effect on January 1, 2023. Numerous other states have proposed, and in many cases have enacted, laws addressing data privacy and security, which in many cases are similar to the CCPA and CPRA.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(a) operational systems, including business, financial, accounting, product development, data processing or production processes, owned by us or our third-party vendors or suppliers; (b) facility security systems, owned by us or our third-party vendors or suppliers; (c) in-product technology, owned by us or our third-party vendors; (d) our software, including third-party software we license; and (e)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business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infrastructure used in our business may be vulnerable to cyber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ultimately held responsible. Our exposure for violating these laws increases as our international presence expands and as we increase sales and operations in foreign jurisdictions.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AI/ML Software Platform and technology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our software, or changes in applicable export control, import or economic sanctions laws and regulations may create delays in the introduction and sale of our software platform,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platform systems, as well as our decreased ability to export or market our software to potential customers. Any decreased use of our software platform or limitation on our ability to export or market our software would likely adversely affect our business, prospects, financial condition and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software and other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product candidates/products in development.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positions covering robotics software and solutions can be highly uncertain and involve many new and evolving complex legal, factual and technical issues. Patent laws and interpretations of those laws are subject to change and any such changes may diminish the</w:t>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value of our patents or narrow the scope of our right to exclude others. In addition, we may fail to apply for or be unable to obtain patents necessary to protect our technology or software platform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Common Stock and Warrants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33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AI/ML Software Platform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Common Stock and Public Warrants available for public sale, including as a result of the exercise of any of our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right="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Common Stock and Warrants are subject to potential delisting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Nasdaq Global Market in the event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and Warrants are subject to potential delisting from The Nasdaq Global Market in the event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including a minimum market value of $15 million, a minimum bid price of $1.00 per share for our Common Stock and timely filing requirements of all required periodic reports with the SEC.</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23, 2023, we received written notice from the Listing Qualifications Department of Nasdaq notifying us that, based on the closing bid price of our Common Stock for the previous 30 consecutive business days, we did not comply with the minimum bid price requirement for continued listing on The Nasdaq Global Market, and that we had until July 22, 2023 to regain such compliance. To do so, our Board of Directors and stockholders approved a 1-for-6 reverse stock split after which we regained compliance with Nasdaq’s continued listing requirements.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24, 2023, we again received written notice from the Listing Qualifications Department of Nasdaq notifying us that, based on the closing bid price of our Common Stock for the previous 30 consecutive business days, we no longer complied with the minimum bid price requirement for continued listing on The Nasdaq Global Market. We regained compliance on March 8, 2024 when the closing bid price of our Common Stock had been at least $1.00 per share for a minimum of 10 consecutive business days.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were able to regain compliance with the minimum bid price requirement within Nasdaq's automatic compliance period each time we received notice of non-compliance, if our stock price declines we could again fail to comply with this requirement and may not be able to regain compliance. In the event we again become out of compliance with the minimum bid price requirement or if we were to become out of compliance with the other listing requirements and we were not able to regain compliance with requirements for continued listing on Nasdaq, we may transfer to and commence trading on the OTC Markets. Shares traded on the OTC Markets generally have lower trading volumes, fewer market makers, higher trading volatility and wider spreads between bid and ask quotations than shares traded on major national exchanges such as Nasdaq. The OTC Markets are also less regulated than a major exchange like Nasdaq, and typically require less stringent corporate governance requirements. If our Common Stock or Warrants become delisted from Nasdaq for any reason and are quoted on the OTC Markets such as OTCQX, OTCQB or OTC Pink, an inter-dealer automated quotation system for equity securities that is not a national securities exchange, stockholders would likely find it more difficult to trade or obtain accurate price quotations for our shares. Delisting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Warrants will be influenced by the research and reports that industry or securities analysts may publish about us, our business, our market or our competitors. Analysts who previously covered us in the past have since ceased publishing research or reports about us. If any analysts who cover us in the future change their recommendation regarding our stock adversely, or provide more favorable relative recommendations about our competitors, the price of our Common Stock and Public Warrants would likely decline. If any analyst covering our company in the future were to cease coverage of us or fail to regularly publish reports on us, we could lose visibility in the financial markets, which could cause the prices and trading volumes of the Common Stock and Public Warrants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or Private Placement Warrants will ever be in the money, and they may expire worthless.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warrant. Upon exercise, the exercise price of the Warrants and the number of shares of Common Stock issuable shall be adjusted 1-for-6, the same ratio as the reverse stock split that was effective as of July 5, 2023. There is no guarantee that the Warrants will ever be in the money prior to their expiration, and as such, the Warrants may expire worthless.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 w:cs="Times New Roman" w:eastAsia="Times New Roman" w:hAnsi="Times New Roman"/>
          <w:sz w:val="17"/>
          <w:szCs w:val="17"/>
          <w:i w:val="1"/>
          <w:iCs w:val="1"/>
          <w:color w:val="auto"/>
        </w:rPr>
        <w:t>Description of Securities—Warrants—Public Stockholders’ Warrants</w:t>
      </w:r>
      <w:r>
        <w:rPr>
          <w:rFonts w:ascii="Times New Roman" w:cs="Times New Roman" w:eastAsia="Times New Roman" w:hAnsi="Times New Roman"/>
          <w:sz w:val="17"/>
          <w:szCs w:val="17"/>
          <w:color w:val="auto"/>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there were 20,549,453 Warrants outstanding. Each whole Warrant entitles the holder to purchase one sixth of a share of the Company’s Common Stock at a price of $11.50 per warrant, which is equivalent to approximately 3,424,909 shares of Common Stock.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288"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Warrants that is held by non-affiliates exceeds $700 million as of the last business day of our prior second fiscal quarter, and (ii) the date on which we have issued more than $1.0 billion in non-convertible debt during the prior three-year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340" w:type="dxa"/>
            <w:vAlign w:val="bottom"/>
            <w:gridSpan w:val="19"/>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734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2"/>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2"/>
          </w:tcPr>
          <w:p>
            <w:pPr>
              <w:spacing w:after="0"/>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the Company’s Current Report on Form 8-K filed with the SEC on June 20,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420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2"/>
          </w:tcPr>
          <w:p>
            <w:pPr>
              <w:spacing w:after="0"/>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the Company’s Current Report on Form 8-K filed with the SEC on March 18,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406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3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2"/>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Amendment to Option Agreements, dated April 16, 2024, by and between the Company and Denis Garagic (incorporated by reference to</w:t>
              </w:r>
            </w:hyperlink>
          </w:p>
        </w:tc>
        <w:tc>
          <w:tcPr>
            <w:tcW w:w="3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Exhibit 10.13 to the Company's Quarterly Report on form 10-Q for the quarter ended March 31, 2024).</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Amendment to Option Agreements, dated April 16, 2024, by and between the Company and Stephen Sonne (incorporated by reference to</w:t>
              </w:r>
            </w:hyperlink>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Exhibit 10.14 to the Company's Quarterly Report on form 10-Q for the quarter ended March 31, 2024).</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Amendment to Option Agreements, dated April 16, 2024, by and between the Company and Trevor Thatcher (incorporated by reference to</w:t>
              </w:r>
            </w:hyperlink>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Exhibit 10.15 to the Company's Quarterly Report on form 10-Q for the quarter ended March 31, 2024).</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Amendment to Option Agreements, dated April 16, 2024, by and between the Company and Matthew Vogt (incorporated by reference to</w:t>
              </w:r>
            </w:hyperlink>
          </w:p>
        </w:tc>
        <w:tc>
          <w:tcPr>
            <w:tcW w:w="2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Exhibit 10.16 to the Company's Quarterly Report on form 10-Q for the quarter ended March 31, 2024).</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040" w:hanging="1019"/>
        <w:spacing w:after="0"/>
        <w:tabs>
          <w:tab w:leader="none" w:pos="10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9512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7"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20" w:hanging="512"/>
        <w:spacing w:after="0" w:line="261"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Benjamin G. Wolff</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-125095</wp:posOffset>
            </wp:positionV>
            <wp:extent cx="33089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Trevor Thatcher</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-125095</wp:posOffset>
            </wp:positionV>
            <wp:extent cx="33089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4599"/>
          </w:cols>
          <w:pgMar w:left="320" w:top="981" w:right="1440"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June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June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5"/>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2"/>
      <w:numFmt w:val="decimal"/>
      <w:start w:val="104"/>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78" Type="http://schemas.openxmlformats.org/officeDocument/2006/relationships/hyperlink" Target="https://www.sec.gov/Archives/edgar/data/1826681/000156459021049662/strc-ex31_83.htm" TargetMode="External"/><Relationship Id="rId279" Type="http://schemas.openxmlformats.org/officeDocument/2006/relationships/hyperlink" Target="https://www.sec.gov/Archives/edgar/data/1826681/000095017023028943/strc-ex3_1.htm" TargetMode="External"/><Relationship Id="rId280" Type="http://schemas.openxmlformats.org/officeDocument/2006/relationships/hyperlink" Target="https://www.sec.gov/Archives/edgar/data/1826681/000095017024032876/strc-ex3_1.htm" TargetMode="External"/><Relationship Id="rId281" Type="http://schemas.openxmlformats.org/officeDocument/2006/relationships/hyperlink" Target="https://www.sec.gov/Archives/edgar/data/1826681/000095017024032876/strc-ex3_2.htm" TargetMode="External"/><Relationship Id="rId282" Type="http://schemas.openxmlformats.org/officeDocument/2006/relationships/hyperlink" Target="https://www.sec.gov/Archives/edgar/data/1826681/000095017024055837/pdyn-ex10_13.htm" TargetMode="External"/><Relationship Id="rId283" Type="http://schemas.openxmlformats.org/officeDocument/2006/relationships/hyperlink" Target="https://www.sec.gov/Archives/edgar/data/1826681/000095017024055837/pdyn-ex10_14.htm" TargetMode="External"/><Relationship Id="rId284" Type="http://schemas.openxmlformats.org/officeDocument/2006/relationships/hyperlink" Target="https://www.sec.gov/Archives/edgar/data/1826681/000095017024055837/pdyn-ex10_15.htm" TargetMode="External"/><Relationship Id="rId285" Type="http://schemas.openxmlformats.org/officeDocument/2006/relationships/hyperlink" Target="https://www.sec.gov/Archives/edgar/data/1826681/000095017024055837/pdyn-ex10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2024-08-07T15:59:02Z</dcterms:created>
  <dcterms:modified xsi:type="dcterms:W3CDTF">2024-08-07T15:59:02Z</dcterms:modified>
</cp:coreProperties>
</file>