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trc-20230630.htm"/>
      <w:bookmarkStart w:id="1" w:name="ksstrc20230630"/>
      <w:bookmarkEnd w:id="0"/>
      <w:bookmarkEnd w:id="1"/>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40" w:after="40"/>
        <w:jc w:val="center"/>
        <w:rPr/>
      </w:pPr>
      <w:r>
        <w:rPr/>
        <w:t> </w:t>
      </w:r>
    </w:p>
    <w:p>
      <w:pPr>
        <w:pStyle w:val="TextBody"/>
        <w:bidi w:val="0"/>
        <w:spacing w:before="4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40" w:after="40"/>
        <w:jc w:val="center"/>
        <w:rPr/>
      </w:pPr>
      <w:r>
        <w:rPr/>
        <w:t> </w:t>
      </w:r>
    </w:p>
    <w:p>
      <w:pPr>
        <w:pStyle w:val="TextBody"/>
        <w:bidi w:val="0"/>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4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transition period from _______ to _______</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001-39897</w:t>
      </w:r>
    </w:p>
    <w:p>
      <w:pPr>
        <w:pStyle w:val="TextBody"/>
        <w:pBdr>
          <w:bottom w:val="single" w:sz="4" w:space="1" w:color="000000"/>
        </w:pBdr>
        <w:bidi w:val="0"/>
        <w:spacing w:before="40" w:after="4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SARCOS TECHNOLOGY AND ROBOTICS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60" w:after="0"/>
        <w:jc w:val="center"/>
        <w:rPr/>
      </w:pPr>
      <w:r>
        <w:rPr/>
        <w:t> </w:t>
      </w:r>
    </w:p>
    <w:p>
      <w:pPr>
        <w:pStyle w:val="TextBody"/>
        <w:bidi w:val="0"/>
        <w:spacing w:before="0" w:after="0"/>
        <w:jc w:val="left"/>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85-2838301</w:t>
            </w:r>
          </w:p>
        </w:tc>
      </w:tr>
      <w:tr>
        <w:trPr/>
        <w:tc>
          <w:tcPr>
            <w:tcW w:w="26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650 South 500 West, Suite 150</w:t>
            </w:r>
          </w:p>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Salt Lake City, Utah</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84101</w:t>
            </w:r>
          </w:p>
        </w:tc>
      </w:tr>
      <w:tr>
        <w:trPr/>
        <w:tc>
          <w:tcPr>
            <w:tcW w:w="26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(888) 927-7296</w:t>
      </w:r>
    </w:p>
    <w:p>
      <w:pPr>
        <w:pStyle w:val="TextBody"/>
        <w:pBdr>
          <w:bottom w:val="single" w:sz="4" w:space="1" w:color="000000"/>
        </w:pBdr>
        <w:bidi w:val="0"/>
        <w:spacing w:before="6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$0.0001 par value per share</w:t>
            </w:r>
          </w:p>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Warrants to purchase Common Stock</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STRC</w:t>
            </w:r>
          </w:p>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STRCW</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Market</w:t>
            </w:r>
          </w:p>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Market</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As of July 27, 2023, the registrant had 25.8</w:t>
      </w:r>
      <w:r>
        <w:rPr>
          <w:rFonts w:ascii="Times New Roman" w:hAnsi="Times New Roman"/>
          <w:sz w:val="20"/>
        </w:rPr>
        <w:t xml:space="preserve"> </w:t>
      </w:r>
      <w:r>
        <w:rPr>
          <w:rFonts w:ascii="Times New Roman;serif" w:hAnsi="Times New Roman;serif"/>
          <w:b w:val="false"/>
          <w:sz w:val="18"/>
        </w:rPr>
        <w:t>million shares of Common Stock, $0.0001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f_operations">
              <w:r>
                <w:rPr>
                  <w:rStyle w:val="InternetLink"/>
                  <w:rFonts w:ascii="Times New Roman;serif" w:hAnsi="Times New Roman;serif"/>
                  <w:b w:val="false"/>
                  <w:sz w:val="20"/>
                  <w:u w:val="single"/>
                </w:rPr>
                <w:t>Condensed Consolidated Statements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of_oci">
              <w:r>
                <w:rPr>
                  <w:rStyle w:val="InternetLink"/>
                  <w:rFonts w:ascii="Times New Roman;serif" w:hAnsi="Times New Roman;serif"/>
                  <w:b w:val="false"/>
                  <w:sz w:val="20"/>
                  <w:u w:val="single"/>
                </w:rPr>
                <w:t>Condensed Consolidated Statements of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f_stockholders">
              <w:r>
                <w:rPr>
                  <w:rStyle w:val="InternetLink"/>
                  <w:rFonts w:ascii="Times New Roman;serif" w:hAnsi="Times New Roman;serif"/>
                  <w:b w:val="false"/>
                  <w:sz w:val="20"/>
                  <w:u w:val="single"/>
                </w:rPr>
                <w:t>Condensed 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8</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f_cash_flows">
              <w:r>
                <w:rPr>
                  <w:rStyle w:val="InternetLink"/>
                  <w:rFonts w:ascii="Times New Roman;serif" w:hAnsi="Times New Roman;serif"/>
                  <w:b w:val="false"/>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10</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_1_basis_of_presentation">
              <w:r>
                <w:rPr>
                  <w:rStyle w:val="InternetLink"/>
                  <w:rFonts w:ascii="Times New Roman;serif" w:hAnsi="Times New Roman;serif"/>
                  <w:b w:val="false"/>
                  <w:sz w:val="20"/>
                  <w:u w:val="single"/>
                </w:rPr>
                <w:t>Notes to Unaudited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and_qualitative">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bl>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All share and per share amounts, including the exercise or conversion price of any of our securities, as applicable, shown in this report have been adjusted to reflect the occurrence of a 1-for-6 reverse split of our common stock that occurred on July 5, 2023 (the “Reverse Stock Split”).</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Summary Risk Factors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business is subject to numerous risks and uncertainties, including those highlighted in Part II, Item 1A Risk Factors of this Report. The following is a summary of the principal risks we face:</w:t>
      </w:r>
    </w:p>
    <w:p>
      <w:pPr>
        <w:pStyle w:val="TextBody"/>
        <w:bidi w:val="0"/>
        <w:spacing w:before="160" w:after="0"/>
        <w:jc w:val="both"/>
        <w:rPr/>
      </w:pPr>
      <w:r>
        <w:rPr/>
        <w:t>•</w:t>
      </w:r>
    </w:p>
    <w:p>
      <w:pPr>
        <w:pStyle w:val="TextBody"/>
        <w:bidi w:val="0"/>
        <w:spacing w:before="160" w:after="0"/>
        <w:jc w:val="both"/>
        <w:rPr>
          <w:rFonts w:ascii="Times New Roman;serif" w:hAnsi="Times New Roman;serif"/>
          <w:b w:val="false"/>
          <w:sz w:val="20"/>
        </w:rPr>
      </w:pPr>
      <w:r>
        <w:rPr>
          <w:rFonts w:ascii="Times New Roman;serif" w:hAnsi="Times New Roman;serif"/>
          <w:b w:val="false"/>
          <w:sz w:val="20"/>
        </w:rPr>
        <w:t>We are an early stage company with a history of losses, and expect to incur significant expenses for the foreseeable future.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yet to achieve positive operating cash flow, and our ability to generate positive cash flow is uncertain.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very limited experience commercializing our products and may not be able to do so efficiently or effectively.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Commercialization of our systems, solutions and software may be delayed beyond our current expectations and therefore initial delivery to customers and receipt of anticipated revenue could be delayed.</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If we are successful in commercializing our products, our revenue will be concentrated in a limited number of products for the foreseeable future.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With our focus products still under development, we have limited current customers and no binding orders for commercial versions of our systems, solutions and software, and expected customer trials and discussions with respect to those products may not result in binding orders.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may fail to attract or retain customers at sufficient rates or at all.</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decided to focus on a standard product sales model for our robotic systems and solutions, which may not prove to be effective.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products represent new product categories or advancements, and important assumptions about market demand, pricing, adoption rates and sales cycles for our current and future products may be inaccurate.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Even if we successfully market our products, the purchase, adoption and use of the products may be materially and negatively impacted if the employees of our customers resist the use and adoption of the products.</w:t>
      </w:r>
    </w:p>
    <w:p>
      <w:pPr>
        <w:pStyle w:val="TextBody"/>
        <w:bidi w:val="0"/>
        <w:spacing w:before="120" w:after="0"/>
        <w:jc w:val="both"/>
        <w:rPr/>
      </w:pPr>
      <w:r>
        <w:rPr/>
        <w:t>•</w:t>
      </w:r>
    </w:p>
    <w:p>
      <w:pPr>
        <w:pStyle w:val="TextBody"/>
        <w:bidi w:val="0"/>
        <w:spacing w:before="120" w:after="0"/>
        <w:jc w:val="both"/>
        <w:rPr/>
      </w:pPr>
      <w:r>
        <w:rPr>
          <w:rFonts w:ascii="Times New Roman;serif" w:hAnsi="Times New Roman;serif"/>
          <w:b w:val="false"/>
          <w:sz w:val="20"/>
        </w:rPr>
        <w:t>We operate in a competitive industry that is subject to rapid technological change, and we expect competition to increase.</w:t>
      </w:r>
      <w:r>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may not be able to complete or enhance our product offerings through our research and development efforts.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develop and manufacture products of sufficient quality on schedule and on a large scale is unproven, and delays in the design, production and launch of our products could harm our business, prospects, financial condition and operating results.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dependent on our suppliers, some of which are currently single, sole or limited source suppliers, and any inability of these suppliers to deliver necessary components of our products at prices, volumes, performance, timing and specifications acceptable to us, could have a material adverse effect on our business, prospects, financial condition and operating results. We have not yet identified all of the suppliers that we are likely to rely on to support future commercialization of our products.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rely heavily on supply chain reliability and predictability and continued disruption in our supply chain could have a material adverse impact on operations and commercialization of our core systems.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 or manufacturing flaws, defects, glitches, bugs or malfunctions in our products, including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no experience maintaining or servicing our products at a large scale.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expected transition to an outsourced manufacturing business model may not be successful, which could harm our ability to deliver products and recognize revenue.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business and prospects depend significantly on our ability to build our brand. We may not succeed in continuing to establish, maintain and strengthen our brand, and our brand and reputation could be harmed by negative publicity regarding us or our products.</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Our management team has broad discretion in making strategic decisions to execute our growth plans, and our management’s decisions may not be successful in achieving our business objectives or may have unintended consequences that negatively impact our growth prospects.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If we fail to effectively manage our growth, we may not be able to design, develop, manufacture, market and launch our products successfully.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may be unable to adequately control the costs associated with our operations.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expect to incur substantial research and development costs and devote significant resources to identifying and commercializing new and current products, which could significantly reduce our profitability and may never result in revenue.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recent initiatives to improve our cost structure, including significant workforce reductions, may not result in the anticipated savings, could result in total costs and expenses that are greater than expected and could disrupt our business.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financial results may vary significantly from period to period due to fluctuations in our operating costs, product demand and other factors.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or may be subject to risks associated with strategic alliances or acquisitions and may not be able to identify adequate strategic relationship opportunities, or form strategic relationships, in the future.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Our operating and financial projections rely on management assumptions and analyses. If these assumptions or analyses prove to be incorrect, our actual operating results may be materially different from our forecasted results.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Our management as a group has limited experience in operating a publicly-traded company.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Adverse events or perceptions affecting the financial services industry could adversely affect our operating results, liquidity, financial condition and prospects.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may become subject to new or changing governmental regulations relating to the design, manufacturing, marketing, distribution, servicing or use of our products, and a failure to comply with such regulations could lead to withdrawal or recall of our products from the market, delay our projected revenue, increase costs or make our business unviable if we are unable to modify our products to comply.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success depends in part on our ability to obtain and maintain protection for the intellectual property relating to or incorporated into our products.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may not be able to protect our intellectual property rights in all countries.</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Our reverse stock split to regain compliance with the Nasdaq Global Market Minimum Bid Price Requirement may not result in a proportional increase in the per share price of our common stock and may decrease the liquidity of our common stock.</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 w:name="part_i_financial_information"/>
      <w:bookmarkEnd w:id="2"/>
      <w:r>
        <w:rPr>
          <w:rFonts w:ascii="Times New Roman;serif" w:hAnsi="Times New Roman;serif"/>
          <w:b/>
          <w:sz w:val="20"/>
        </w:rPr>
        <w:t>PART I—FINANCIAL</w:t>
      </w:r>
      <w:r>
        <w:rPr>
          <w:rFonts w:ascii="Times New Roman" w:hAnsi="Times New Roman"/>
          <w:sz w:val="20"/>
        </w:rPr>
        <w:t xml:space="preserve"> </w:t>
      </w:r>
      <w:r>
        <w:rPr>
          <w:rFonts w:ascii="Times New Roman;serif" w:hAnsi="Times New Roman;serif"/>
          <w:b/>
          <w:sz w:val="20"/>
        </w:rPr>
        <w:t>INFORMATION</w:t>
      </w:r>
    </w:p>
    <w:p>
      <w:pPr>
        <w:pStyle w:val="TextBody"/>
        <w:bidi w:val="0"/>
        <w:spacing w:before="36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bidi w:val="0"/>
        <w:spacing w:before="12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SARCOS TECHNOLOGY AND ROBOTICS CORPORATION</w:t>
      </w:r>
    </w:p>
    <w:p>
      <w:pPr>
        <w:pStyle w:val="TextBody"/>
        <w:bidi w:val="0"/>
        <w:spacing w:before="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w:t>
      </w:r>
      <w:r>
        <w:rPr>
          <w:rFonts w:ascii="Times New Roman" w:hAnsi="Times New Roman"/>
          <w:sz w:val="20"/>
        </w:rPr>
        <w:t xml:space="preserve"> </w:t>
      </w:r>
      <w:r>
        <w:rPr>
          <w:rFonts w:ascii="Times New Roman;serif" w:hAnsi="Times New Roman;serif"/>
          <w:b/>
          <w:sz w:val="20"/>
        </w:rPr>
        <w:t>BALANCE SHEETS</w:t>
      </w:r>
    </w:p>
    <w:p>
      <w:pPr>
        <w:pStyle w:val="TextBody"/>
        <w:bidi w:val="0"/>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in thousands, except share data</w:t>
      </w:r>
      <w:r>
        <w:rPr>
          <w:rFonts w:ascii="Times New Roman;serif" w:hAnsi="Times New Roman;serif"/>
          <w:b w:val="false"/>
          <w:sz w:val="20"/>
        </w:rPr>
        <w: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145"/>
        <w:gridCol w:w="146"/>
        <w:gridCol w:w="221"/>
        <w:gridCol w:w="813"/>
        <w:gridCol w:w="166"/>
        <w:gridCol w:w="146"/>
        <w:gridCol w:w="242"/>
        <w:gridCol w:w="932"/>
        <w:gridCol w:w="394"/>
      </w:tblGrid>
      <w:tr>
        <w:trPr/>
        <w:tc>
          <w:tcPr>
            <w:tcW w:w="7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1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2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4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4"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pPr>
            <w:r>
              <w:rPr/>
              <w:t> </w:t>
            </w:r>
          </w:p>
        </w:tc>
        <w:tc>
          <w:tcPr>
            <w:tcW w:w="394" w:type="dxa"/>
            <w:tcBorders/>
            <w:vAlign w:val="center"/>
          </w:tcPr>
          <w:p>
            <w:pPr>
              <w:pStyle w:val="TableContents"/>
              <w:bidi w:val="0"/>
              <w:spacing w:before="0" w:after="0"/>
              <w:ind w:left="0" w:right="0" w:hanging="0"/>
              <w:jc w:val="center"/>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103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assets:</w:t>
            </w:r>
          </w:p>
        </w:tc>
        <w:tc>
          <w:tcPr>
            <w:tcW w:w="146" w:type="dxa"/>
            <w:tcBorders/>
            <w:vAlign w:val="center"/>
          </w:tcPr>
          <w:p>
            <w:pPr>
              <w:pStyle w:val="TableContents"/>
              <w:bidi w:val="0"/>
              <w:spacing w:before="0" w:after="0"/>
              <w:ind w:left="0" w:right="0" w:hanging="0"/>
              <w:jc w:val="left"/>
              <w:rPr/>
            </w:pPr>
            <w:r>
              <w:rPr/>
              <w:t> </w:t>
            </w:r>
          </w:p>
        </w:tc>
        <w:tc>
          <w:tcPr>
            <w:tcW w:w="103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25,566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35,159</w:t>
            </w:r>
          </w:p>
        </w:tc>
        <w:tc>
          <w:tcPr>
            <w:tcW w:w="394" w:type="dxa"/>
            <w:tcBorders/>
            <w:vAlign w:val="center"/>
          </w:tcPr>
          <w:p>
            <w:pPr>
              <w:pStyle w:val="TableContents"/>
              <w:bidi w:val="0"/>
              <w:spacing w:before="0" w:after="0"/>
              <w:ind w:left="0" w:right="0" w:firstLine="200"/>
              <w:jc w:val="lef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49,579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79,337</w:t>
            </w:r>
          </w:p>
        </w:tc>
        <w:tc>
          <w:tcPr>
            <w:tcW w:w="394" w:type="dxa"/>
            <w:tcBorders/>
            <w:vAlign w:val="center"/>
          </w:tcPr>
          <w:p>
            <w:pPr>
              <w:pStyle w:val="TableContents"/>
              <w:bidi w:val="0"/>
              <w:spacing w:before="0" w:after="0"/>
              <w:ind w:left="0" w:right="0" w:firstLine="200"/>
              <w:jc w:val="lef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1,866</w:t>
            </w:r>
          </w:p>
        </w:tc>
        <w:tc>
          <w:tcPr>
            <w:tcW w:w="394" w:type="dxa"/>
            <w:tcBorders/>
            <w:vAlign w:val="center"/>
          </w:tcPr>
          <w:p>
            <w:pPr>
              <w:pStyle w:val="TableContents"/>
              <w:bidi w:val="0"/>
              <w:spacing w:before="0" w:after="0"/>
              <w:ind w:left="0" w:right="0" w:firstLine="200"/>
              <w:jc w:val="lef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Unbilled receivables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4,160</w:t>
            </w:r>
          </w:p>
        </w:tc>
        <w:tc>
          <w:tcPr>
            <w:tcW w:w="394" w:type="dxa"/>
            <w:tcBorders/>
            <w:vAlign w:val="center"/>
          </w:tcPr>
          <w:p>
            <w:pPr>
              <w:pStyle w:val="TableContents"/>
              <w:bidi w:val="0"/>
              <w:spacing w:before="0" w:after="0"/>
              <w:ind w:left="0" w:right="0" w:firstLine="200"/>
              <w:jc w:val="lef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Inventories, net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3,562</w:t>
            </w:r>
          </w:p>
        </w:tc>
        <w:tc>
          <w:tcPr>
            <w:tcW w:w="394" w:type="dxa"/>
            <w:tcBorders/>
            <w:vAlign w:val="center"/>
          </w:tcPr>
          <w:p>
            <w:pPr>
              <w:pStyle w:val="TableContents"/>
              <w:bidi w:val="0"/>
              <w:spacing w:before="0" w:after="0"/>
              <w:ind w:left="0" w:right="0" w:firstLine="200"/>
              <w:jc w:val="lef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5,015</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85,269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129,099</w:t>
            </w:r>
          </w:p>
        </w:tc>
        <w:tc>
          <w:tcPr>
            <w:tcW w:w="394"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7,640</w:t>
            </w:r>
          </w:p>
        </w:tc>
        <w:tc>
          <w:tcPr>
            <w:tcW w:w="394"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Intangible assets, net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19,116</w:t>
            </w:r>
          </w:p>
        </w:tc>
        <w:tc>
          <w:tcPr>
            <w:tcW w:w="394"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assets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11,283</w:t>
            </w:r>
          </w:p>
        </w:tc>
        <w:tc>
          <w:tcPr>
            <w:tcW w:w="394"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non-current assets</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487</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120,666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167,625</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3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liabilities:</w:t>
            </w:r>
          </w:p>
        </w:tc>
        <w:tc>
          <w:tcPr>
            <w:tcW w:w="146" w:type="dxa"/>
            <w:tcBorders/>
            <w:vAlign w:val="center"/>
          </w:tcPr>
          <w:p>
            <w:pPr>
              <w:pStyle w:val="TableContents"/>
              <w:bidi w:val="0"/>
              <w:spacing w:before="0" w:after="0"/>
              <w:ind w:left="0" w:right="0" w:hanging="0"/>
              <w:jc w:val="left"/>
              <w:rPr/>
            </w:pPr>
            <w:r>
              <w:rPr/>
              <w:t> </w:t>
            </w:r>
          </w:p>
        </w:tc>
        <w:tc>
          <w:tcPr>
            <w:tcW w:w="103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3,620</w:t>
            </w:r>
          </w:p>
        </w:tc>
        <w:tc>
          <w:tcPr>
            <w:tcW w:w="394" w:type="dxa"/>
            <w:tcBorders/>
            <w:vAlign w:val="center"/>
          </w:tcPr>
          <w:p>
            <w:pPr>
              <w:pStyle w:val="TableContents"/>
              <w:bidi w:val="0"/>
              <w:spacing w:before="0" w:after="0"/>
              <w:ind w:left="0" w:right="0" w:firstLine="200"/>
              <w:jc w:val="lef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liabilities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6,025</w:t>
            </w:r>
          </w:p>
        </w:tc>
        <w:tc>
          <w:tcPr>
            <w:tcW w:w="394" w:type="dxa"/>
            <w:tcBorders/>
            <w:vAlign w:val="center"/>
          </w:tcPr>
          <w:p>
            <w:pPr>
              <w:pStyle w:val="TableContents"/>
              <w:bidi w:val="0"/>
              <w:spacing w:before="0" w:after="0"/>
              <w:ind w:left="0" w:right="0" w:firstLine="200"/>
              <w:jc w:val="lef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887</w:t>
            </w:r>
          </w:p>
        </w:tc>
        <w:tc>
          <w:tcPr>
            <w:tcW w:w="394"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146" w:type="dxa"/>
            <w:tcBorders/>
            <w:vAlign w:val="center"/>
          </w:tcPr>
          <w:p>
            <w:pPr>
              <w:pStyle w:val="TableContents"/>
              <w:bidi w:val="0"/>
              <w:spacing w:before="0" w:after="0"/>
              <w:ind w:left="0" w:right="0" w:hanging="0"/>
              <w:jc w:val="left"/>
              <w:rPr/>
            </w:pPr>
            <w:r>
              <w:rPr/>
              <w:t> </w:t>
            </w:r>
          </w:p>
        </w:tc>
        <w:tc>
          <w:tcPr>
            <w:tcW w:w="22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13"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9,686</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32"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10,532</w:t>
            </w:r>
          </w:p>
        </w:tc>
        <w:tc>
          <w:tcPr>
            <w:tcW w:w="394" w:type="dxa"/>
            <w:tcBorders>
              <w:top w:val="single" w:sz="4" w:space="0" w:color="000000"/>
            </w:tcBorders>
            <w:tcMar>
              <w:left w:w="0" w:type="dxa"/>
              <w:bottom w:w="0" w:type="dxa"/>
              <w:right w:w="0" w:type="dxa"/>
            </w:tcMar>
            <w:vAlign w:val="center"/>
          </w:tcPr>
          <w:p>
            <w:pPr>
              <w:pStyle w:val="TableContents"/>
              <w:bidi w:val="0"/>
              <w:spacing w:before="0" w:after="0"/>
              <w:ind w:left="0" w:right="0" w:firstLine="200"/>
              <w:jc w:val="lef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12,387</w:t>
            </w:r>
          </w:p>
        </w:tc>
        <w:tc>
          <w:tcPr>
            <w:tcW w:w="394" w:type="dxa"/>
            <w:tcBorders/>
            <w:vAlign w:val="center"/>
          </w:tcPr>
          <w:p>
            <w:pPr>
              <w:pStyle w:val="TableContents"/>
              <w:bidi w:val="0"/>
              <w:spacing w:before="0" w:after="0"/>
              <w:ind w:left="0" w:right="0" w:firstLine="200"/>
              <w:jc w:val="left"/>
              <w:rPr/>
            </w:pPr>
            <w:r>
              <w:rPr/>
              <w:t> </w:t>
            </w:r>
          </w:p>
        </w:tc>
      </w:tr>
      <w:tr>
        <w:trPr/>
        <w:tc>
          <w:tcPr>
            <w:tcW w:w="71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256</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23,175</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Commitments and contingencies (Note 11)</w:t>
            </w:r>
          </w:p>
        </w:tc>
        <w:tc>
          <w:tcPr>
            <w:tcW w:w="146" w:type="dxa"/>
            <w:tcBorders/>
            <w:vAlign w:val="center"/>
          </w:tcPr>
          <w:p>
            <w:pPr>
              <w:pStyle w:val="TableContents"/>
              <w:bidi w:val="0"/>
              <w:spacing w:before="0" w:after="0"/>
              <w:ind w:left="0" w:right="0" w:hanging="0"/>
              <w:jc w:val="left"/>
              <w:rPr/>
            </w:pPr>
            <w:r>
              <w:rPr/>
              <w:t> </w:t>
            </w:r>
          </w:p>
        </w:tc>
        <w:tc>
          <w:tcPr>
            <w:tcW w:w="103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Stockholders’ equity:</w:t>
            </w:r>
          </w:p>
        </w:tc>
        <w:tc>
          <w:tcPr>
            <w:tcW w:w="146" w:type="dxa"/>
            <w:tcBorders/>
            <w:vAlign w:val="center"/>
          </w:tcPr>
          <w:p>
            <w:pPr>
              <w:pStyle w:val="TableContents"/>
              <w:bidi w:val="0"/>
              <w:spacing w:before="0" w:after="0"/>
              <w:ind w:left="0" w:right="0" w:hanging="0"/>
              <w:jc w:val="left"/>
              <w:rPr/>
            </w:pPr>
            <w:r>
              <w:rPr/>
              <w:t> </w:t>
            </w:r>
          </w:p>
        </w:tc>
        <w:tc>
          <w:tcPr>
            <w:tcW w:w="103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4"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714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8"/>
              </w:rPr>
              <w:t>Common stock, $0.0001</w:t>
            </w:r>
            <w:r>
              <w:rPr>
                <w:rFonts w:ascii="Times New Roman" w:hAnsi="Times New Roman"/>
                <w:sz w:val="20"/>
              </w:rPr>
              <w:t> </w:t>
            </w:r>
            <w:r>
              <w:rPr>
                <w:rFonts w:ascii="Times New Roman;serif" w:hAnsi="Times New Roman;serif"/>
                <w:b w:val="false"/>
                <w:sz w:val="18"/>
              </w:rPr>
              <w:t>par value, 165,000,000</w:t>
            </w:r>
            <w:r>
              <w:rPr>
                <w:rFonts w:ascii="Times New Roman" w:hAnsi="Times New Roman"/>
                <w:sz w:val="20"/>
              </w:rPr>
              <w:t> </w:t>
            </w:r>
            <w:r>
              <w:rPr>
                <w:rFonts w:ascii="Times New Roman;serif" w:hAnsi="Times New Roman;serif"/>
                <w:b w:val="false"/>
                <w:sz w:val="18"/>
              </w:rPr>
              <w:t>shares authorized as of June 30, 2023, and December 31, 2022; 25,841,889</w:t>
            </w:r>
            <w:r>
              <w:rPr>
                <w:rFonts w:ascii="Times New Roman" w:hAnsi="Times New Roman"/>
                <w:sz w:val="20"/>
              </w:rPr>
              <w:t> </w:t>
            </w:r>
            <w:r>
              <w:rPr>
                <w:rFonts w:ascii="Times New Roman;serif" w:hAnsi="Times New Roman;serif"/>
                <w:b w:val="false"/>
                <w:sz w:val="18"/>
              </w:rPr>
              <w:t>and 25,708,519</w:t>
            </w:r>
            <w:r>
              <w:rPr>
                <w:rFonts w:ascii="Times New Roman" w:hAnsi="Times New Roman"/>
                <w:sz w:val="20"/>
              </w:rPr>
              <w:t> </w:t>
            </w:r>
            <w:r>
              <w:rPr>
                <w:rFonts w:ascii="Times New Roman;serif" w:hAnsi="Times New Roman;serif"/>
                <w:b w:val="false"/>
                <w:sz w:val="18"/>
              </w:rPr>
              <w:t>shares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394"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Additional paid-in capital</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451,815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447,085</w:t>
            </w:r>
          </w:p>
        </w:tc>
        <w:tc>
          <w:tcPr>
            <w:tcW w:w="394"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deficit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(352,757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(302,621</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stockholders’ equity</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99,049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144,450</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120,666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167,625</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SARCOS TECHNOLOGY AND ROBOTICS CORPORATION</w:t>
      </w:r>
    </w:p>
    <w:p>
      <w:pPr>
        <w:pStyle w:val="TextBody"/>
        <w:bidi w:val="0"/>
        <w:spacing w:before="0" w:after="0"/>
        <w:jc w:val="center"/>
        <w:rPr>
          <w:rFonts w:ascii="Times New Roman" w:hAnsi="Times New Roman"/>
          <w:sz w:val="20"/>
        </w:rPr>
      </w:pPr>
      <w:bookmarkStart w:id="5" w:name="consolidated_statements_of_operations"/>
      <w:bookmarkEnd w:id="5"/>
      <w:r>
        <w:rPr>
          <w:rFonts w:ascii="Times New Roman;serif" w:hAnsi="Times New Roman;serif"/>
          <w:b/>
          <w:sz w:val="20"/>
        </w:rPr>
        <w:t>CONDENSED CONSOLIDATED STATEMENTS OF OPERATIONS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in thousands, except share and per share data</w:t>
      </w:r>
      <w:r>
        <w:rPr>
          <w:rFonts w:ascii="Times New Roman;serif" w:hAnsi="Times New Roman;serif"/>
          <w:b w:val="false"/>
          <w:sz w:val="20"/>
        </w:rPr>
        <w:t>)</w:t>
      </w:r>
    </w:p>
    <w:p>
      <w:pPr>
        <w:pStyle w:val="TextBody"/>
        <w:bidi w:val="0"/>
        <w:spacing w:before="0" w:after="0"/>
        <w:jc w:val="left"/>
        <w:rPr/>
      </w:pPr>
      <w:r>
        <w:rPr/>
        <w:t>​</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vAlign w:val="center"/>
          </w:tcPr>
          <w:p>
            <w:pPr>
              <w:pStyle w:val="TableContents"/>
              <w:bidi w:val="0"/>
              <w:spacing w:before="0" w:after="0"/>
              <w:ind w:left="0" w:right="0" w:hanging="0"/>
              <w:jc w:val="center"/>
              <w:rPr>
                <w:rFonts w:cs="Times New Roman;serif"/>
                <w:bCs/>
                <w:szCs w:val="18"/>
              </w:rPr>
            </w:pPr>
            <w:r>
              <w:rPr>
                <w:rFonts w:cs="Times New Roman;serif"/>
                <w:bCs/>
                <w:szCs w:val="18"/>
              </w:rPr>
              <w:t>﻿</w:t>
            </w:r>
          </w:p>
        </w:tc>
        <w:tc>
          <w:tcPr>
            <w:tcW w:w="146" w:type="dxa"/>
            <w:tcBorders/>
            <w:vAlign w:val="center"/>
          </w:tcPr>
          <w:p>
            <w:pPr>
              <w:pStyle w:val="TableContents"/>
              <w:bidi w:val="0"/>
              <w:spacing w:before="0" w:after="0"/>
              <w:ind w:left="0" w:right="0" w:hanging="0"/>
              <w:jc w:val="center"/>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8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Revenue, net</w:t>
            </w:r>
          </w:p>
        </w:tc>
        <w:tc>
          <w:tcPr>
            <w:tcW w:w="1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3,781</w:t>
            </w:r>
          </w:p>
        </w:tc>
        <w:tc>
          <w:tcPr>
            <w:tcW w:w="591" w:type="dxa"/>
            <w:tcBorders/>
            <w:vAlign w:val="center"/>
          </w:tcPr>
          <w:p>
            <w:pPr>
              <w:pStyle w:val="TableContents"/>
              <w:bidi w:val="0"/>
              <w:spacing w:before="0" w:after="0"/>
              <w:ind w:left="0" w:right="0" w:hanging="0"/>
              <w:jc w:val="left"/>
              <w:rPr/>
            </w:pPr>
            <w:r>
              <w:rPr/>
              <w:t> </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146" w:type="dxa"/>
            <w:tcBorders/>
            <w:vAlign w:val="center"/>
          </w:tcPr>
          <w:p>
            <w:pPr>
              <w:pStyle w:val="TableContents"/>
              <w:bidi w:val="0"/>
              <w:spacing w:before="0" w:after="0"/>
              <w:ind w:left="0" w:right="0" w:hanging="0"/>
              <w:jc w:val="right"/>
              <w:rPr/>
            </w:pPr>
            <w:r>
              <w:rPr/>
              <w:t>​</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8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Cost of revenue (exclusive of items shown separately below)</w:t>
            </w:r>
          </w:p>
        </w:tc>
        <w:tc>
          <w:tcPr>
            <w:tcW w:w="146" w:type="dxa"/>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3,634</w:t>
            </w:r>
          </w:p>
        </w:tc>
        <w:tc>
          <w:tcPr>
            <w:tcW w:w="591" w:type="dxa"/>
            <w:tcBorders/>
            <w:vAlign w:val="center"/>
          </w:tcPr>
          <w:p>
            <w:pPr>
              <w:pStyle w:val="TableContents"/>
              <w:bidi w:val="0"/>
              <w:spacing w:before="0" w:after="0"/>
              <w:ind w:left="0" w:right="0" w:firstLine="200"/>
              <w:jc w:val="left"/>
              <w:rPr/>
            </w:pPr>
            <w:r>
              <w:rPr/>
              <w:t> </w:t>
            </w:r>
          </w:p>
        </w:tc>
      </w:tr>
      <w:tr>
        <w:trPr/>
        <w:tc>
          <w:tcPr>
            <w:tcW w:w="408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w:t>
            </w:r>
          </w:p>
        </w:tc>
        <w:tc>
          <w:tcPr>
            <w:tcW w:w="1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13,450</w:t>
            </w:r>
          </w:p>
        </w:tc>
        <w:tc>
          <w:tcPr>
            <w:tcW w:w="591" w:type="dxa"/>
            <w:tcBorders/>
            <w:vAlign w:val="center"/>
          </w:tcPr>
          <w:p>
            <w:pPr>
              <w:pStyle w:val="TableContents"/>
              <w:bidi w:val="0"/>
              <w:spacing w:before="0" w:after="0"/>
              <w:ind w:left="0" w:right="0" w:firstLine="200"/>
              <w:jc w:val="left"/>
              <w:rPr/>
            </w:pPr>
            <w:r>
              <w:rPr/>
              <w:t> </w:t>
            </w:r>
          </w:p>
        </w:tc>
      </w:tr>
      <w:tr>
        <w:trPr/>
        <w:tc>
          <w:tcPr>
            <w:tcW w:w="408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General and administrative</w:t>
            </w:r>
          </w:p>
        </w:tc>
        <w:tc>
          <w:tcPr>
            <w:tcW w:w="1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17,987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35,938</w:t>
            </w:r>
          </w:p>
        </w:tc>
        <w:tc>
          <w:tcPr>
            <w:tcW w:w="591" w:type="dxa"/>
            <w:tcBorders/>
            <w:vAlign w:val="center"/>
          </w:tcPr>
          <w:p>
            <w:pPr>
              <w:pStyle w:val="TableContents"/>
              <w:bidi w:val="0"/>
              <w:spacing w:before="0" w:after="0"/>
              <w:ind w:left="0" w:right="0" w:firstLine="200"/>
              <w:jc w:val="left"/>
              <w:rPr/>
            </w:pPr>
            <w:r>
              <w:rPr/>
              <w:t> </w:t>
            </w:r>
          </w:p>
        </w:tc>
      </w:tr>
      <w:tr>
        <w:trPr/>
        <w:tc>
          <w:tcPr>
            <w:tcW w:w="408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Sales and marketing</w:t>
            </w:r>
          </w:p>
        </w:tc>
        <w:tc>
          <w:tcPr>
            <w:tcW w:w="1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4,797</w:t>
            </w:r>
          </w:p>
        </w:tc>
        <w:tc>
          <w:tcPr>
            <w:tcW w:w="591" w:type="dxa"/>
            <w:tcBorders/>
            <w:vAlign w:val="center"/>
          </w:tcPr>
          <w:p>
            <w:pPr>
              <w:pStyle w:val="TableContents"/>
              <w:bidi w:val="0"/>
              <w:spacing w:before="0" w:after="0"/>
              <w:ind w:left="0" w:right="0" w:firstLine="200"/>
              <w:jc w:val="left"/>
              <w:rPr/>
            </w:pPr>
            <w:r>
              <w:rPr/>
              <w:t> </w:t>
            </w:r>
          </w:p>
        </w:tc>
      </w:tr>
      <w:tr>
        <w:trPr/>
        <w:tc>
          <w:tcPr>
            <w:tcW w:w="408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Intangible amortization expense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574</w:t>
            </w:r>
          </w:p>
        </w:tc>
        <w:tc>
          <w:tcPr>
            <w:tcW w:w="591" w:type="dxa"/>
            <w:tcBorders/>
            <w:vAlign w:val="center"/>
          </w:tcPr>
          <w:p>
            <w:pPr>
              <w:pStyle w:val="TableContents"/>
              <w:bidi w:val="0"/>
              <w:spacing w:before="0" w:after="0"/>
              <w:ind w:left="0" w:right="0" w:firstLine="200"/>
              <w:jc w:val="left"/>
              <w:rPr/>
            </w:pPr>
            <w:r>
              <w:rPr/>
              <w:t> </w:t>
            </w:r>
          </w:p>
        </w:tc>
      </w:tr>
      <w:tr>
        <w:trPr/>
        <w:tc>
          <w:tcPr>
            <w:tcW w:w="408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Asset write-down and restructuring</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084"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146" w:type="dxa"/>
            <w:tcBorders/>
            <w:vAlign w:val="center"/>
          </w:tcPr>
          <w:p>
            <w:pPr>
              <w:pStyle w:val="TableContents"/>
              <w:bidi w:val="0"/>
              <w:spacing w:before="0" w:after="0"/>
              <w:ind w:left="0" w:right="0" w:hanging="0"/>
              <w:jc w:val="right"/>
              <w:rPr/>
            </w:pPr>
            <w:r>
              <w:rPr/>
              <w:t>​</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31,236</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32,021</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56,720</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58,393</w:t>
            </w:r>
          </w:p>
        </w:tc>
        <w:tc>
          <w:tcPr>
            <w:tcW w:w="5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Loss from operations</w:t>
            </w:r>
          </w:p>
        </w:tc>
        <w:tc>
          <w:tcPr>
            <w:tcW w:w="146" w:type="dxa"/>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(29,959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(28,983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(53,147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(54,612</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income, net</w:t>
            </w:r>
          </w:p>
        </w:tc>
        <w:tc>
          <w:tcPr>
            <w:tcW w:w="146" w:type="dxa"/>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w:t>
            </w:r>
          </w:p>
        </w:tc>
        <w:tc>
          <w:tcPr>
            <w:tcW w:w="591" w:type="dxa"/>
            <w:tcBorders/>
            <w:vAlign w:val="center"/>
          </w:tcPr>
          <w:p>
            <w:pPr>
              <w:pStyle w:val="TableContents"/>
              <w:bidi w:val="0"/>
              <w:spacing w:before="0" w:after="0"/>
              <w:ind w:left="0" w:right="0" w:hanging="0"/>
              <w:jc w:val="left"/>
              <w:rPr/>
            </w:pPr>
            <w:r>
              <w:rPr/>
              <w:t> </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Gain on warrant liability</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10,527</w:t>
            </w:r>
          </w:p>
        </w:tc>
        <w:tc>
          <w:tcPr>
            <w:tcW w:w="591" w:type="dxa"/>
            <w:tcBorders/>
            <w:vAlign w:val="center"/>
          </w:tcPr>
          <w:p>
            <w:pPr>
              <w:pStyle w:val="TableContents"/>
              <w:bidi w:val="0"/>
              <w:spacing w:before="0" w:after="0"/>
              <w:ind w:left="0" w:right="0" w:hanging="0"/>
              <w:jc w:val="left"/>
              <w:rPr/>
            </w:pPr>
            <w:r>
              <w:rPr/>
              <w:t> </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(loss) income, net</w:t>
            </w:r>
          </w:p>
        </w:tc>
        <w:tc>
          <w:tcPr>
            <w:tcW w:w="146" w:type="dxa"/>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Loss before income tax (expense) benefit</w:t>
            </w:r>
          </w:p>
        </w:tc>
        <w:tc>
          <w:tcPr>
            <w:tcW w:w="146" w:type="dxa"/>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(24,724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(50,133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(43,926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Income tax (expense) benefit</w:t>
            </w:r>
          </w:p>
        </w:tc>
        <w:tc>
          <w:tcPr>
            <w:tcW w:w="146" w:type="dxa"/>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(50,136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(42,320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per share</w:t>
            </w:r>
          </w:p>
        </w:tc>
        <w:tc>
          <w:tcPr>
            <w:tcW w:w="146" w:type="dxa"/>
            <w:tcBorders/>
            <w:vAlign w:val="center"/>
          </w:tcPr>
          <w:p>
            <w:pPr>
              <w:pStyle w:val="TableContents"/>
              <w:bidi w:val="0"/>
              <w:spacing w:before="0" w:after="0"/>
              <w:ind w:left="0" w:right="0" w:hanging="0"/>
              <w:jc w:val="right"/>
              <w:rPr/>
            </w:pPr>
            <w:r>
              <w:rPr/>
              <w:t>​</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right"/>
              <w:rPr/>
            </w:pPr>
            <w:r>
              <w:rPr/>
              <w:t> </w:t>
            </w:r>
          </w:p>
        </w:tc>
      </w:tr>
      <w:tr>
        <w:trPr/>
        <w:tc>
          <w:tcPr>
            <w:tcW w:w="408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Basic and diluted</w:t>
            </w:r>
          </w:p>
        </w:tc>
        <w:tc>
          <w:tcPr>
            <w:tcW w:w="1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0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Weighted-average shares used in computing net loss per share</w:t>
            </w:r>
          </w:p>
        </w:tc>
        <w:tc>
          <w:tcPr>
            <w:tcW w:w="146" w:type="dxa"/>
            <w:tcBorders/>
            <w:vAlign w:val="center"/>
          </w:tcPr>
          <w:p>
            <w:pPr>
              <w:pStyle w:val="TableContents"/>
              <w:bidi w:val="0"/>
              <w:spacing w:before="0" w:after="0"/>
              <w:ind w:left="0" w:right="0" w:hanging="0"/>
              <w:jc w:val="right"/>
              <w:rPr/>
            </w:pPr>
            <w:r>
              <w:rPr/>
              <w:t>​</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right"/>
              <w:rPr/>
            </w:pPr>
            <w:r>
              <w:rPr/>
              <w:t> </w:t>
            </w:r>
          </w:p>
        </w:tc>
      </w:tr>
      <w:tr>
        <w:trPr/>
        <w:tc>
          <w:tcPr>
            <w:tcW w:w="408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Basic and diluted</w:t>
            </w:r>
          </w:p>
        </w:tc>
        <w:tc>
          <w:tcPr>
            <w:tcW w:w="14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25,512,057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24,379,549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25,491,654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23,685,766</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consolidated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SARCOS TECHNOLOGY AND ROBOTICS CORPORATION</w:t>
      </w:r>
    </w:p>
    <w:p>
      <w:pPr>
        <w:pStyle w:val="TextBody"/>
        <w:bidi w:val="0"/>
        <w:spacing w:before="0" w:after="0"/>
        <w:jc w:val="center"/>
        <w:rPr>
          <w:rFonts w:ascii="Times New Roman" w:hAnsi="Times New Roman"/>
          <w:sz w:val="20"/>
        </w:rPr>
      </w:pPr>
      <w:bookmarkStart w:id="6" w:name="condensed_consolidated_statements_of_oci"/>
      <w:bookmarkEnd w:id="6"/>
      <w:r>
        <w:rPr>
          <w:rFonts w:ascii="Times New Roman;serif" w:hAnsi="Times New Roman;serif"/>
          <w:b/>
          <w:sz w:val="20"/>
        </w:rPr>
        <w:t>CONDENSED CONSOLIDATED</w:t>
      </w:r>
      <w:r>
        <w:rPr>
          <w:rFonts w:ascii="Times New Roman" w:hAnsi="Times New Roman"/>
          <w:sz w:val="20"/>
        </w:rPr>
        <w:t xml:space="preserve"> </w:t>
      </w:r>
      <w:r>
        <w:rPr>
          <w:rFonts w:ascii="Times New Roman;serif" w:hAnsi="Times New Roman;serif"/>
          <w:b/>
          <w:sz w:val="20"/>
        </w:rPr>
        <w:t>STATEMENTS OF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in thousands</w:t>
      </w:r>
      <w:r>
        <w:rPr>
          <w:rFonts w:ascii="Times New Roman;serif" w:hAnsi="Times New Roman;serif"/>
          <w:b w:val="false"/>
          <w:sz w:val="20"/>
        </w:rPr>
        <w: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523"/>
        <w:gridCol w:w="146"/>
        <w:gridCol w:w="233"/>
        <w:gridCol w:w="788"/>
        <w:gridCol w:w="197"/>
        <w:gridCol w:w="173"/>
        <w:gridCol w:w="233"/>
        <w:gridCol w:w="788"/>
        <w:gridCol w:w="166"/>
        <w:gridCol w:w="146"/>
        <w:gridCol w:w="214"/>
        <w:gridCol w:w="724"/>
        <w:gridCol w:w="181"/>
        <w:gridCol w:w="159"/>
        <w:gridCol w:w="214"/>
        <w:gridCol w:w="724"/>
        <w:gridCol w:w="596"/>
      </w:tblGrid>
      <w:tr>
        <w:trPr/>
        <w:tc>
          <w:tcPr>
            <w:tcW w:w="4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523" w:type="dxa"/>
            <w:tcBorders/>
            <w:vAlign w:val="center"/>
          </w:tcPr>
          <w:p>
            <w:pPr>
              <w:pStyle w:val="TableContents"/>
              <w:bidi w:val="0"/>
              <w:spacing w:before="0" w:after="0"/>
              <w:ind w:left="0" w:right="0" w:hanging="0"/>
              <w:jc w:val="center"/>
              <w:rPr>
                <w:rFonts w:cs="Times New Roman;serif"/>
                <w:bCs/>
                <w:szCs w:val="18"/>
              </w:rPr>
            </w:pPr>
            <w:r>
              <w:rPr>
                <w:rFonts w:cs="Times New Roman;serif"/>
                <w:bCs/>
                <w:szCs w:val="18"/>
              </w:rPr>
              <w:t>﻿</w:t>
            </w:r>
          </w:p>
        </w:tc>
        <w:tc>
          <w:tcPr>
            <w:tcW w:w="146" w:type="dxa"/>
            <w:tcBorders/>
            <w:vAlign w:val="center"/>
          </w:tcPr>
          <w:p>
            <w:pPr>
              <w:pStyle w:val="TableContents"/>
              <w:bidi w:val="0"/>
              <w:spacing w:before="0" w:after="0"/>
              <w:ind w:left="0" w:right="0" w:hanging="0"/>
              <w:jc w:val="center"/>
              <w:rPr>
                <w:rFonts w:cs="Times New Roman;serif"/>
                <w:bCs/>
                <w:szCs w:val="18"/>
              </w:rPr>
            </w:pPr>
            <w:r>
              <w:rPr>
                <w:rFonts w:cs="Times New Roman;serif"/>
                <w:bCs/>
                <w:szCs w:val="18"/>
              </w:rPr>
              <w:t>﻿</w:t>
            </w:r>
          </w:p>
        </w:tc>
        <w:tc>
          <w:tcPr>
            <w:tcW w:w="241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2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 w:type="dxa"/>
            <w:tcBorders/>
            <w:vAlign w:val="center"/>
          </w:tcPr>
          <w:p>
            <w:pPr>
              <w:pStyle w:val="TableContents"/>
              <w:bidi w:val="0"/>
              <w:spacing w:before="0" w:after="0"/>
              <w:ind w:left="0" w:right="0" w:hanging="0"/>
              <w:jc w:val="center"/>
              <w:rPr/>
            </w:pPr>
            <w:r>
              <w:rPr/>
              <w:t> </w:t>
            </w:r>
          </w:p>
        </w:tc>
        <w:tc>
          <w:tcPr>
            <w:tcW w:w="9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2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(28,660</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7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(50,136</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9"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(42,320</w:t>
            </w:r>
          </w:p>
        </w:tc>
        <w:tc>
          <w:tcPr>
            <w:tcW w:w="5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452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 income:</w:t>
            </w:r>
          </w:p>
        </w:tc>
        <w:tc>
          <w:tcPr>
            <w:tcW w:w="146" w:type="dxa"/>
            <w:tcBorders/>
            <w:vAlign w:val="center"/>
          </w:tcPr>
          <w:p>
            <w:pPr>
              <w:pStyle w:val="TableContents"/>
              <w:bidi w:val="0"/>
              <w:spacing w:before="0" w:after="0"/>
              <w:ind w:left="0" w:right="0" w:hanging="0"/>
              <w:jc w:val="right"/>
              <w:rPr/>
            </w:pPr>
            <w:r>
              <w:rPr/>
              <w:t>​</w:t>
            </w:r>
          </w:p>
        </w:tc>
        <w:tc>
          <w:tcPr>
            <w:tcW w:w="1021" w:type="dxa"/>
            <w:gridSpan w:val="2"/>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38" w:type="dxa"/>
            <w:gridSpan w:val="2"/>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159" w:type="dxa"/>
            <w:tcBorders/>
            <w:vAlign w:val="center"/>
          </w:tcPr>
          <w:p>
            <w:pPr>
              <w:pStyle w:val="TableContents"/>
              <w:bidi w:val="0"/>
              <w:spacing w:before="0" w:after="0"/>
              <w:ind w:left="0" w:right="0" w:hanging="0"/>
              <w:jc w:val="left"/>
              <w:rPr/>
            </w:pPr>
            <w:r>
              <w:rPr/>
              <w:t> </w:t>
            </w:r>
          </w:p>
        </w:tc>
        <w:tc>
          <w:tcPr>
            <w:tcW w:w="938" w:type="dxa"/>
            <w:gridSpan w:val="2"/>
            <w:tcBorders/>
            <w:vAlign w:val="center"/>
          </w:tcPr>
          <w:p>
            <w:pPr>
              <w:pStyle w:val="TableContents"/>
              <w:bidi w:val="0"/>
              <w:spacing w:before="0" w:after="0"/>
              <w:ind w:left="0" w:right="0" w:hanging="0"/>
              <w:jc w:val="right"/>
              <w:rPr/>
            </w:pPr>
            <w:r>
              <w:rPr/>
              <w:t> </w:t>
            </w:r>
          </w:p>
        </w:tc>
        <w:tc>
          <w:tcPr>
            <w:tcW w:w="596" w:type="dxa"/>
            <w:tcBorders/>
            <w:vAlign w:val="center"/>
          </w:tcPr>
          <w:p>
            <w:pPr>
              <w:pStyle w:val="TableContents"/>
              <w:bidi w:val="0"/>
              <w:spacing w:before="0" w:after="0"/>
              <w:ind w:left="0" w:right="0" w:firstLine="300"/>
              <w:jc w:val="right"/>
              <w:rPr/>
            </w:pPr>
            <w:r>
              <w:rPr/>
              <w:t> </w:t>
            </w:r>
          </w:p>
        </w:tc>
      </w:tr>
      <w:tr>
        <w:trPr/>
        <w:tc>
          <w:tcPr>
            <w:tcW w:w="4523" w:type="dxa"/>
            <w:tcBorders/>
            <w:vAlign w:val="center"/>
          </w:tcPr>
          <w:p>
            <w:pPr>
              <w:pStyle w:val="TableContents"/>
              <w:bidi w:val="0"/>
              <w:spacing w:before="0" w:after="0"/>
              <w:ind w:left="300" w:right="0" w:hanging="0"/>
              <w:jc w:val="left"/>
              <w:rPr>
                <w:rFonts w:ascii="Times New Roman;serif" w:hAnsi="Times New Roman;serif"/>
                <w:b w:val="false"/>
                <w:sz w:val="18"/>
              </w:rPr>
            </w:pPr>
            <w:r>
              <w:rPr>
                <w:rFonts w:ascii="Times New Roman;serif" w:hAnsi="Times New Roman;serif"/>
                <w:b w:val="false"/>
                <w:sz w:val="18"/>
              </w:rPr>
              <w:t>Change in unrealized (loss) gain on available-for-sale investments</w:t>
            </w:r>
          </w:p>
        </w:tc>
        <w:tc>
          <w:tcPr>
            <w:tcW w:w="146"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7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81"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596" w:type="dxa"/>
            <w:tcBorders/>
            <w:vAlign w:val="center"/>
          </w:tcPr>
          <w:p>
            <w:pPr>
              <w:pStyle w:val="TableContents"/>
              <w:bidi w:val="0"/>
              <w:spacing w:before="0" w:after="0"/>
              <w:ind w:left="0" w:right="0" w:firstLine="400"/>
              <w:jc w:val="left"/>
              <w:rPr/>
            </w:pPr>
            <w:r>
              <w:rPr/>
              <w:t> </w:t>
            </w:r>
          </w:p>
        </w:tc>
      </w:tr>
      <w:tr>
        <w:trPr/>
        <w:tc>
          <w:tcPr>
            <w:tcW w:w="4523"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other comprehensive (loss) income</w:t>
            </w:r>
          </w:p>
        </w:tc>
        <w:tc>
          <w:tcPr>
            <w:tcW w:w="146" w:type="dxa"/>
            <w:tcBorders/>
            <w:vAlign w:val="center"/>
          </w:tcPr>
          <w:p>
            <w:pPr>
              <w:pStyle w:val="TableContents"/>
              <w:bidi w:val="0"/>
              <w:spacing w:before="0" w:after="0"/>
              <w:ind w:left="0" w:right="0" w:hanging="0"/>
              <w:jc w:val="right"/>
              <w:rPr/>
            </w:pPr>
            <w:r>
              <w:rPr/>
              <w:t> </w:t>
            </w:r>
          </w:p>
        </w:tc>
        <w:tc>
          <w:tcPr>
            <w:tcW w:w="23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19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73" w:type="dxa"/>
            <w:tcBorders/>
            <w:vAlign w:val="center"/>
          </w:tcPr>
          <w:p>
            <w:pPr>
              <w:pStyle w:val="TableContents"/>
              <w:bidi w:val="0"/>
              <w:spacing w:before="0" w:after="0"/>
              <w:ind w:left="0" w:right="0" w:hanging="0"/>
              <w:jc w:val="left"/>
              <w:rPr/>
            </w:pPr>
            <w:r>
              <w:rPr/>
              <w:t> </w:t>
            </w:r>
          </w:p>
        </w:tc>
        <w:tc>
          <w:tcPr>
            <w:tcW w:w="23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2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1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2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5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52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Comprehensive loss</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(28,714</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73"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(50,131</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9"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(42,320</w:t>
            </w:r>
          </w:p>
        </w:tc>
        <w:tc>
          <w:tcPr>
            <w:tcW w:w="5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SARCOS TECHNOLOGY AND ROBOTICS CORPORATION</w:t>
      </w:r>
    </w:p>
    <w:p>
      <w:pPr>
        <w:pStyle w:val="TextBody"/>
        <w:bidi w:val="0"/>
        <w:spacing w:before="0" w:after="0"/>
        <w:jc w:val="center"/>
        <w:rPr>
          <w:rFonts w:ascii="Times New Roman;serif" w:hAnsi="Times New Roman;serif"/>
          <w:b/>
          <w:sz w:val="20"/>
        </w:rPr>
      </w:pPr>
      <w:bookmarkStart w:id="7" w:name="consolidated_statements_of_stockholders"/>
      <w:bookmarkEnd w:id="7"/>
      <w:r>
        <w:rPr>
          <w:rFonts w:ascii="Times New Roman;serif" w:hAnsi="Times New Roman;serif"/>
          <w:b/>
          <w:sz w:val="20"/>
        </w:rPr>
        <w:t>CONDENSED CONSOLIDATED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702"/>
        <w:gridCol w:w="146"/>
        <w:gridCol w:w="916"/>
        <w:gridCol w:w="166"/>
        <w:gridCol w:w="271"/>
        <w:gridCol w:w="480"/>
        <w:gridCol w:w="146"/>
        <w:gridCol w:w="205"/>
        <w:gridCol w:w="726"/>
        <w:gridCol w:w="166"/>
        <w:gridCol w:w="585"/>
        <w:gridCol w:w="817"/>
        <w:gridCol w:w="146"/>
        <w:gridCol w:w="233"/>
        <w:gridCol w:w="893"/>
        <w:gridCol w:w="166"/>
        <w:gridCol w:w="249"/>
        <w:gridCol w:w="880"/>
        <w:gridCol w:w="312"/>
      </w:tblGrid>
      <w:tr>
        <w:trPr/>
        <w:tc>
          <w:tcPr>
            <w:tcW w:w="2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702"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129" w:type="dxa"/>
            <w:gridSpan w:val="2"/>
            <w:tcBorders/>
            <w:vAlign w:val="center"/>
          </w:tcPr>
          <w:p>
            <w:pPr>
              <w:pStyle w:val="TableContents"/>
              <w:bidi w:val="0"/>
              <w:spacing w:before="0" w:after="0"/>
              <w:ind w:left="0" w:right="0" w:hanging="0"/>
              <w:jc w:val="right"/>
              <w:rPr/>
            </w:pPr>
            <w:r>
              <w:rPr/>
              <w:t> </w:t>
            </w:r>
          </w:p>
        </w:tc>
        <w:tc>
          <w:tcPr>
            <w:tcW w:w="312" w:type="dxa"/>
            <w:tcBorders/>
            <w:vAlign w:val="center"/>
          </w:tcPr>
          <w:p>
            <w:pPr>
              <w:pStyle w:val="TableContents"/>
              <w:bidi w:val="0"/>
              <w:spacing w:before="0" w:after="0"/>
              <w:ind w:left="0" w:right="0" w:hanging="0"/>
              <w:jc w:val="right"/>
              <w:rPr/>
            </w:pPr>
            <w:r>
              <w:rPr/>
              <w:t> </w:t>
            </w:r>
          </w:p>
        </w:tc>
      </w:tr>
      <w:tr>
        <w:trPr/>
        <w:tc>
          <w:tcPr>
            <w:tcW w:w="2702" w:type="dxa"/>
            <w:tcBorders/>
            <w:vAlign w:val="center"/>
          </w:tcPr>
          <w:p>
            <w:pPr>
              <w:pStyle w:val="TableContents"/>
              <w:bidi w:val="0"/>
              <w:spacing w:before="0" w:after="283"/>
              <w:ind w:left="0" w:right="0" w:hanging="0"/>
              <w:jc w:val="left"/>
              <w:rPr>
                <w:sz w:val="4"/>
                <w:szCs w:val="4"/>
              </w:rPr>
            </w:pPr>
            <w:r>
              <w:rPr>
                <w:sz w:val="4"/>
                <w:szCs w:val="4"/>
              </w:rPr>
            </w:r>
          </w:p>
        </w:tc>
        <w:tc>
          <w:tcPr>
            <w:tcW w:w="197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r>
          </w:p>
        </w:tc>
        <w:tc>
          <w:tcPr>
            <w:tcW w:w="166" w:type="dxa"/>
            <w:tcBorders/>
            <w:vAlign w:val="center"/>
          </w:tcPr>
          <w:p>
            <w:pPr>
              <w:pStyle w:val="TableContents"/>
              <w:bidi w:val="0"/>
              <w:spacing w:before="0" w:after="0"/>
              <w:ind w:left="0" w:right="0" w:hanging="0"/>
              <w:jc w:val="center"/>
              <w:rPr/>
            </w:pPr>
            <w:r>
              <w:rPr/>
              <w:t> </w:t>
            </w:r>
          </w:p>
        </w:tc>
        <w:tc>
          <w:tcPr>
            <w:tcW w:w="1402"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 Other</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129"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312" w:type="dxa"/>
            <w:tcBorders/>
            <w:vAlign w:val="center"/>
          </w:tcPr>
          <w:p>
            <w:pPr>
              <w:pStyle w:val="TableContents"/>
              <w:bidi w:val="0"/>
              <w:spacing w:before="0" w:after="0"/>
              <w:ind w:left="0" w:right="0" w:hanging="0"/>
              <w:jc w:val="center"/>
              <w:rPr/>
            </w:pPr>
            <w:r>
              <w:rPr/>
              <w:t> </w:t>
            </w:r>
          </w:p>
        </w:tc>
      </w:tr>
      <w:tr>
        <w:trPr/>
        <w:tc>
          <w:tcPr>
            <w:tcW w:w="2702" w:type="dxa"/>
            <w:tcBorders/>
            <w:vAlign w:val="center"/>
          </w:tcPr>
          <w:p>
            <w:pPr>
              <w:pStyle w:val="TableContents"/>
              <w:bidi w:val="0"/>
              <w:spacing w:before="0" w:after="283"/>
              <w:ind w:left="0" w:right="0" w:hanging="0"/>
              <w:jc w:val="left"/>
              <w:rPr>
                <w:sz w:val="4"/>
                <w:szCs w:val="4"/>
              </w:rPr>
            </w:pPr>
            <w:r>
              <w:rPr>
                <w:sz w:val="4"/>
                <w:szCs w:val="4"/>
              </w:rPr>
            </w:r>
          </w:p>
        </w:tc>
        <w:tc>
          <w:tcPr>
            <w:tcW w:w="197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Class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Paid-In</w:t>
            </w:r>
          </w:p>
        </w:tc>
        <w:tc>
          <w:tcPr>
            <w:tcW w:w="166" w:type="dxa"/>
            <w:tcBorders/>
            <w:vAlign w:val="center"/>
          </w:tcPr>
          <w:p>
            <w:pPr>
              <w:pStyle w:val="TableContents"/>
              <w:bidi w:val="0"/>
              <w:spacing w:before="0" w:after="0"/>
              <w:ind w:left="0" w:right="0" w:hanging="0"/>
              <w:jc w:val="center"/>
              <w:rPr/>
            </w:pPr>
            <w:r>
              <w:rPr/>
              <w:t> </w:t>
            </w:r>
          </w:p>
        </w:tc>
        <w:tc>
          <w:tcPr>
            <w:tcW w:w="1402"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Comprehensive</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vAlign w:val="center"/>
          </w:tcPr>
          <w:p>
            <w:pPr>
              <w:pStyle w:val="TableContents"/>
              <w:bidi w:val="0"/>
              <w:spacing w:before="0" w:after="0"/>
              <w:ind w:left="0" w:right="0" w:hanging="0"/>
              <w:jc w:val="center"/>
              <w:rPr/>
            </w:pPr>
            <w:r>
              <w:rPr/>
              <w:t> </w:t>
            </w:r>
          </w:p>
        </w:tc>
        <w:tc>
          <w:tcPr>
            <w:tcW w:w="1129"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Stockholders’</w:t>
            </w:r>
          </w:p>
        </w:tc>
        <w:tc>
          <w:tcPr>
            <w:tcW w:w="312" w:type="dxa"/>
            <w:tcBorders/>
            <w:vAlign w:val="center"/>
          </w:tcPr>
          <w:p>
            <w:pPr>
              <w:pStyle w:val="TableContents"/>
              <w:bidi w:val="0"/>
              <w:spacing w:before="0" w:after="0"/>
              <w:ind w:left="0" w:right="0" w:hanging="0"/>
              <w:jc w:val="center"/>
              <w:rPr/>
            </w:pPr>
            <w:r>
              <w:rPr/>
              <w:t> </w:t>
            </w:r>
          </w:p>
        </w:tc>
      </w:tr>
      <w:tr>
        <w:trPr/>
        <w:tc>
          <w:tcPr>
            <w:tcW w:w="2702" w:type="dxa"/>
            <w:tcBorders/>
            <w:vAlign w:val="center"/>
          </w:tcPr>
          <w:p>
            <w:pPr>
              <w:pStyle w:val="TableContents"/>
              <w:bidi w:val="0"/>
              <w:spacing w:before="0" w:after="283"/>
              <w:ind w:left="0" w:right="0" w:hanging="0"/>
              <w:jc w:val="left"/>
              <w:rPr>
                <w:sz w:val="4"/>
                <w:szCs w:val="4"/>
              </w:rPr>
            </w:pPr>
            <w:r>
              <w:rPr>
                <w:sz w:val="4"/>
                <w:szCs w:val="4"/>
              </w:rPr>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22,953,510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359,451</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(145,491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213,962</w:t>
            </w:r>
          </w:p>
        </w:tc>
        <w:tc>
          <w:tcPr>
            <w:tcW w:w="312" w:type="dxa"/>
            <w:tcBorders/>
            <w:vAlign w:val="center"/>
          </w:tcPr>
          <w:p>
            <w:pPr>
              <w:pStyle w:val="TableContents"/>
              <w:bidi w:val="0"/>
              <w:spacing w:before="0" w:after="0"/>
              <w:ind w:left="0" w:right="0" w:firstLine="100"/>
              <w:jc w:val="left"/>
              <w:rPr/>
            </w:pPr>
            <w:r>
              <w:rPr/>
              <w:t> </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10,850</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10,850</w:t>
            </w:r>
          </w:p>
        </w:tc>
        <w:tc>
          <w:tcPr>
            <w:tcW w:w="312" w:type="dxa"/>
            <w:tcBorders/>
            <w:vAlign w:val="center"/>
          </w:tcPr>
          <w:p>
            <w:pPr>
              <w:pStyle w:val="TableContents"/>
              <w:bidi w:val="0"/>
              <w:spacing w:before="0" w:after="0"/>
              <w:ind w:left="0" w:right="0" w:firstLine="100"/>
              <w:jc w:val="left"/>
              <w:rPr/>
            </w:pPr>
            <w:r>
              <w:rPr/>
              <w:t> </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Common stock issued upon vesting of restricted stock awards and restricted stock units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335,649</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312" w:type="dxa"/>
            <w:tcBorders/>
            <w:vAlign w:val="center"/>
          </w:tcPr>
          <w:p>
            <w:pPr>
              <w:pStyle w:val="TableContents"/>
              <w:bidi w:val="0"/>
              <w:spacing w:before="0" w:after="0"/>
              <w:ind w:left="0" w:right="0" w:firstLine="100"/>
              <w:jc w:val="left"/>
              <w:rPr/>
            </w:pPr>
            <w:r>
              <w:rPr/>
              <w:t> </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repurchased for payment of tax withholdings and other</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(132,315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5"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(5,250</w:t>
            </w:r>
          </w:p>
        </w:tc>
        <w:tc>
          <w:tcPr>
            <w:tcW w:w="312"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Exercise of stock options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13,930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312" w:type="dxa"/>
            <w:tcBorders/>
            <w:vAlign w:val="center"/>
          </w:tcPr>
          <w:p>
            <w:pPr>
              <w:pStyle w:val="TableContents"/>
              <w:bidi w:val="0"/>
              <w:spacing w:before="0" w:after="0"/>
              <w:ind w:left="0" w:right="0" w:firstLine="100"/>
              <w:jc w:val="left"/>
              <w:rPr/>
            </w:pPr>
            <w:r>
              <w:rPr/>
              <w:t> </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(19,202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(19,202</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March 31,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23,170,774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365,116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(164,693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200,425</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10,270</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10,270</w:t>
            </w:r>
          </w:p>
        </w:tc>
        <w:tc>
          <w:tcPr>
            <w:tcW w:w="312" w:type="dxa"/>
            <w:tcBorders/>
            <w:vAlign w:val="center"/>
          </w:tcPr>
          <w:p>
            <w:pPr>
              <w:pStyle w:val="TableContents"/>
              <w:bidi w:val="0"/>
              <w:spacing w:before="0" w:after="0"/>
              <w:ind w:left="0" w:right="0" w:firstLine="100"/>
              <w:jc w:val="left"/>
              <w:rPr/>
            </w:pPr>
            <w:r>
              <w:rPr/>
              <w:t> </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Common stock issued upon vesting of restricted stock awards and restricted stock units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233,811</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pPr>
            <w:r>
              <w:rPr/>
              <w:t>—</w:t>
            </w:r>
          </w:p>
        </w:tc>
        <w:tc>
          <w:tcPr>
            <w:tcW w:w="312" w:type="dxa"/>
            <w:tcBorders/>
            <w:vAlign w:val="center"/>
          </w:tcPr>
          <w:p>
            <w:pPr>
              <w:pStyle w:val="TableContents"/>
              <w:bidi w:val="0"/>
              <w:spacing w:before="0" w:after="0"/>
              <w:ind w:left="0" w:right="0" w:firstLine="100"/>
              <w:jc w:val="left"/>
              <w:rPr/>
            </w:pPr>
            <w:r>
              <w:rPr/>
              <w:t> </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repurchased for payment of tax withholdings and other</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(77,397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5"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(1,342</w:t>
            </w:r>
          </w:p>
        </w:tc>
        <w:tc>
          <w:tcPr>
            <w:tcW w:w="312"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Exercise of stock options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248,734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486</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486</w:t>
            </w:r>
          </w:p>
        </w:tc>
        <w:tc>
          <w:tcPr>
            <w:tcW w:w="312" w:type="dxa"/>
            <w:tcBorders/>
            <w:vAlign w:val="center"/>
          </w:tcPr>
          <w:p>
            <w:pPr>
              <w:pStyle w:val="TableContents"/>
              <w:bidi w:val="0"/>
              <w:spacing w:before="0" w:after="0"/>
              <w:ind w:left="0" w:right="0" w:firstLine="100"/>
              <w:jc w:val="left"/>
              <w:rPr/>
            </w:pPr>
            <w:r>
              <w:rPr/>
              <w:t> </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Common stock and assumed equity awards in connection with a business acquisition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1,795,446</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59,556</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59,556</w:t>
            </w:r>
          </w:p>
        </w:tc>
        <w:tc>
          <w:tcPr>
            <w:tcW w:w="312" w:type="dxa"/>
            <w:tcBorders/>
            <w:vAlign w:val="center"/>
          </w:tcPr>
          <w:p>
            <w:pPr>
              <w:pStyle w:val="TableContents"/>
              <w:bidi w:val="0"/>
              <w:spacing w:before="0" w:after="0"/>
              <w:ind w:left="0" w:right="0" w:firstLine="100"/>
              <w:jc w:val="left"/>
              <w:rPr/>
            </w:pPr>
            <w:r>
              <w:rPr/>
              <w:t> </w:t>
            </w:r>
          </w:p>
        </w:tc>
      </w:tr>
      <w:tr>
        <w:trPr/>
        <w:tc>
          <w:tcPr>
            <w:tcW w:w="2702"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(23,118</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0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June 30,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25,371,368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434,086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(187,811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246,277</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687"/>
        <w:gridCol w:w="146"/>
        <w:gridCol w:w="916"/>
        <w:gridCol w:w="166"/>
        <w:gridCol w:w="271"/>
        <w:gridCol w:w="480"/>
        <w:gridCol w:w="146"/>
        <w:gridCol w:w="205"/>
        <w:gridCol w:w="726"/>
        <w:gridCol w:w="166"/>
        <w:gridCol w:w="585"/>
        <w:gridCol w:w="812"/>
        <w:gridCol w:w="166"/>
        <w:gridCol w:w="233"/>
        <w:gridCol w:w="893"/>
        <w:gridCol w:w="166"/>
        <w:gridCol w:w="248"/>
        <w:gridCol w:w="879"/>
        <w:gridCol w:w="314"/>
      </w:tblGrid>
      <w:tr>
        <w:trPr/>
        <w:tc>
          <w:tcPr>
            <w:tcW w:w="2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687"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75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39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314" w:type="dxa"/>
            <w:tcBorders/>
            <w:vAlign w:val="center"/>
          </w:tcPr>
          <w:p>
            <w:pPr>
              <w:pStyle w:val="TableContents"/>
              <w:bidi w:val="0"/>
              <w:spacing w:before="0" w:after="0"/>
              <w:ind w:left="0" w:right="0" w:hanging="0"/>
              <w:jc w:val="right"/>
              <w:rPr/>
            </w:pPr>
            <w:r>
              <w:rPr/>
              <w:t> </w:t>
            </w:r>
          </w:p>
        </w:tc>
      </w:tr>
      <w:tr>
        <w:trPr/>
        <w:tc>
          <w:tcPr>
            <w:tcW w:w="2687" w:type="dxa"/>
            <w:tcBorders/>
            <w:vAlign w:val="center"/>
          </w:tcPr>
          <w:p>
            <w:pPr>
              <w:pStyle w:val="TableContents"/>
              <w:bidi w:val="0"/>
              <w:spacing w:before="0" w:after="283"/>
              <w:ind w:left="0" w:right="0" w:hanging="0"/>
              <w:jc w:val="left"/>
              <w:rPr>
                <w:sz w:val="4"/>
                <w:szCs w:val="4"/>
              </w:rPr>
            </w:pPr>
            <w:r>
              <w:rPr>
                <w:sz w:val="4"/>
                <w:szCs w:val="4"/>
              </w:rPr>
            </w:r>
          </w:p>
        </w:tc>
        <w:tc>
          <w:tcPr>
            <w:tcW w:w="197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w:t>
            </w:r>
          </w:p>
        </w:tc>
        <w:tc>
          <w:tcPr>
            <w:tcW w:w="166" w:type="dxa"/>
            <w:tcBorders/>
            <w:vAlign w:val="center"/>
          </w:tcPr>
          <w:p>
            <w:pPr>
              <w:pStyle w:val="TableContents"/>
              <w:bidi w:val="0"/>
              <w:spacing w:before="0" w:after="0"/>
              <w:ind w:left="0" w:right="0" w:hanging="0"/>
              <w:jc w:val="center"/>
              <w:rPr/>
            </w:pPr>
            <w:r>
              <w:rPr/>
              <w:t> </w:t>
            </w:r>
          </w:p>
        </w:tc>
        <w:tc>
          <w:tcPr>
            <w:tcW w:w="139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 Other</w:t>
            </w:r>
          </w:p>
        </w:tc>
        <w:tc>
          <w:tcPr>
            <w:tcW w:w="16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12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314" w:type="dxa"/>
            <w:tcBorders/>
            <w:vAlign w:val="center"/>
          </w:tcPr>
          <w:p>
            <w:pPr>
              <w:pStyle w:val="TableContents"/>
              <w:bidi w:val="0"/>
              <w:spacing w:before="0" w:after="0"/>
              <w:ind w:left="0" w:right="0" w:hanging="0"/>
              <w:jc w:val="center"/>
              <w:rPr/>
            </w:pPr>
            <w:r>
              <w:rPr/>
              <w:t> </w:t>
            </w:r>
          </w:p>
        </w:tc>
      </w:tr>
      <w:tr>
        <w:trPr/>
        <w:tc>
          <w:tcPr>
            <w:tcW w:w="2687" w:type="dxa"/>
            <w:tcBorders/>
            <w:vAlign w:val="center"/>
          </w:tcPr>
          <w:p>
            <w:pPr>
              <w:pStyle w:val="TableContents"/>
              <w:bidi w:val="0"/>
              <w:spacing w:before="0" w:after="283"/>
              <w:ind w:left="0" w:right="0" w:hanging="0"/>
              <w:jc w:val="left"/>
              <w:rPr>
                <w:sz w:val="4"/>
                <w:szCs w:val="4"/>
              </w:rPr>
            </w:pPr>
            <w:r>
              <w:rPr>
                <w:sz w:val="4"/>
                <w:szCs w:val="4"/>
              </w:rPr>
            </w:r>
          </w:p>
        </w:tc>
        <w:tc>
          <w:tcPr>
            <w:tcW w:w="1979"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Class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Paid-In</w:t>
            </w:r>
          </w:p>
        </w:tc>
        <w:tc>
          <w:tcPr>
            <w:tcW w:w="166" w:type="dxa"/>
            <w:tcBorders/>
            <w:vAlign w:val="center"/>
          </w:tcPr>
          <w:p>
            <w:pPr>
              <w:pStyle w:val="TableContents"/>
              <w:bidi w:val="0"/>
              <w:spacing w:before="0" w:after="0"/>
              <w:ind w:left="0" w:right="0" w:hanging="0"/>
              <w:jc w:val="center"/>
              <w:rPr/>
            </w:pPr>
            <w:r>
              <w:rPr/>
              <w:t> </w:t>
            </w:r>
          </w:p>
        </w:tc>
        <w:tc>
          <w:tcPr>
            <w:tcW w:w="139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Comprehensive</w:t>
            </w:r>
          </w:p>
        </w:tc>
        <w:tc>
          <w:tcPr>
            <w:tcW w:w="16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vAlign w:val="center"/>
          </w:tcPr>
          <w:p>
            <w:pPr>
              <w:pStyle w:val="TableContents"/>
              <w:bidi w:val="0"/>
              <w:spacing w:before="0" w:after="0"/>
              <w:ind w:left="0" w:right="0" w:hanging="0"/>
              <w:jc w:val="center"/>
              <w:rPr/>
            </w:pPr>
            <w:r>
              <w:rPr/>
              <w:t> </w:t>
            </w:r>
          </w:p>
        </w:tc>
        <w:tc>
          <w:tcPr>
            <w:tcW w:w="112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Stockholders’</w:t>
            </w:r>
          </w:p>
        </w:tc>
        <w:tc>
          <w:tcPr>
            <w:tcW w:w="314" w:type="dxa"/>
            <w:tcBorders/>
            <w:vAlign w:val="center"/>
          </w:tcPr>
          <w:p>
            <w:pPr>
              <w:pStyle w:val="TableContents"/>
              <w:bidi w:val="0"/>
              <w:spacing w:before="0" w:after="0"/>
              <w:ind w:left="0" w:right="0" w:hanging="0"/>
              <w:jc w:val="center"/>
              <w:rPr/>
            </w:pPr>
            <w:r>
              <w:rPr/>
              <w:t> </w:t>
            </w:r>
          </w:p>
        </w:tc>
      </w:tr>
      <w:tr>
        <w:trPr/>
        <w:tc>
          <w:tcPr>
            <w:tcW w:w="2687" w:type="dxa"/>
            <w:tcBorders/>
            <w:vAlign w:val="center"/>
          </w:tcPr>
          <w:p>
            <w:pPr>
              <w:pStyle w:val="TableContents"/>
              <w:bidi w:val="0"/>
              <w:spacing w:before="0" w:after="283"/>
              <w:ind w:left="0" w:right="0" w:hanging="0"/>
              <w:jc w:val="left"/>
              <w:rPr>
                <w:sz w:val="4"/>
                <w:szCs w:val="4"/>
              </w:rPr>
            </w:pPr>
            <w:r>
              <w:rPr>
                <w:sz w:val="4"/>
                <w:szCs w:val="4"/>
              </w:rPr>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(Loss) 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25,708,519</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447,085</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(302,621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144,450</w:t>
            </w:r>
          </w:p>
        </w:tc>
        <w:tc>
          <w:tcPr>
            <w:tcW w:w="314" w:type="dxa"/>
            <w:tcBorders/>
            <w:vAlign w:val="center"/>
          </w:tcPr>
          <w:p>
            <w:pPr>
              <w:pStyle w:val="TableContents"/>
              <w:bidi w:val="0"/>
              <w:spacing w:before="0" w:after="0"/>
              <w:ind w:left="0" w:right="0" w:firstLine="100"/>
              <w:jc w:val="left"/>
              <w:rPr/>
            </w:pPr>
            <w:r>
              <w:rPr/>
              <w:t> </w:t>
            </w:r>
          </w:p>
        </w:tc>
      </w:tr>
      <w:tr>
        <w:trPr/>
        <w:tc>
          <w:tcPr>
            <w:tcW w:w="2687"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2,664</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2,664</w:t>
            </w:r>
          </w:p>
        </w:tc>
        <w:tc>
          <w:tcPr>
            <w:tcW w:w="314" w:type="dxa"/>
            <w:tcBorders/>
            <w:vAlign w:val="center"/>
          </w:tcPr>
          <w:p>
            <w:pPr>
              <w:pStyle w:val="TableContents"/>
              <w:bidi w:val="0"/>
              <w:spacing w:before="0" w:after="0"/>
              <w:ind w:left="0" w:right="0" w:firstLine="100"/>
              <w:jc w:val="left"/>
              <w:rPr/>
            </w:pPr>
            <w:r>
              <w:rPr/>
              <w:t> </w:t>
            </w:r>
          </w:p>
        </w:tc>
      </w:tr>
      <w:tr>
        <w:trPr/>
        <w:tc>
          <w:tcPr>
            <w:tcW w:w="2687"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Common stock issued upon vesting of restricted stock awards and restricted stock units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7,204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firstLine="100"/>
              <w:jc w:val="left"/>
              <w:rPr/>
            </w:pPr>
            <w:r>
              <w:rPr/>
              <w:t> </w:t>
            </w:r>
          </w:p>
        </w:tc>
      </w:tr>
      <w:tr>
        <w:trPr/>
        <w:tc>
          <w:tcPr>
            <w:tcW w:w="2687"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repurchased for payment of tax withholdings and other</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314" w:type="dxa"/>
            <w:tcBorders/>
            <w:vAlign w:val="center"/>
          </w:tcPr>
          <w:p>
            <w:pPr>
              <w:pStyle w:val="TableContents"/>
              <w:bidi w:val="0"/>
              <w:spacing w:before="0" w:after="0"/>
              <w:ind w:left="0" w:right="0" w:firstLine="100"/>
              <w:jc w:val="left"/>
              <w:rPr/>
            </w:pPr>
            <w:r>
              <w:rPr/>
              <w:t> </w:t>
            </w:r>
          </w:p>
        </w:tc>
      </w:tr>
      <w:tr>
        <w:trPr/>
        <w:tc>
          <w:tcPr>
            <w:tcW w:w="2687"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Other comprehensive gain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16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314" w:type="dxa"/>
            <w:tcBorders/>
            <w:vAlign w:val="center"/>
          </w:tcPr>
          <w:p>
            <w:pPr>
              <w:pStyle w:val="TableContents"/>
              <w:bidi w:val="0"/>
              <w:spacing w:before="0" w:after="0"/>
              <w:ind w:left="0" w:right="0" w:firstLine="100"/>
              <w:jc w:val="left"/>
              <w:rPr/>
            </w:pPr>
            <w:r>
              <w:rPr/>
              <w:t> </w:t>
            </w:r>
          </w:p>
        </w:tc>
      </w:tr>
      <w:tr>
        <w:trPr/>
        <w:tc>
          <w:tcPr>
            <w:tcW w:w="2687"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(21,476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(21,476</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March 31,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25,713,553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449,784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(324,097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125,732</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687"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2,070</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2,070</w:t>
            </w:r>
          </w:p>
        </w:tc>
        <w:tc>
          <w:tcPr>
            <w:tcW w:w="314" w:type="dxa"/>
            <w:tcBorders/>
            <w:vAlign w:val="center"/>
          </w:tcPr>
          <w:p>
            <w:pPr>
              <w:pStyle w:val="TableContents"/>
              <w:bidi w:val="0"/>
              <w:spacing w:before="0" w:after="0"/>
              <w:ind w:left="0" w:right="0" w:firstLine="100"/>
              <w:jc w:val="left"/>
              <w:rPr/>
            </w:pPr>
            <w:r>
              <w:rPr/>
              <w:t> </w:t>
            </w:r>
          </w:p>
        </w:tc>
      </w:tr>
      <w:tr>
        <w:trPr/>
        <w:tc>
          <w:tcPr>
            <w:tcW w:w="2687"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Common stock issued upon vesting of restricted stock awards and restricted stock units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151,327</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firstLine="100"/>
              <w:jc w:val="left"/>
              <w:rPr/>
            </w:pPr>
            <w:r>
              <w:rPr/>
              <w:t> </w:t>
            </w:r>
          </w:p>
        </w:tc>
      </w:tr>
      <w:tr>
        <w:trPr/>
        <w:tc>
          <w:tcPr>
            <w:tcW w:w="2687"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Shares repurchased for payment of tax withholdings and other</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(22,991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5"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314"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2687"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314"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r>
      <w:tr>
        <w:trPr/>
        <w:tc>
          <w:tcPr>
            <w:tcW w:w="2687" w:type="dxa"/>
            <w:tcBorders/>
            <w:vAlign w:val="center"/>
          </w:tcPr>
          <w:p>
            <w:pPr>
              <w:pStyle w:val="TableContents"/>
              <w:bidi w:val="0"/>
              <w:spacing w:before="0" w:after="0"/>
              <w:ind w:left="1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(28,660</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at 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25,841,889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451,815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(352,757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99,049</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SARCOS TECHNOLOGY AND ROBOTICS CORPORATION</w:t>
      </w:r>
    </w:p>
    <w:p>
      <w:pPr>
        <w:pStyle w:val="TextBody"/>
        <w:bidi w:val="0"/>
        <w:spacing w:before="0" w:after="0"/>
        <w:jc w:val="center"/>
        <w:rPr>
          <w:rFonts w:ascii="Times New Roman;serif" w:hAnsi="Times New Roman;serif"/>
          <w:b/>
          <w:sz w:val="18"/>
        </w:rPr>
      </w:pPr>
      <w:bookmarkStart w:id="8" w:name="consolidated_statements_of_cash_flows"/>
      <w:bookmarkEnd w:id="8"/>
      <w:r>
        <w:rPr>
          <w:rFonts w:ascii="Times New Roman;serif" w:hAnsi="Times New Roman;serif"/>
          <w:b/>
          <w:sz w:val="18"/>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bidi w:val="0"/>
        <w:spacing w:before="0" w:after="0"/>
        <w:jc w:val="left"/>
        <w:rPr/>
      </w:pPr>
      <w:r>
        <w:rPr/>
        <w:t> </w:t>
      </w:r>
    </w:p>
    <w:tbl>
      <w:tblPr>
        <w:tblW w:w="8927" w:type="dxa"/>
        <w:jc w:val="left"/>
        <w:tblInd w:w="0" w:type="dxa"/>
        <w:tblLayout w:type="fixed"/>
        <w:tblCellMar>
          <w:top w:w="28" w:type="dxa"/>
          <w:left w:w="28" w:type="dxa"/>
          <w:bottom w:w="28" w:type="dxa"/>
          <w:right w:w="28" w:type="dxa"/>
        </w:tblCellMar>
      </w:tblPr>
      <w:tblGrid>
        <w:gridCol w:w="6136"/>
        <w:gridCol w:w="146"/>
        <w:gridCol w:w="207"/>
        <w:gridCol w:w="698"/>
        <w:gridCol w:w="175"/>
        <w:gridCol w:w="154"/>
        <w:gridCol w:w="207"/>
        <w:gridCol w:w="793"/>
        <w:gridCol w:w="41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2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 </w:t>
            </w:r>
          </w:p>
        </w:tc>
        <w:tc>
          <w:tcPr>
            <w:tcW w:w="10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05"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(50,136</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(42,320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05"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4,734</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21,120</w:t>
            </w:r>
          </w:p>
        </w:tc>
        <w:tc>
          <w:tcPr>
            <w:tcW w:w="411" w:type="dxa"/>
            <w:tcBorders/>
            <w:vAlign w:val="center"/>
          </w:tcPr>
          <w:p>
            <w:pPr>
              <w:pStyle w:val="TableContents"/>
              <w:bidi w:val="0"/>
              <w:spacing w:before="0" w:after="0"/>
              <w:ind w:left="0" w:right="0" w:firstLine="200"/>
              <w:jc w:val="lef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of property and equipment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843</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594</w:t>
            </w:r>
          </w:p>
        </w:tc>
        <w:tc>
          <w:tcPr>
            <w:tcW w:w="411" w:type="dxa"/>
            <w:tcBorders/>
            <w:vAlign w:val="center"/>
          </w:tcPr>
          <w:p>
            <w:pPr>
              <w:pStyle w:val="TableContents"/>
              <w:bidi w:val="0"/>
              <w:spacing w:before="0" w:after="0"/>
              <w:ind w:left="0" w:right="0" w:firstLine="200"/>
              <w:jc w:val="lef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Amortization of intangible assets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1,638</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574</w:t>
            </w:r>
          </w:p>
        </w:tc>
        <w:tc>
          <w:tcPr>
            <w:tcW w:w="411" w:type="dxa"/>
            <w:tcBorders/>
            <w:vAlign w:val="center"/>
          </w:tcPr>
          <w:p>
            <w:pPr>
              <w:pStyle w:val="TableContents"/>
              <w:bidi w:val="0"/>
              <w:spacing w:before="0" w:after="0"/>
              <w:ind w:left="0" w:right="0" w:firstLine="200"/>
              <w:jc w:val="lef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(10,527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Amortization of investment discount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(1,365</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Asset write-down and restructuring</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5,106</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05"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586</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463</w:t>
            </w:r>
          </w:p>
        </w:tc>
        <w:tc>
          <w:tcPr>
            <w:tcW w:w="411" w:type="dxa"/>
            <w:tcBorders/>
            <w:vAlign w:val="center"/>
          </w:tcPr>
          <w:p>
            <w:pPr>
              <w:pStyle w:val="TableContents"/>
              <w:bidi w:val="0"/>
              <w:spacing w:before="0" w:after="0"/>
              <w:ind w:left="0" w:right="0" w:firstLine="200"/>
              <w:jc w:val="lef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Unbilled receivable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2,634</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Inventories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(4,588</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1,420</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3,941</w:t>
            </w:r>
          </w:p>
        </w:tc>
        <w:tc>
          <w:tcPr>
            <w:tcW w:w="411" w:type="dxa"/>
            <w:tcBorders/>
            <w:vAlign w:val="center"/>
          </w:tcPr>
          <w:p>
            <w:pPr>
              <w:pStyle w:val="TableContents"/>
              <w:bidi w:val="0"/>
              <w:spacing w:before="0" w:after="0"/>
              <w:ind w:left="0" w:right="0" w:firstLine="200"/>
              <w:jc w:val="lef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non-current assets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615</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356</w:t>
            </w:r>
          </w:p>
        </w:tc>
        <w:tc>
          <w:tcPr>
            <w:tcW w:w="411" w:type="dxa"/>
            <w:tcBorders/>
            <w:vAlign w:val="center"/>
          </w:tcPr>
          <w:p>
            <w:pPr>
              <w:pStyle w:val="TableContents"/>
              <w:bidi w:val="0"/>
              <w:spacing w:before="0" w:after="0"/>
              <w:ind w:left="0" w:right="0" w:firstLine="200"/>
              <w:jc w:val="lef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1,005</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liabilities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(1,823</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1,242</w:t>
            </w:r>
          </w:p>
        </w:tc>
        <w:tc>
          <w:tcPr>
            <w:tcW w:w="411" w:type="dxa"/>
            <w:tcBorders/>
            <w:vAlign w:val="center"/>
          </w:tcPr>
          <w:p>
            <w:pPr>
              <w:pStyle w:val="TableContents"/>
              <w:bidi w:val="0"/>
              <w:spacing w:before="0" w:after="0"/>
              <w:ind w:left="0" w:right="0" w:firstLine="200"/>
              <w:jc w:val="lef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(651</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0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9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(39,985</w:t>
            </w:r>
          </w:p>
        </w:tc>
        <w:tc>
          <w:tcPr>
            <w:tcW w:w="17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9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(27,924</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05"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(673</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Acquisition of a business, net of cash acquired</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(29,687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Purchases of marketable securities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(48,872</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(79,507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Maturities of marketable securities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80,000</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30,455</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(109,884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05"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551</w:t>
            </w:r>
          </w:p>
        </w:tc>
        <w:tc>
          <w:tcPr>
            <w:tcW w:w="411" w:type="dxa"/>
            <w:tcBorders/>
            <w:vAlign w:val="center"/>
          </w:tcPr>
          <w:p>
            <w:pPr>
              <w:pStyle w:val="TableContents"/>
              <w:bidi w:val="0"/>
              <w:spacing w:before="0" w:after="0"/>
              <w:ind w:left="0" w:right="0" w:firstLine="200"/>
              <w:jc w:val="left"/>
              <w:rPr/>
            </w:pPr>
            <w:r>
              <w:rPr/>
              <w:t> </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Shares repurchased for payment of tax withholdings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(6,596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Payment of obligations under capital leases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0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9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17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9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(6,047</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decrease in cash, cash equivalents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(9,593</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(143,855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at beginning of period</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35,159</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217,114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at end of period</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25,566</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73,259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905"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paid for income taxes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Supplemental disclosure of non-cash activities:</w:t>
            </w:r>
          </w:p>
        </w:tc>
        <w:tc>
          <w:tcPr>
            <w:tcW w:w="146" w:type="dxa"/>
            <w:tcBorders/>
            <w:vAlign w:val="center"/>
          </w:tcPr>
          <w:p>
            <w:pPr>
              <w:pStyle w:val="TableContents"/>
              <w:bidi w:val="0"/>
              <w:spacing w:before="0" w:after="0"/>
              <w:ind w:left="0" w:right="0" w:hanging="0"/>
              <w:jc w:val="left"/>
              <w:rPr/>
            </w:pPr>
            <w:r>
              <w:rPr/>
              <w:t> </w:t>
            </w:r>
          </w:p>
        </w:tc>
        <w:tc>
          <w:tcPr>
            <w:tcW w:w="905"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Common stock and assumed equity awards in connection with a business acquisition</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8" w:type="dxa"/>
            <w:tcBorders/>
            <w:vAlign w:val="center"/>
          </w:tcPr>
          <w:p>
            <w:pPr>
              <w:pStyle w:val="TableContents"/>
              <w:bidi w:val="0"/>
              <w:spacing w:before="0" w:after="0"/>
              <w:ind w:left="0" w:right="0" w:hanging="0"/>
              <w:jc w:val="right"/>
              <w:rPr/>
            </w:pPr>
            <w:r>
              <w:rPr/>
              <w:t>—</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59,556</w:t>
            </w:r>
          </w:p>
        </w:tc>
        <w:tc>
          <w:tcPr>
            <w:tcW w:w="411" w:type="dxa"/>
            <w:tcBorders/>
            <w:vAlign w:val="center"/>
          </w:tcPr>
          <w:p>
            <w:pPr>
              <w:pStyle w:val="TableContents"/>
              <w:bidi w:val="0"/>
              <w:spacing w:before="0" w:after="0"/>
              <w:ind w:left="0" w:right="0" w:hanging="0"/>
              <w:jc w:val="left"/>
              <w:rPr/>
            </w:pPr>
            <w:r>
              <w:rPr/>
              <w:t> </w:t>
            </w:r>
          </w:p>
        </w:tc>
      </w:tr>
      <w:tr>
        <w:trPr/>
        <w:tc>
          <w:tcPr>
            <w:tcW w:w="61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Purchases of property and equipment included in accounts payable at period-end</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SARCOS TECHNOLOGY AND ROBOTICS CORPORTATION</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THE CONDENSED CONSOLIDATED FINANCIAL STATEMENTS</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260" w:after="0"/>
        <w:jc w:val="left"/>
        <w:rPr>
          <w:rFonts w:ascii="Times New Roman;serif" w:hAnsi="Times New Roman;serif"/>
          <w:b/>
          <w:sz w:val="20"/>
        </w:rPr>
      </w:pPr>
      <w:bookmarkStart w:id="9" w:name="note_1_basis_of_presentation"/>
      <w:bookmarkEnd w:id="9"/>
      <w:r>
        <w:rPr>
          <w:rFonts w:ascii="Times New Roman;serif" w:hAnsi="Times New Roman;serif"/>
          <w:b/>
          <w:sz w:val="20"/>
        </w:rPr>
        <w:t>1. Basis of Presentation and Summary of Significant Accounting Policies</w:t>
      </w:r>
    </w:p>
    <w:p>
      <w:pPr>
        <w:pStyle w:val="TextBody"/>
        <w:bidi w:val="0"/>
        <w:spacing w:before="0" w:after="0"/>
        <w:jc w:val="left"/>
        <w:rPr/>
      </w:pPr>
      <w:r>
        <w:rPr/>
        <w:t>​</w:t>
      </w:r>
    </w:p>
    <w:p>
      <w:pPr>
        <w:pStyle w:val="TextBody"/>
        <w:bidi w:val="0"/>
        <w:spacing w:before="0" w:after="0"/>
        <w:jc w:val="left"/>
        <w:rPr>
          <w:rFonts w:ascii="Times New Roman;serif" w:hAnsi="Times New Roman;serif"/>
          <w:b/>
          <w:sz w:val="20"/>
        </w:rPr>
      </w:pPr>
      <w:r>
        <w:rPr>
          <w:rFonts w:ascii="Times New Roman;serif" w:hAnsi="Times New Roman;serif"/>
          <w:b/>
          <w:sz w:val="20"/>
        </w:rPr>
        <w:t>Description of the Business</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Sarcos Technology and Robotics Corporation (the “Company” or “Sarcos”) is a technology leader in the design, development and manufacture of advanced robotic systems, solutions and software that redefine human possibilities. The Company designs, develops and produces highly-dexterous mobile robotic systems and solutions for use in dynamic and unstructured environments and develops related software, including its AI/ML (artificial intelligence/machine learning) software platform to enable generalizable autonomy.</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Basis of Presentation and Consolidation</w:t>
      </w:r>
    </w:p>
    <w:p>
      <w:pPr>
        <w:pStyle w:val="TextBody"/>
        <w:bidi w:val="0"/>
        <w:spacing w:before="0" w:after="0"/>
        <w:jc w:val="left"/>
        <w:rPr/>
      </w:pPr>
      <w:r>
        <w:rPr/>
        <w:t>​</w:t>
      </w:r>
    </w:p>
    <w:p>
      <w:pPr>
        <w:pStyle w:val="TextBody"/>
        <w:bidi w:val="0"/>
        <w:spacing w:before="0" w:after="0"/>
        <w:jc w:val="both"/>
        <w:rPr>
          <w:rFonts w:ascii="Times New Roman" w:hAnsi="Times New Roman"/>
          <w:sz w:val="20"/>
        </w:rPr>
      </w:pPr>
      <w:r>
        <w:rPr>
          <w:rFonts w:ascii="Times New Roman;serif" w:hAnsi="Times New Roman;serif"/>
          <w:b w:val="false"/>
          <w:sz w:val="20"/>
        </w:rPr>
        <w:t>The accompanying interim unaudited condensed consolidated financial statements have been prepared in accordance with accounting principles generally accepted in the United States (“GAAP”).</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condensed consolidated financial statements as of June 30, 2023, are unaudited. The condensed consolidated balance sheet as of December 31, 2022, included herein was derived from the audited consolidated financial statements as of that date. Certain information and note disclosures normally included in annual financial statements prepared in accordance with GAAP have been condensed or omitted. As such, the information included herein should be read in conjunction with the consolidated financial statements and accompanying notes as of and for the year ended December 31, 2022, included in the Company’s Annual Report on Form 10-K, filed with the SEC on March 16, 2023.</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condensed consolidated financial statements include the accounts of the Company and its wholly owned subsidiaries. All intercompany accounts and transactions have been eliminated in consolidation. Certain prior year amounts have been reclassified to conform to current year presentation. The Company’s fiscal year begins on January 1 and ends on December 31.</w:t>
      </w:r>
    </w:p>
    <w:p>
      <w:pPr>
        <w:pStyle w:val="TextBody"/>
        <w:bidi w:val="0"/>
        <w:spacing w:before="0" w:after="0"/>
        <w:jc w:val="both"/>
        <w:rPr>
          <w:rFonts w:ascii="Times New Roman" w:hAnsi="Times New Roman"/>
          <w:sz w:val="20"/>
        </w:rPr>
      </w:pPr>
      <w:r>
        <w:rPr>
          <w:rFonts w:ascii="Times New Roman;serif" w:hAnsi="Times New Roman;serif"/>
          <w:b w:val="false"/>
          <w:sz w:val="20"/>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2023.</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Business Combination</w:t>
      </w:r>
    </w:p>
    <w:p>
      <w:pPr>
        <w:pStyle w:val="TextBody"/>
        <w:bidi w:val="0"/>
        <w:spacing w:before="200" w:after="0"/>
        <w:jc w:val="both"/>
        <w:rPr>
          <w:rFonts w:ascii="Times New Roman" w:hAnsi="Times New Roman"/>
          <w:sz w:val="20"/>
        </w:rPr>
      </w:pPr>
      <w:r>
        <w:rPr>
          <w:rFonts w:ascii="Times New Roman;serif" w:hAnsi="Times New Roman;serif"/>
          <w:b w:val="false"/>
          <w:sz w:val="20"/>
        </w:rPr>
        <w:t>On September 24, 2021 (the “Closing Date”), the Company consummated the business combination (the “Business Combination”) pursuant to the terms of the Agreement and Plan of Merger, dated as of April 5, 2021, by and among Rotor Acquisition Corp.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from Rotor Acquisition Corp. to Sarcos Technology and Robotics Corporation.</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serif" w:hAnsi="Times New Roman;serif"/>
          <w:b w:val="false"/>
          <w:sz w:val="20"/>
        </w:rPr>
        <w:t>Immediately prior to the effective time of the Merger (the “Effective Time”), all issued and outstanding warrants to purchase shares of Class A common stock of Old Sarcos were net exercised and all issued and outstanding shares of preferred stock of Old Sarcos were converted into common stock of Old Sarcos (collectively, the “Old Sarcos Common Stock”). Pursuant to the terms of the Merger Agreement, at the Effective Time:</w:t>
      </w:r>
      <w:r>
        <w:rPr>
          <w:rFonts w:ascii="Times New Roman" w:hAnsi="Times New Roman"/>
          <w:sz w:val="20"/>
        </w:rPr>
        <w:t xml:space="preserve"> </w:t>
      </w:r>
    </w:p>
    <w:p>
      <w:pPr>
        <w:pStyle w:val="TextBody"/>
        <w:bidi w:val="0"/>
        <w:spacing w:before="200" w:after="0"/>
        <w:jc w:val="both"/>
        <w:rPr/>
      </w:pPr>
      <w:r>
        <w:rPr/>
        <w:t>•</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each outstanding share of Old Sarcos Common Stock, after giving effect to the conversion described above, was cancelled and converted into and became</w:t>
      </w:r>
      <w:r>
        <w:rPr>
          <w:rFonts w:ascii="Times New Roman;serif" w:hAnsi="Times New Roman;serif"/>
          <w:sz w:val="20"/>
        </w:rPr>
        <w:t xml:space="preserve"> </w:t>
      </w:r>
      <w:r>
        <w:rPr>
          <w:rFonts w:ascii="Times New Roman;serif" w:hAnsi="Times New Roman;serif"/>
          <w:b w:val="false"/>
          <w:sz w:val="20"/>
        </w:rPr>
        <w:t>(i) the right to receive approximately 0.854870404</w:t>
      </w:r>
      <w:r>
        <w:rPr>
          <w:rFonts w:ascii="Times New Roman;serif" w:hAnsi="Times New Roman;serif"/>
          <w:sz w:val="20"/>
        </w:rPr>
        <w:t xml:space="preserve"> </w:t>
      </w:r>
      <w:r>
        <w:rPr>
          <w:rFonts w:ascii="Times New Roman;serif" w:hAnsi="Times New Roman;serif"/>
          <w:b w:val="false"/>
          <w:sz w:val="20"/>
        </w:rPr>
        <w:t>shares (the “Exchange Ratio”) of Common Stock of the Company, par value $0.0001</w:t>
      </w:r>
      <w:r>
        <w:rPr>
          <w:rFonts w:ascii="Times New Roman;serif" w:hAnsi="Times New Roman;serif"/>
          <w:sz w:val="20"/>
        </w:rPr>
        <w:t xml:space="preserve"> </w:t>
      </w:r>
      <w:r>
        <w:rPr>
          <w:rFonts w:ascii="Times New Roman;serif" w:hAnsi="Times New Roman;serif"/>
          <w:b w:val="false"/>
          <w:sz w:val="20"/>
        </w:rPr>
        <w:t>per share (the “Common Stock”), rounded down to the nearest whole share plus (ii) the contingent right to receive a portion of additional shares of Common Stock upon achievement of certain milestones (the “Contingent Merger Consideration”), as described below; and</w:t>
      </w:r>
    </w:p>
    <w:p>
      <w:pPr>
        <w:pStyle w:val="TextBody"/>
        <w:bidi w:val="0"/>
        <w:spacing w:before="200" w:after="0"/>
        <w:jc w:val="both"/>
        <w:rPr/>
      </w:pPr>
      <w:r>
        <w:rPr/>
        <w:t>•</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the outstanding options, restricted stock units (“RSUs”) and a restricted stock award (“RSA”) of Old Sarcos, whether vested or unvested, were assumed by the Company and converted into options, RSUs and an RSA of the Company;</w:t>
      </w:r>
    </w:p>
    <w:p>
      <w:pPr>
        <w:pStyle w:val="TextBody"/>
        <w:bidi w:val="0"/>
        <w:spacing w:before="200" w:after="0"/>
        <w:jc w:val="both"/>
        <w:rPr>
          <w:rFonts w:ascii="Times New Roman" w:hAnsi="Times New Roman"/>
          <w:sz w:val="20"/>
        </w:rPr>
      </w:pPr>
      <w:r>
        <w:rPr>
          <w:rFonts w:ascii="Times New Roman;serif" w:hAnsi="Times New Roman;serif"/>
          <w:b w:val="false"/>
          <w:sz w:val="20"/>
        </w:rPr>
        <w:t>In addition, each holder of Old Sarcos capital stock (including the Old Sarcos RSA) was entitled to a right to Contingent Merger Consideration at the Closing Date in the form of earn-outs, up to an aggregate of 4.7</w:t>
      </w:r>
      <w:r>
        <w:rPr>
          <w:rFonts w:ascii="Times New Roman" w:hAnsi="Times New Roman"/>
          <w:sz w:val="20"/>
        </w:rPr>
        <w:t xml:space="preserve"> </w:t>
      </w:r>
      <w:r>
        <w:rPr>
          <w:rFonts w:ascii="Times New Roman;serif" w:hAnsi="Times New Roman;serif"/>
          <w:b w:val="false"/>
          <w:sz w:val="20"/>
        </w:rPr>
        <w:t>million shares of Common Stock.</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200" w:after="0"/>
        <w:jc w:val="both"/>
        <w:rPr>
          <w:rFonts w:ascii="Times New Roman" w:hAnsi="Times New Roman"/>
          <w:sz w:val="20"/>
        </w:rPr>
      </w:pPr>
      <w:r>
        <w:rPr>
          <w:rFonts w:ascii="Times New Roman;serif" w:hAnsi="Times New Roman;serif"/>
          <w:b w:val="false"/>
          <w:sz w:val="20"/>
        </w:rPr>
        <w:t>On the Closing Date, certain investors (the “PIPE Investors”) purchased from the Company approximately 3.7</w:t>
      </w:r>
      <w:r>
        <w:rPr>
          <w:rFonts w:ascii="Times New Roman" w:hAnsi="Times New Roman"/>
          <w:sz w:val="20"/>
        </w:rPr>
        <w:t xml:space="preserve"> </w:t>
      </w:r>
      <w:r>
        <w:rPr>
          <w:rFonts w:ascii="Times New Roman;serif" w:hAnsi="Times New Roman;serif"/>
          <w:b w:val="false"/>
          <w:sz w:val="20"/>
        </w:rPr>
        <w:t>million shares (the “PIPE Shares”) of Common Stock at a price of $60.00</w:t>
      </w:r>
      <w:r>
        <w:rPr>
          <w:rFonts w:ascii="Times New Roman" w:hAnsi="Times New Roman"/>
          <w:sz w:val="20"/>
        </w:rPr>
        <w:t xml:space="preserve"> </w:t>
      </w:r>
      <w:r>
        <w:rPr>
          <w:rFonts w:ascii="Times New Roman;serif" w:hAnsi="Times New Roman;serif"/>
          <w:b w:val="false"/>
          <w:sz w:val="20"/>
        </w:rPr>
        <w:t>per share, for an aggregate purchase price of $220.0</w:t>
      </w:r>
      <w:r>
        <w:rPr>
          <w:rFonts w:ascii="Times New Roman" w:hAnsi="Times New Roman"/>
          <w:sz w:val="20"/>
        </w:rPr>
        <w:t xml:space="preserve"> </w:t>
      </w:r>
      <w:r>
        <w:rPr>
          <w:rFonts w:ascii="Times New Roman;serif" w:hAnsi="Times New Roman;serif"/>
          <w:b w:val="false"/>
          <w:sz w:val="20"/>
        </w:rPr>
        <w:t>million (the “PIPE Financing”), in a private placement pursuant to separate subscription agreements (each, a “Subscription Agreement”) entered into effective as of April 5, 2021.</w:t>
      </w:r>
    </w:p>
    <w:p>
      <w:pPr>
        <w:pStyle w:val="TextBody"/>
        <w:bidi w:val="0"/>
        <w:spacing w:before="200" w:after="0"/>
        <w:jc w:val="both"/>
        <w:rPr>
          <w:rFonts w:ascii="Times New Roman" w:hAnsi="Times New Roman"/>
          <w:sz w:val="20"/>
        </w:rPr>
      </w:pPr>
      <w:r>
        <w:rPr>
          <w:rFonts w:ascii="Times New Roman;serif" w:hAnsi="Times New Roman;serif"/>
          <w:b w:val="false"/>
          <w:sz w:val="20"/>
        </w:rPr>
        <w:t>On September 27, 2021, the Common Stock and warrants of Sarcos Technology and Robotics Corporation (formerly those of Rotor Acquisition Corp.), ceased trading on the New York Stock Exchange and began trading on The Nasdaq Global Market (“Nasdaq”) as “STRC” and “STRCW”,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April 25, 2022, the Company acquired RE2, Inc., (“RE2”) a Pittsburgh, PA based developer of autonomous and teleoperated mobile robotic systems. The results presented herein include the activity of RE2 from the acquisition date through June 30, 2023. The Company's results do not include RE2’s financial information prior to the acquisition. For further detail see Note 4.</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Reverse Stock Split</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July 5, 2023, the Company effected a 1-for-6</w:t>
      </w:r>
      <w:r>
        <w:rPr>
          <w:rFonts w:ascii="Times New Roman;serif" w:hAnsi="Times New Roman;serif"/>
          <w:sz w:val="20"/>
        </w:rPr>
        <w:t xml:space="preserve"> </w:t>
      </w:r>
      <w:r>
        <w:rPr>
          <w:rFonts w:ascii="Times New Roman;serif" w:hAnsi="Times New Roman;serif"/>
          <w:b w:val="false"/>
          <w:sz w:val="20"/>
        </w:rPr>
        <w:t>reverse stock split ("Reverse Stock Split") of the Company's outstanding shares of common stock, as approved by the Company's stockholders at the Company’s Annual Meeting of Stockholders held on June 14, 2023. All share and per share amounts of common stock, options, warrants, restricted stock and restricted stock units in the accompanying condensed consolidated financial statements and notes thereto have been retroactively adjusted for all periods presented to reflect the reverse stock split.</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Asset Impairment and Restructuring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July 12, 2023, the Company announced that it had refined its sales strategy to focus on products that have the most potential for near-term revenue growth and strategic opportunities that show the greatest market traction and meet an acute customer need. The Company's optimization efforts include realigning its cost structure to reduce expenses and headcount and consolidating its Pittsburgh manufacturing into its Salt Lake City location. In connection with this restructuring, the Company incurred charges of $5.1</w:t>
      </w:r>
      <w:r>
        <w:rPr>
          <w:rFonts w:ascii="Times New Roman" w:hAnsi="Times New Roman"/>
          <w:sz w:val="20"/>
        </w:rPr>
        <w:t xml:space="preserve"> </w:t>
      </w:r>
      <w:r>
        <w:rPr>
          <w:rFonts w:ascii="Times New Roman;serif" w:hAnsi="Times New Roman;serif"/>
          <w:b w:val="false"/>
          <w:sz w:val="20"/>
        </w:rPr>
        <w:t>million in the three and six months ended June 30, 2023, including $4.4</w:t>
      </w:r>
      <w:r>
        <w:rPr>
          <w:rFonts w:ascii="Times New Roman" w:hAnsi="Times New Roman"/>
          <w:sz w:val="20"/>
        </w:rPr>
        <w:t xml:space="preserve"> </w:t>
      </w:r>
      <w:r>
        <w:rPr>
          <w:rFonts w:ascii="Times New Roman;serif" w:hAnsi="Times New Roman;serif"/>
          <w:b w:val="false"/>
          <w:sz w:val="20"/>
        </w:rPr>
        <w:t>million due to the write-down of inventory and $0.7</w:t>
      </w:r>
      <w:r>
        <w:rPr>
          <w:rFonts w:ascii="Times New Roman" w:hAnsi="Times New Roman"/>
          <w:sz w:val="20"/>
        </w:rPr>
        <w:t xml:space="preserve"> </w:t>
      </w:r>
      <w:r>
        <w:rPr>
          <w:rFonts w:ascii="Times New Roman;serif" w:hAnsi="Times New Roman;serif"/>
          <w:b w:val="false"/>
          <w:sz w:val="20"/>
        </w:rPr>
        <w:t>million related to the impairment of certain fixed assets. The Company anticipates incurring additional restructuring expense related to the reduction of headcount of approximately $6.0</w:t>
      </w:r>
      <w:r>
        <w:rPr>
          <w:rFonts w:ascii="Times New Roman" w:hAnsi="Times New Roman"/>
          <w:sz w:val="20"/>
        </w:rPr>
        <w:t xml:space="preserve"> </w:t>
      </w:r>
      <w:r>
        <w:rPr>
          <w:rFonts w:ascii="Times New Roman;serif" w:hAnsi="Times New Roman;serif"/>
          <w:b w:val="false"/>
          <w:sz w:val="20"/>
        </w:rPr>
        <w:t>million, net, during the third quarter of 2023, which includes approximately $1.5</w:t>
      </w:r>
      <w:r>
        <w:rPr>
          <w:rFonts w:ascii="Times New Roman" w:hAnsi="Times New Roman"/>
          <w:sz w:val="20"/>
        </w:rPr>
        <w:t xml:space="preserve"> </w:t>
      </w:r>
      <w:r>
        <w:rPr>
          <w:rFonts w:ascii="Times New Roman;serif" w:hAnsi="Times New Roman;serif"/>
          <w:b w:val="false"/>
          <w:sz w:val="20"/>
        </w:rPr>
        <w:t>million in cash severance and benefit payments. The remainder of the additional restructuring expense is anticipated to be non-cash adjustments largely related to the acceleration of stock-based compensation expense resulting from the accelerated termination of the Company's redemption right over certain shares held by the Company's former Chief Operating Officer in connection with the expected termination of his employment during the third quarter of 2023.</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Summary of Significant Accounting Policies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There have been no changes to the Company’s significant accounting policies described in the annual consolidated financial statements for the year ended December 31, 2022 that have had a material impact on the Company’s condensed consolidated financial statements and related notes.</w:t>
      </w:r>
      <w:r>
        <w:rPr>
          <w:rFonts w:ascii="Times New Roman" w:hAnsi="Times New Roman"/>
          <w:sz w:val="20"/>
        </w:rPr>
        <w:t xml:space="preserve"> </w:t>
      </w:r>
    </w:p>
    <w:p>
      <w:pPr>
        <w:pStyle w:val="TextBody"/>
        <w:bidi w:val="0"/>
        <w:spacing w:before="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Cash, cash equivalents and marketable securities were $75.1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compared to $114.5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December 31, 2022. The Company has historically incurred losses and negative cash flows from operations. As of June 30, 2023, the Company also had an accumulated deficit of approximately $352.8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working capital of $75.6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sources of liquidity have been cash generated by equity offerings and debt.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w:t>
      </w:r>
      <w:r>
        <w:rPr>
          <w:rFonts w:ascii="Times New Roman;serif" w:hAnsi="Times New Roman;serif"/>
          <w:b/>
          <w:sz w:val="20"/>
        </w:rPr>
        <w:t>Revenue Recognition</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recognizes revenue from the sale of its products and from the delivery of goods and services arising out of its contractual arrangements to provide product development contract services that are funded by the customer. The Company recognizes revenue when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promised goods or services are transferred to customers in an amount that reflects the consideration to which the Company expects to be entitled in exchange for those goods or services by following a five-step process:</w:t>
      </w:r>
    </w:p>
    <w:p>
      <w:pPr>
        <w:pStyle w:val="TextBody"/>
        <w:bidi w:val="0"/>
        <w:spacing w:before="0" w:after="0"/>
        <w:jc w:val="both"/>
        <w:rPr>
          <w:rFonts w:ascii="Times New Roman" w:hAnsi="Times New Roman"/>
          <w:b w:val="false"/>
          <w:i/>
          <w:sz w:val="20"/>
        </w:rPr>
      </w:pPr>
      <w:r>
        <w:rPr>
          <w:rFonts w:ascii="Times New Roman" w:hAnsi="Times New Roman"/>
          <w:b w:val="false"/>
          <w:i/>
          <w:sz w:val="20"/>
        </w:rPr>
        <w:t>(1)</w:t>
      </w:r>
    </w:p>
    <w:p>
      <w:pPr>
        <w:pStyle w:val="TextBody"/>
        <w:bidi w:val="0"/>
        <w:jc w:val="both"/>
        <w:rPr/>
      </w:pPr>
      <w:r>
        <w:rPr>
          <w:rFonts w:ascii="Times New Roman;serif" w:hAnsi="Times New Roman;serif"/>
          <w:b w:val="false"/>
          <w:i/>
          <w:sz w:val="20"/>
        </w:rPr>
        <w:t>Identify the contract with a customer:</w:t>
      </w:r>
      <w:r>
        <w:rPr/>
        <w:t xml:space="preserve"> </w:t>
      </w:r>
      <w:r>
        <w:rPr>
          <w:rFonts w:ascii="Times New Roman;serif" w:hAnsi="Times New Roman;serif"/>
          <w:b w:val="false"/>
          <w:sz w:val="20"/>
        </w:rPr>
        <w:t>A contract with a customer exists when (i) the Company enters into an enforceable contract with a customer that 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pStyle w:val="TextBody"/>
        <w:bidi w:val="0"/>
        <w:spacing w:before="0" w:after="0"/>
        <w:jc w:val="both"/>
        <w:rPr/>
      </w:pPr>
      <w:r>
        <w:rPr/>
        <w:t> </w:t>
      </w:r>
    </w:p>
    <w:p>
      <w:pPr>
        <w:pStyle w:val="TextBody"/>
        <w:bidi w:val="0"/>
        <w:spacing w:before="0" w:after="0"/>
        <w:jc w:val="both"/>
        <w:rPr>
          <w:rFonts w:ascii="Times New Roman" w:hAnsi="Times New Roman"/>
          <w:b w:val="false"/>
          <w:i/>
          <w:sz w:val="20"/>
        </w:rPr>
      </w:pPr>
      <w:r>
        <w:rPr>
          <w:rFonts w:ascii="Times New Roman" w:hAnsi="Times New Roman"/>
          <w:b w:val="false"/>
          <w:i/>
          <w:sz w:val="20"/>
        </w:rPr>
        <w:t>(2)</w:t>
      </w:r>
    </w:p>
    <w:p>
      <w:pPr>
        <w:pStyle w:val="TextBody"/>
        <w:bidi w:val="0"/>
        <w:jc w:val="both"/>
        <w:rPr/>
      </w:pPr>
      <w:r>
        <w:rPr>
          <w:rFonts w:ascii="Times New Roman;serif" w:hAnsi="Times New Roman;serif"/>
          <w:b w:val="false"/>
          <w:i/>
          <w:sz w:val="20"/>
        </w:rPr>
        <w:t>Identify the performance obligations in the contract:</w:t>
      </w:r>
      <w:r>
        <w:rPr/>
        <w:t xml:space="preserve"> </w:t>
      </w:r>
      <w:r>
        <w:rPr>
          <w:rFonts w:ascii="Times New Roman;serif" w:hAnsi="Times New Roman;serif"/>
          <w:b w:val="false"/>
          <w:sz w:val="20"/>
        </w:rPr>
        <w:t>The Company enters into contracts that can include combinations of products and 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pStyle w:val="TextBody"/>
        <w:bidi w:val="0"/>
        <w:spacing w:before="0" w:after="0"/>
        <w:jc w:val="both"/>
        <w:rPr/>
      </w:pPr>
      <w:r>
        <w:rPr/>
        <w:t> </w:t>
      </w:r>
    </w:p>
    <w:p>
      <w:pPr>
        <w:pStyle w:val="TextBody"/>
        <w:bidi w:val="0"/>
        <w:spacing w:before="0" w:after="0"/>
        <w:jc w:val="both"/>
        <w:rPr>
          <w:rFonts w:ascii="Times New Roman" w:hAnsi="Times New Roman"/>
          <w:b w:val="false"/>
          <w:i/>
          <w:sz w:val="20"/>
        </w:rPr>
      </w:pPr>
      <w:r>
        <w:rPr>
          <w:rFonts w:ascii="Times New Roman" w:hAnsi="Times New Roman"/>
          <w:b w:val="false"/>
          <w:i/>
          <w:sz w:val="20"/>
        </w:rPr>
        <w:t>(3)</w:t>
      </w:r>
    </w:p>
    <w:p>
      <w:pPr>
        <w:pStyle w:val="TextBody"/>
        <w:bidi w:val="0"/>
        <w:jc w:val="both"/>
        <w:rPr/>
      </w:pPr>
      <w:r>
        <w:rPr>
          <w:rFonts w:ascii="Times New Roman;serif" w:hAnsi="Times New Roman;serif"/>
          <w:b w:val="false"/>
          <w:i/>
          <w:sz w:val="20"/>
        </w:rPr>
        <w:t>Determine the transaction price:</w:t>
      </w:r>
      <w:r>
        <w:rPr/>
        <w:t xml:space="preserve"> </w:t>
      </w:r>
      <w:r>
        <w:rPr>
          <w:rFonts w:ascii="Times New Roman;serif" w:hAnsi="Times New Roman;serif"/>
          <w:b w:val="false"/>
          <w:sz w:val="20"/>
        </w:rPr>
        <w:t xml:space="preserve">The transaction price is determined based on the consideration to which the Company will be entitled in 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 </w:t>
      </w:r>
    </w:p>
    <w:p>
      <w:pPr>
        <w:pStyle w:val="TextBody"/>
        <w:bidi w:val="0"/>
        <w:spacing w:before="0" w:after="0"/>
        <w:jc w:val="both"/>
        <w:rPr/>
      </w:pPr>
      <w:r>
        <w:rPr/>
        <w:t> </w:t>
      </w:r>
    </w:p>
    <w:p>
      <w:pPr>
        <w:pStyle w:val="TextBody"/>
        <w:bidi w:val="0"/>
        <w:spacing w:before="0" w:after="0"/>
        <w:jc w:val="both"/>
        <w:rPr>
          <w:rFonts w:ascii="Times New Roman" w:hAnsi="Times New Roman"/>
          <w:b w:val="false"/>
          <w:i/>
          <w:sz w:val="20"/>
        </w:rPr>
      </w:pPr>
      <w:r>
        <w:rPr>
          <w:rFonts w:ascii="Times New Roman" w:hAnsi="Times New Roman"/>
          <w:b w:val="false"/>
          <w:i/>
          <w:sz w:val="20"/>
        </w:rPr>
        <w:t>(4)</w:t>
      </w:r>
    </w:p>
    <w:p>
      <w:pPr>
        <w:pStyle w:val="TextBody"/>
        <w:bidi w:val="0"/>
        <w:jc w:val="both"/>
        <w:rPr/>
      </w:pPr>
      <w:r>
        <w:rPr>
          <w:rFonts w:ascii="Times New Roman;serif" w:hAnsi="Times New Roman;serif"/>
          <w:b w:val="false"/>
          <w:i/>
          <w:sz w:val="20"/>
        </w:rPr>
        <w:t>Allocate the transaction price to performance obligations in the contract:</w:t>
      </w:r>
      <w:r>
        <w:rPr/>
        <w:t xml:space="preserve"> </w:t>
      </w:r>
      <w:r>
        <w:rPr>
          <w:rFonts w:ascii="Times New Roman;serif" w:hAnsi="Times New Roman;serif"/>
          <w:b w:val="false"/>
          <w:sz w:val="20"/>
        </w:rPr>
        <w:t>Once the Company has determined the transaction price, the total 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pStyle w:val="TextBody"/>
        <w:bidi w:val="0"/>
        <w:spacing w:before="0" w:after="0"/>
        <w:jc w:val="both"/>
        <w:rPr/>
      </w:pPr>
      <w:r>
        <w:rPr/>
        <w:t> </w:t>
      </w:r>
    </w:p>
    <w:p>
      <w:pPr>
        <w:pStyle w:val="TextBody"/>
        <w:bidi w:val="0"/>
        <w:spacing w:before="0" w:after="0"/>
        <w:jc w:val="both"/>
        <w:rPr>
          <w:rFonts w:ascii="Times New Roman" w:hAnsi="Times New Roman"/>
          <w:b w:val="false"/>
          <w:i/>
          <w:sz w:val="20"/>
        </w:rPr>
      </w:pPr>
      <w:r>
        <w:rPr>
          <w:rFonts w:ascii="Times New Roman" w:hAnsi="Times New Roman"/>
          <w:b w:val="false"/>
          <w:i/>
          <w:sz w:val="20"/>
        </w:rPr>
        <w:t>(5)</w:t>
      </w:r>
    </w:p>
    <w:p>
      <w:pPr>
        <w:pStyle w:val="TextBody"/>
        <w:bidi w:val="0"/>
        <w:jc w:val="both"/>
        <w:rPr/>
      </w:pPr>
      <w:r>
        <w:rPr>
          <w:rFonts w:ascii="Times New Roman;serif" w:hAnsi="Times New Roman;serif"/>
          <w:b w:val="false"/>
          <w:i/>
          <w:sz w:val="20"/>
        </w:rPr>
        <w:t>Recognize revenue when or as the Company satisfies a performance obligation</w:t>
      </w:r>
      <w:r>
        <w:rPr>
          <w:rFonts w:ascii="Times New Roman;serif" w:hAnsi="Times New Roman;serif"/>
          <w:b w:val="false"/>
          <w:sz w:val="20"/>
        </w:rPr>
        <w:t>: For each performance obligation identified, the Company 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Revenue from Contracts with Customers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derives its revenue from two sources. First, the Company enters into research and development agreements primarily relating to the commercialization of the Company’s products. Second, the Company sells its products and related parts and repair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services. Product development contract revenue includes revenue arising from different types of contractual arrangements, including cost-type contracts and fixed-price contracts. Product revenue primarily consists of sales of the Company’s products.</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Product Development Contract Revenue</w:t>
      </w:r>
    </w:p>
    <w:p>
      <w:pPr>
        <w:pStyle w:val="TextBody"/>
        <w:bidi w:val="0"/>
        <w:spacing w:before="0" w:after="0"/>
        <w:jc w:val="both"/>
        <w:rPr>
          <w:rFonts w:ascii="Times New Roman" w:hAnsi="Times New Roman"/>
          <w:sz w:val="20"/>
        </w:rPr>
      </w:pPr>
      <w:r>
        <w:rPr>
          <w:rFonts w:ascii="Times New Roman;serif" w:hAnsi="Times New Roman;serif"/>
          <w:b w:val="false"/>
          <w:i/>
          <w:sz w:val="20"/>
        </w:rPr>
        <w:t>Cost-type contracts</w:t>
      </w:r>
      <w:r>
        <w:rPr>
          <w:rFonts w:ascii="Times New Roman" w:hAnsi="Times New Roman"/>
          <w:sz w:val="20"/>
        </w:rPr>
        <w:t xml:space="preserve"> – </w:t>
      </w:r>
      <w:r>
        <w:rPr>
          <w:rFonts w:ascii="Times New Roman;serif" w:hAnsi="Times New Roman;serif"/>
          <w:b w:val="false"/>
          <w:sz w:val="20"/>
        </w:rPr>
        <w:t>Research, development and/or testing service contracts, including cost-plus-fixed-fee and time and material contracts, relate primarily to the development of the Company's products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pStyle w:val="TextBody"/>
        <w:bidi w:val="0"/>
        <w:spacing w:before="0" w:after="0"/>
        <w:jc w:val="both"/>
        <w:rPr>
          <w:rFonts w:ascii="Times New Roman" w:hAnsi="Times New Roman"/>
          <w:sz w:val="20"/>
        </w:rPr>
      </w:pPr>
      <w:r>
        <w:rPr>
          <w:rFonts w:ascii="Times New Roman;serif" w:hAnsi="Times New Roman;serif"/>
          <w:b w:val="false"/>
          <w:i/>
          <w:sz w:val="20"/>
        </w:rPr>
        <w:t>Fixed-price contracts</w:t>
      </w:r>
      <w:r>
        <w:rPr>
          <w:rFonts w:ascii="Times New Roman" w:hAnsi="Times New Roman"/>
          <w:sz w:val="20"/>
        </w:rPr>
        <w:t xml:space="preserve"> – </w:t>
      </w:r>
      <w:r>
        <w:rPr>
          <w:rFonts w:ascii="Times New Roman;serif" w:hAnsi="Times New Roman;serif"/>
          <w:b w:val="false"/>
          <w:sz w:val="20"/>
        </w:rPr>
        <w:t>Fixed-price development contracts relate primarily to the development of technology in the area of robotic platforms. Fixed-price 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Product Revenue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Revenue recognized for Product Development Contract Revenue and Product Revenue for the three and six months ended June 30, 2023 and 2022, were as follows:</w:t>
      </w:r>
    </w:p>
    <w:p>
      <w:pPr>
        <w:pStyle w:val="TextBody"/>
        <w:bidi w:val="0"/>
        <w:spacing w:before="0" w:after="0"/>
        <w:jc w:val="left"/>
        <w:rPr/>
      </w:pPr>
      <w:r>
        <w:rPr/>
        <w:t> </w:t>
      </w:r>
    </w:p>
    <w:tbl>
      <w:tblPr>
        <w:tblW w:w="9468" w:type="dxa"/>
        <w:jc w:val="left"/>
        <w:tblInd w:w="0" w:type="dxa"/>
        <w:tblLayout w:type="fixed"/>
        <w:tblCellMar>
          <w:top w:w="28" w:type="dxa"/>
          <w:left w:w="28" w:type="dxa"/>
          <w:bottom w:w="28" w:type="dxa"/>
          <w:right w:w="28" w:type="dxa"/>
        </w:tblCellMar>
      </w:tblPr>
      <w:tblGrid>
        <w:gridCol w:w="2971"/>
        <w:gridCol w:w="146"/>
        <w:gridCol w:w="336"/>
        <w:gridCol w:w="876"/>
        <w:gridCol w:w="250"/>
        <w:gridCol w:w="250"/>
        <w:gridCol w:w="336"/>
        <w:gridCol w:w="876"/>
        <w:gridCol w:w="146"/>
        <w:gridCol w:w="146"/>
        <w:gridCol w:w="315"/>
        <w:gridCol w:w="822"/>
        <w:gridCol w:w="235"/>
        <w:gridCol w:w="235"/>
        <w:gridCol w:w="315"/>
        <w:gridCol w:w="822"/>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9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4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12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0" w:type="dxa"/>
            <w:tcBorders/>
            <w:vAlign w:val="center"/>
          </w:tcPr>
          <w:p>
            <w:pPr>
              <w:pStyle w:val="TableContents"/>
              <w:bidi w:val="0"/>
              <w:spacing w:before="0" w:after="0"/>
              <w:ind w:left="0" w:right="0" w:hanging="0"/>
              <w:jc w:val="left"/>
              <w:rPr/>
            </w:pPr>
            <w:r>
              <w:rPr/>
              <w:t> </w:t>
            </w:r>
          </w:p>
        </w:tc>
        <w:tc>
          <w:tcPr>
            <w:tcW w:w="12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left"/>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Development Contract Revenue</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1,274</w:t>
            </w:r>
          </w:p>
        </w:tc>
        <w:tc>
          <w:tcPr>
            <w:tcW w:w="250"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3,570</w:t>
            </w:r>
          </w:p>
        </w:tc>
        <w:tc>
          <w:tcPr>
            <w:tcW w:w="235"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3,715</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Revenue</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Revenue, net</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1,277</w:t>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3,573</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3,781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Contract Balances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timing of revenue recognition, billing, and cash collection results in the recognition of accounts receivable, unbilled receivables, contract assets and deferred revenue in the Company’s condensed consolidated balance sheets.</w:t>
      </w:r>
    </w:p>
    <w:p>
      <w:pPr>
        <w:pStyle w:val="TextBody"/>
        <w:bidi w:val="0"/>
        <w:spacing w:before="0" w:after="0"/>
        <w:jc w:val="both"/>
        <w:rPr>
          <w:rFonts w:ascii="Times New Roman" w:hAnsi="Times New Roman"/>
          <w:sz w:val="20"/>
        </w:rPr>
      </w:pPr>
      <w:r>
        <w:rPr>
          <w:rFonts w:ascii="Times New Roman;serif" w:hAnsi="Times New Roman;serif"/>
          <w:b w:val="false"/>
          <w:sz w:val="20"/>
        </w:rPr>
        <w:t>Cash funds received in excess of revenue recognized that is contingent upon the satisfaction of performance obligations is accounted for as deferred revenue.</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Contract assets include unbilled receivables which are amounts resulting from timing differences between revenue recognition and billing in accordance with agreed-upon contractual terms, which typically occur subsequent to revenue being recognized.</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opening and closing balances of our accounts receivable, unbilled receivables, contract assets and deferred revenue as of June 30, 2023 and December 31, 2022, are as follows:</w:t>
      </w:r>
    </w:p>
    <w:p>
      <w:pPr>
        <w:pStyle w:val="TextBody"/>
        <w:bidi w:val="0"/>
        <w:spacing w:before="0" w:after="0"/>
        <w:jc w:val="left"/>
        <w:rPr/>
      </w:pPr>
      <w:r>
        <w:rPr/>
        <w:t> </w:t>
      </w:r>
    </w:p>
    <w:tbl>
      <w:tblPr>
        <w:tblW w:w="10094" w:type="dxa"/>
        <w:jc w:val="left"/>
        <w:tblInd w:w="0" w:type="dxa"/>
        <w:tblLayout w:type="fixed"/>
        <w:tblCellMar>
          <w:top w:w="28" w:type="dxa"/>
          <w:left w:w="28" w:type="dxa"/>
          <w:bottom w:w="28" w:type="dxa"/>
          <w:right w:w="28" w:type="dxa"/>
        </w:tblCellMar>
      </w:tblPr>
      <w:tblGrid>
        <w:gridCol w:w="3061"/>
        <w:gridCol w:w="146"/>
        <w:gridCol w:w="448"/>
        <w:gridCol w:w="1172"/>
        <w:gridCol w:w="166"/>
        <w:gridCol w:w="146"/>
        <w:gridCol w:w="397"/>
        <w:gridCol w:w="1163"/>
        <w:gridCol w:w="166"/>
        <w:gridCol w:w="146"/>
        <w:gridCol w:w="441"/>
        <w:gridCol w:w="849"/>
        <w:gridCol w:w="146"/>
        <w:gridCol w:w="146"/>
        <w:gridCol w:w="466"/>
        <w:gridCol w:w="824"/>
        <w:gridCol w:w="2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Accounts receivable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Unbilled receivable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Contract assets</w:t>
              <w:br/>
              <w:t>(current)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Contract assets</w:t>
              <w:br/>
              <w:t>(long-term)</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Ending Balance as of December 31, 2022</w:t>
            </w:r>
          </w:p>
        </w:tc>
        <w:tc>
          <w:tcPr>
            <w:tcW w:w="146"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7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6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2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Increase/(decrease), net</w:t>
            </w:r>
          </w:p>
        </w:tc>
        <w:tc>
          <w:tcPr>
            <w:tcW w:w="146" w:type="dxa"/>
            <w:tcBorders/>
            <w:vAlign w:val="center"/>
          </w:tcPr>
          <w:p>
            <w:pPr>
              <w:pStyle w:val="TableContents"/>
              <w:bidi w:val="0"/>
              <w:spacing w:before="0" w:after="0"/>
              <w:ind w:left="0" w:right="0" w:hanging="0"/>
              <w:jc w:val="left"/>
              <w:rPr/>
            </w:pPr>
            <w:r>
              <w:rPr/>
              <w:t> </w:t>
            </w:r>
          </w:p>
        </w:tc>
        <w:tc>
          <w:tcPr>
            <w:tcW w:w="4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Ending Balance as of June 30, 2023</w:t>
            </w:r>
          </w:p>
        </w:tc>
        <w:tc>
          <w:tcPr>
            <w:tcW w:w="146" w:type="dxa"/>
            <w:tcBorders/>
            <w:vAlign w:val="center"/>
          </w:tcPr>
          <w:p>
            <w:pPr>
              <w:pStyle w:val="TableContents"/>
              <w:bidi w:val="0"/>
              <w:spacing w:before="0" w:after="0"/>
              <w:ind w:left="0" w:right="0" w:hanging="0"/>
              <w:jc w:val="left"/>
              <w:rPr/>
            </w:pPr>
            <w:r>
              <w:rPr/>
              <w:t> </w:t>
            </w:r>
          </w:p>
        </w:tc>
        <w:tc>
          <w:tcPr>
            <w:tcW w:w="4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recorded its current contract assets, long-term contract assets and current deferred revenue within prepaid expenses and other current assets, other non-current assets and accrued liabilities, respectively. During the three and six months ended June 30, 2023</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and 2022, the Company did not recognize any revenue related to deferred revenue which existed at December 31, 2022 and 2021, respectively.</w:t>
      </w:r>
    </w:p>
    <w:p>
      <w:pPr>
        <w:pStyle w:val="TextBody"/>
        <w:bidi w:val="0"/>
        <w:spacing w:before="0" w:after="0"/>
        <w:jc w:val="both"/>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Remaining Performance Obligations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the Company had backlog, or revenue related to remaining performance obligations, of $4.8</w:t>
      </w:r>
      <w:r>
        <w:rPr>
          <w:rFonts w:ascii="Times New Roman" w:hAnsi="Times New Roman"/>
          <w:sz w:val="20"/>
        </w:rPr>
        <w:t xml:space="preserve"> </w:t>
      </w:r>
      <w:r>
        <w:rPr>
          <w:rFonts w:ascii="Times New Roman;serif" w:hAnsi="Times New Roman;serif"/>
          <w:b w:val="false"/>
          <w:sz w:val="20"/>
        </w:rPr>
        <w:t>million. The Company expects most of this backlog to be recognized over the next 12 months.</w:t>
      </w:r>
    </w:p>
    <w:p>
      <w:pPr>
        <w:pStyle w:val="TextBody"/>
        <w:bidi w:val="0"/>
        <w:spacing w:before="0" w:after="0"/>
        <w:jc w:val="both"/>
        <w:rPr>
          <w:rFonts w:ascii="Times New Roman" w:hAnsi="Times New Roman"/>
          <w:sz w:val="20"/>
        </w:rPr>
      </w:pPr>
      <w:r>
        <w:rPr>
          <w:rFonts w:ascii="Times New Roman;serif" w:hAnsi="Times New Roman;serif"/>
          <w:b w:val="false"/>
          <w:sz w:val="20"/>
        </w:rPr>
        <w:br/>
      </w:r>
      <w:r>
        <w:rPr>
          <w:rFonts w:ascii="Times New Roman;serif" w:hAnsi="Times New Roman;serif"/>
          <w:b/>
          <w:sz w:val="20"/>
        </w:rPr>
        <w:t>Recently Adopted Accounting Pronouncements</w:t>
      </w:r>
      <w:r>
        <w:rPr>
          <w:rFonts w:ascii="Times New Roman;serif" w:hAnsi="Times New Roman;serif"/>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In June 2016, the FASB issued ASU 2016-13, </w:t>
      </w:r>
      <w:r>
        <w:rPr>
          <w:rFonts w:ascii="Times New Roman;serif" w:hAnsi="Times New Roman;serif"/>
          <w:b w:val="false"/>
          <w:i/>
          <w:sz w:val="20"/>
        </w:rPr>
        <w:t>Financial Instruments—Credit Losses</w:t>
      </w:r>
      <w:r>
        <w:rPr>
          <w:rFonts w:ascii="Times New Roman" w:hAnsi="Times New Roman"/>
          <w:sz w:val="20"/>
        </w:rPr>
        <w:t xml:space="preserve"> </w:t>
      </w:r>
      <w:r>
        <w:rPr>
          <w:rFonts w:ascii="Times New Roman;serif" w:hAnsi="Times New Roman;serif"/>
          <w:b w:val="false"/>
          <w:sz w:val="20"/>
        </w:rPr>
        <w:t xml:space="preserve">(Topic 326): </w:t>
      </w:r>
      <w:r>
        <w:rPr>
          <w:rFonts w:ascii="Times New Roman;serif" w:hAnsi="Times New Roman;serif"/>
          <w:b w:val="false"/>
          <w:i/>
          <w:sz w:val="20"/>
        </w:rPr>
        <w:t>Measurement of Credit Losses on Financial Instruments</w:t>
      </w:r>
      <w:r>
        <w:rPr>
          <w:rFonts w:ascii="Times New Roman;serif" w:hAnsi="Times New Roman;serif"/>
          <w:b w:val="false"/>
          <w:sz w:val="20"/>
        </w:rPr>
        <w:t>. The new standard requires financial assets measured at amortized cost to be presented at the net amount expected to be collected, through an allowance for credit losses that is deducted from the amortized cost basis. The Company adopted</w:t>
      </w:r>
      <w:r>
        <w:rPr>
          <w:rFonts w:ascii="Times New Roman" w:hAnsi="Times New Roman"/>
          <w:sz w:val="20"/>
        </w:rPr>
        <w:t xml:space="preserve"> </w:t>
      </w:r>
      <w:r>
        <w:rPr>
          <w:rFonts w:ascii="Times New Roman;serif" w:hAnsi="Times New Roman;serif"/>
          <w:b w:val="false"/>
          <w:sz w:val="20"/>
        </w:rPr>
        <w:t>ASU 2016-13 on January 1, 2023. The adoption of ASU 2016-13 did not</w:t>
      </w:r>
      <w:r>
        <w:rPr>
          <w:rFonts w:ascii="Times New Roman" w:hAnsi="Times New Roman"/>
          <w:sz w:val="20"/>
        </w:rPr>
        <w:t xml:space="preserve"> </w:t>
      </w:r>
      <w:r>
        <w:rPr>
          <w:rFonts w:ascii="Times New Roman;serif" w:hAnsi="Times New Roman;serif"/>
          <w:b w:val="false"/>
          <w:sz w:val="20"/>
        </w:rPr>
        <w:t>have a material impact on the Company's condensed consolidated financial statements and related disclosures.</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2. Fair Value Measurements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Level 1—Fair value is based on observable inputs such as quoted prices for identical assets or liabilities in active markets.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Level 2—Fair value is determined using quoted prices for similar assets or liabilities in active markets or quoted prices for identical or similar assets or liabilities in markets that are not active or are directly or indirectly observable.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Level 3—Fair value is determined using one or more significant inputs that are unobservable in active markets at the measurement date, such as an option pricing model, discounted cash flow or similar technique.</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Financial Assets and Liabilities Measured at Fair Value on a Recurring Basis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a recurring basis, the Company measures certain of its financial assets and liabilities at fair value. The fair value of the Company’s financial assets and liabilities measured at fair value on a recurring basis was determined using the following inputs as of June 30, 2023 and December 31, 2022:</w:t>
      </w:r>
    </w:p>
    <w:p>
      <w:pPr>
        <w:pStyle w:val="TextBody"/>
        <w:bidi w:val="0"/>
        <w:spacing w:before="0" w:after="0"/>
        <w:jc w:val="left"/>
        <w:rPr/>
      </w:pPr>
      <w:r>
        <w:rPr/>
        <w:t> </w:t>
      </w:r>
    </w:p>
    <w:tbl>
      <w:tblPr>
        <w:tblW w:w="6068" w:type="dxa"/>
        <w:jc w:val="left"/>
        <w:tblInd w:w="0" w:type="dxa"/>
        <w:tblLayout w:type="fixed"/>
        <w:tblCellMar>
          <w:top w:w="28" w:type="dxa"/>
          <w:left w:w="28" w:type="dxa"/>
          <w:bottom w:w="28" w:type="dxa"/>
          <w:right w:w="28" w:type="dxa"/>
        </w:tblCellMar>
      </w:tblPr>
      <w:tblGrid>
        <w:gridCol w:w="1771"/>
        <w:gridCol w:w="146"/>
        <w:gridCol w:w="196"/>
        <w:gridCol w:w="601"/>
        <w:gridCol w:w="146"/>
        <w:gridCol w:w="146"/>
        <w:gridCol w:w="221"/>
        <w:gridCol w:w="424"/>
        <w:gridCol w:w="146"/>
        <w:gridCol w:w="146"/>
        <w:gridCol w:w="233"/>
        <w:gridCol w:w="412"/>
        <w:gridCol w:w="146"/>
        <w:gridCol w:w="146"/>
        <w:gridCol w:w="196"/>
        <w:gridCol w:w="601"/>
        <w:gridCol w:w="3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76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 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Marketable securities: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7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U.S. treasury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49,579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49,579</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49,579</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49,579</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7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Warrant liability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left"/>
        <w:rPr/>
      </w:pPr>
      <w:r>
        <w:rPr/>
        <w:t> </w:t>
      </w:r>
    </w:p>
    <w:tbl>
      <w:tblPr>
        <w:tblW w:w="6068" w:type="dxa"/>
        <w:jc w:val="left"/>
        <w:tblInd w:w="0" w:type="dxa"/>
        <w:tblLayout w:type="fixed"/>
        <w:tblCellMar>
          <w:top w:w="28" w:type="dxa"/>
          <w:left w:w="28" w:type="dxa"/>
          <w:bottom w:w="28" w:type="dxa"/>
          <w:right w:w="28" w:type="dxa"/>
        </w:tblCellMar>
      </w:tblPr>
      <w:tblGrid>
        <w:gridCol w:w="1771"/>
        <w:gridCol w:w="146"/>
        <w:gridCol w:w="196"/>
        <w:gridCol w:w="601"/>
        <w:gridCol w:w="146"/>
        <w:gridCol w:w="146"/>
        <w:gridCol w:w="221"/>
        <w:gridCol w:w="424"/>
        <w:gridCol w:w="146"/>
        <w:gridCol w:w="146"/>
        <w:gridCol w:w="233"/>
        <w:gridCol w:w="412"/>
        <w:gridCol w:w="146"/>
        <w:gridCol w:w="146"/>
        <w:gridCol w:w="196"/>
        <w:gridCol w:w="601"/>
        <w:gridCol w:w="3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left"/>
              <w:rPr>
                <w:rFonts w:cs="Times New Roman;serif"/>
                <w:bCs/>
                <w:szCs w:val="18"/>
              </w:rPr>
            </w:pPr>
            <w:r>
              <w:rPr>
                <w:rFonts w:cs="Times New Roman;serif"/>
                <w:bCs/>
                <w:szCs w:val="18"/>
              </w:rPr>
              <w:t>﻿</w:t>
            </w:r>
          </w:p>
        </w:tc>
        <w:tc>
          <w:tcPr>
            <w:tcW w:w="146" w:type="dxa"/>
            <w:tcBorders/>
            <w:vAlign w:val="center"/>
          </w:tcPr>
          <w:p>
            <w:pPr>
              <w:pStyle w:val="TableContents"/>
              <w:bidi w:val="0"/>
              <w:spacing w:before="0" w:after="0"/>
              <w:ind w:left="0" w:right="0" w:hanging="0"/>
              <w:jc w:val="left"/>
              <w:rPr/>
            </w:pPr>
            <w:r>
              <w:rPr/>
              <w:t> </w:t>
            </w:r>
          </w:p>
        </w:tc>
        <w:tc>
          <w:tcPr>
            <w:tcW w:w="376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 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Marketable securities: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7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U.S. treasury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79,337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79,337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79,337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79,337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7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Warrant liability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the Company held $49.6</w:t>
      </w:r>
      <w:r>
        <w:rPr>
          <w:rFonts w:ascii="Times New Roman" w:hAnsi="Times New Roman"/>
          <w:sz w:val="20"/>
        </w:rPr>
        <w:t xml:space="preserve"> </w:t>
      </w:r>
      <w:r>
        <w:rPr>
          <w:rFonts w:ascii="Times New Roman;serif" w:hAnsi="Times New Roman;serif"/>
          <w:b w:val="false"/>
          <w:sz w:val="20"/>
        </w:rPr>
        <w:t>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payable and accrued expenses approximate their fair values because of the relatively short periods until they are required to be settled.</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3. Balance Sheet Components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Inventories, Net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of June 30, 2023 and December 31, 2022, inventories, net consisted of the following:</w:t>
      </w:r>
    </w:p>
    <w:p>
      <w:pPr>
        <w:pStyle w:val="TextBody"/>
        <w:bidi w:val="0"/>
        <w:spacing w:before="0" w:after="0"/>
        <w:jc w:val="left"/>
        <w:rPr/>
      </w:pPr>
      <w:r>
        <w:rPr/>
        <w:t> </w:t>
      </w:r>
    </w:p>
    <w:tbl>
      <w:tblPr>
        <w:tblW w:w="5135" w:type="dxa"/>
        <w:jc w:val="left"/>
        <w:tblInd w:w="0" w:type="dxa"/>
        <w:tblLayout w:type="fixed"/>
        <w:tblCellMar>
          <w:top w:w="28" w:type="dxa"/>
          <w:left w:w="28" w:type="dxa"/>
          <w:bottom w:w="28" w:type="dxa"/>
          <w:right w:w="28" w:type="dxa"/>
        </w:tblCellMar>
      </w:tblPr>
      <w:tblGrid>
        <w:gridCol w:w="1606"/>
        <w:gridCol w:w="146"/>
        <w:gridCol w:w="320"/>
        <w:gridCol w:w="835"/>
        <w:gridCol w:w="146"/>
        <w:gridCol w:w="146"/>
        <w:gridCol w:w="427"/>
        <w:gridCol w:w="1118"/>
        <w:gridCol w:w="3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0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Raw materials</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2,081</w:t>
            </w:r>
          </w:p>
        </w:tc>
        <w:tc>
          <w:tcPr>
            <w:tcW w:w="391" w:type="dxa"/>
            <w:tcBorders/>
            <w:vAlign w:val="center"/>
          </w:tcPr>
          <w:p>
            <w:pPr>
              <w:pStyle w:val="TableContents"/>
              <w:bidi w:val="0"/>
              <w:spacing w:before="0" w:after="0"/>
              <w:ind w:left="0" w:right="0" w:hanging="0"/>
              <w:jc w:val="left"/>
              <w:rPr/>
            </w:pPr>
            <w:r>
              <w:rPr/>
              <w:t> </w:t>
            </w:r>
          </w:p>
        </w:tc>
      </w:tr>
      <w:tr>
        <w:trPr/>
        <w:tc>
          <w:tcPr>
            <w:tcW w:w="160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Work-in-process</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w:t>
            </w:r>
          </w:p>
        </w:tc>
        <w:tc>
          <w:tcPr>
            <w:tcW w:w="391" w:type="dxa"/>
            <w:tcBorders/>
            <w:vAlign w:val="center"/>
          </w:tcPr>
          <w:p>
            <w:pPr>
              <w:pStyle w:val="TableContents"/>
              <w:bidi w:val="0"/>
              <w:spacing w:before="0" w:after="0"/>
              <w:ind w:left="0" w:right="0" w:hanging="0"/>
              <w:jc w:val="left"/>
              <w:rPr/>
            </w:pPr>
            <w:r>
              <w:rPr/>
              <w:t> </w:t>
            </w:r>
          </w:p>
        </w:tc>
      </w:tr>
      <w:tr>
        <w:trPr/>
        <w:tc>
          <w:tcPr>
            <w:tcW w:w="160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Finished goods, net</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0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inventories, net</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3,562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had inventory reserves of $1.1</w:t>
      </w:r>
      <w:r>
        <w:rPr>
          <w:rFonts w:ascii="Times New Roman" w:hAnsi="Times New Roman"/>
          <w:sz w:val="20"/>
        </w:rPr>
        <w:t xml:space="preserve"> </w:t>
      </w:r>
      <w:r>
        <w:rPr>
          <w:rFonts w:ascii="Times New Roman;serif" w:hAnsi="Times New Roman;serif"/>
          <w:b w:val="false"/>
          <w:sz w:val="20"/>
        </w:rPr>
        <w:t>million as of June 30, 2023</w:t>
      </w:r>
      <w:r>
        <w:rPr>
          <w:rFonts w:ascii="Times New Roman" w:hAnsi="Times New Roman"/>
          <w:sz w:val="20"/>
        </w:rPr>
        <w:t xml:space="preserve"> </w:t>
      </w:r>
      <w:r>
        <w:rPr>
          <w:rFonts w:ascii="Times New Roman;serif" w:hAnsi="Times New Roman;serif"/>
          <w:b w:val="false"/>
          <w:sz w:val="20"/>
        </w:rPr>
        <w:t>and $0.4</w:t>
      </w:r>
      <w:r>
        <w:rPr>
          <w:rFonts w:ascii="Times New Roman" w:hAnsi="Times New Roman"/>
          <w:sz w:val="20"/>
        </w:rPr>
        <w:t xml:space="preserve"> </w:t>
      </w:r>
      <w:r>
        <w:rPr>
          <w:rFonts w:ascii="Times New Roman;serif" w:hAnsi="Times New Roman;serif"/>
          <w:b w:val="false"/>
          <w:sz w:val="20"/>
        </w:rPr>
        <w:t>million as of December 31, 2022.</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Prepaid Expenses and Other Current Assets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of June 30, 2023 and December 31, 2022, prepaid expenses and other current assets consist of the following:</w:t>
      </w:r>
    </w:p>
    <w:p>
      <w:pPr>
        <w:pStyle w:val="TextBody"/>
        <w:bidi w:val="0"/>
        <w:spacing w:before="0" w:after="0"/>
        <w:jc w:val="left"/>
        <w:rPr/>
      </w:pPr>
      <w:r>
        <w:rPr/>
        <w:t> </w:t>
      </w:r>
    </w:p>
    <w:tbl>
      <w:tblPr>
        <w:tblW w:w="6980" w:type="dxa"/>
        <w:jc w:val="left"/>
        <w:tblInd w:w="0" w:type="dxa"/>
        <w:tblLayout w:type="fixed"/>
        <w:tblCellMar>
          <w:top w:w="28" w:type="dxa"/>
          <w:left w:w="28" w:type="dxa"/>
          <w:bottom w:w="28" w:type="dxa"/>
          <w:right w:w="28" w:type="dxa"/>
        </w:tblCellMar>
      </w:tblPr>
      <w:tblGrid>
        <w:gridCol w:w="3451"/>
        <w:gridCol w:w="146"/>
        <w:gridCol w:w="320"/>
        <w:gridCol w:w="835"/>
        <w:gridCol w:w="146"/>
        <w:gridCol w:w="146"/>
        <w:gridCol w:w="427"/>
        <w:gridCol w:w="1118"/>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Prepaid insurance</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3,420</w:t>
            </w:r>
          </w:p>
        </w:tc>
        <w:tc>
          <w:tcPr>
            <w:tcW w:w="3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Software</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left"/>
              <w:rPr/>
            </w:pPr>
            <w:r>
              <w:rPr/>
              <w:t> </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1,191</w:t>
            </w:r>
          </w:p>
        </w:tc>
        <w:tc>
          <w:tcPr>
            <w:tcW w:w="3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prepaid expenses and assets</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5,015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Property and Equipment, Net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of June 30, 2023 and December 31, 2022, property and equipment, net consist of the following:</w:t>
      </w:r>
    </w:p>
    <w:p>
      <w:pPr>
        <w:pStyle w:val="TextBody"/>
        <w:bidi w:val="0"/>
        <w:spacing w:before="0" w:after="0"/>
        <w:jc w:val="left"/>
        <w:rPr/>
      </w:pPr>
      <w:r>
        <w:rPr/>
        <w:t> </w:t>
      </w:r>
    </w:p>
    <w:tbl>
      <w:tblPr>
        <w:tblW w:w="6855" w:type="dxa"/>
        <w:jc w:val="left"/>
        <w:tblInd w:w="0" w:type="dxa"/>
        <w:tblLayout w:type="fixed"/>
        <w:tblCellMar>
          <w:top w:w="28" w:type="dxa"/>
          <w:left w:w="28" w:type="dxa"/>
          <w:bottom w:w="28" w:type="dxa"/>
          <w:right w:w="28" w:type="dxa"/>
        </w:tblCellMar>
      </w:tblPr>
      <w:tblGrid>
        <w:gridCol w:w="3286"/>
        <w:gridCol w:w="146"/>
        <w:gridCol w:w="284"/>
        <w:gridCol w:w="871"/>
        <w:gridCol w:w="166"/>
        <w:gridCol w:w="146"/>
        <w:gridCol w:w="379"/>
        <w:gridCol w:w="1166"/>
        <w:gridCol w:w="41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Robotics and manufacturing equipment</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1,610</w:t>
            </w:r>
          </w:p>
        </w:tc>
        <w:tc>
          <w:tcPr>
            <w:tcW w:w="41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Leasehold improvements</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4,442</w:t>
            </w:r>
          </w:p>
        </w:tc>
        <w:tc>
          <w:tcPr>
            <w:tcW w:w="41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Computer equipment</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1,719</w:t>
            </w:r>
          </w:p>
        </w:tc>
        <w:tc>
          <w:tcPr>
            <w:tcW w:w="41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Financed leased computer equipment</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271</w:t>
            </w:r>
          </w:p>
        </w:tc>
        <w:tc>
          <w:tcPr>
            <w:tcW w:w="41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Software</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389</w:t>
            </w:r>
          </w:p>
        </w:tc>
        <w:tc>
          <w:tcPr>
            <w:tcW w:w="41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Furniture and fixtures, and other fixed assets</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16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1,835</w:t>
            </w:r>
          </w:p>
        </w:tc>
        <w:tc>
          <w:tcPr>
            <w:tcW w:w="411" w:type="dxa"/>
            <w:tcBorders/>
            <w:vAlign w:val="center"/>
          </w:tcPr>
          <w:p>
            <w:pPr>
              <w:pStyle w:val="TableContents"/>
              <w:bidi w:val="0"/>
              <w:spacing w:before="0" w:after="0"/>
              <w:ind w:left="0" w:right="0" w:firstLine="200"/>
              <w:jc w:val="left"/>
              <w:rPr/>
            </w:pPr>
            <w:r>
              <w:rPr/>
              <w:t> </w:t>
            </w:r>
          </w:p>
        </w:tc>
      </w:tr>
      <w:tr>
        <w:trPr/>
        <w:tc>
          <w:tcPr>
            <w:tcW w:w="32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Property and equipment, gross</w:t>
            </w:r>
          </w:p>
        </w:tc>
        <w:tc>
          <w:tcPr>
            <w:tcW w:w="146" w:type="dxa"/>
            <w:tcBorders/>
            <w:vAlign w:val="center"/>
          </w:tcPr>
          <w:p>
            <w:pPr>
              <w:pStyle w:val="TableContents"/>
              <w:bidi w:val="0"/>
              <w:spacing w:before="0" w:after="0"/>
              <w:ind w:left="0" w:right="0" w:hanging="0"/>
              <w:jc w:val="left"/>
              <w:rPr/>
            </w:pPr>
            <w:r>
              <w:rPr/>
              <w:t> </w:t>
            </w:r>
          </w:p>
        </w:tc>
        <w:tc>
          <w:tcPr>
            <w:tcW w:w="284"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7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10,076</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10,266</w:t>
            </w:r>
          </w:p>
        </w:tc>
        <w:tc>
          <w:tcPr>
            <w:tcW w:w="4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depreciation</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(2,626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2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7,640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Depreciation expenses were $0.4</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for the three months ended June 30, 2023 and 2022, respectively. Depreciation expenses were $0.8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$0.6</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Accrued Liabilities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of June 30, 2023 and December 31, 2022, accrued liabilities consist of the following:</w:t>
      </w:r>
    </w:p>
    <w:p>
      <w:pPr>
        <w:pStyle w:val="TextBody"/>
        <w:bidi w:val="0"/>
        <w:spacing w:before="0" w:after="0"/>
        <w:jc w:val="left"/>
        <w:rPr/>
      </w:pPr>
      <w:r>
        <w:rPr/>
        <w:t> </w:t>
      </w:r>
    </w:p>
    <w:tbl>
      <w:tblPr>
        <w:tblW w:w="6845" w:type="dxa"/>
        <w:jc w:val="left"/>
        <w:tblInd w:w="0" w:type="dxa"/>
        <w:tblLayout w:type="fixed"/>
        <w:tblCellMar>
          <w:top w:w="28" w:type="dxa"/>
          <w:left w:w="28" w:type="dxa"/>
          <w:bottom w:w="28" w:type="dxa"/>
          <w:right w:w="28" w:type="dxa"/>
        </w:tblCellMar>
      </w:tblPr>
      <w:tblGrid>
        <w:gridCol w:w="3316"/>
        <w:gridCol w:w="146"/>
        <w:gridCol w:w="320"/>
        <w:gridCol w:w="835"/>
        <w:gridCol w:w="146"/>
        <w:gridCol w:w="146"/>
        <w:gridCol w:w="427"/>
        <w:gridCol w:w="1118"/>
        <w:gridCol w:w="3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Payroll and related costs</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4,271</w:t>
            </w:r>
          </w:p>
        </w:tc>
        <w:tc>
          <w:tcPr>
            <w:tcW w:w="391" w:type="dxa"/>
            <w:tcBorders/>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accrued expenses and current liabilities</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31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accrued liabilities</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6,025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4. Acquisitions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April 25, 2022, the Company acquired RE2, Inc. a Pittsburgh, PA based developer of manipulator arms with human-like performance, intuitive robot interfaces and advanced autonomy capabilities. This acquisition significantly increased our engineering team and added additional products and target markets to the Company’s</w:t>
      </w:r>
      <w:r>
        <w:rPr>
          <w:rFonts w:ascii="Times New Roman" w:hAnsi="Times New Roman"/>
          <w:sz w:val="20"/>
        </w:rPr>
        <w:t xml:space="preserve"> </w:t>
      </w:r>
      <w:r>
        <w:rPr>
          <w:rFonts w:ascii="Times New Roman;serif" w:hAnsi="Times New Roman;serif"/>
          <w:b w:val="false"/>
          <w:sz w:val="20"/>
        </w:rPr>
        <w:t>total addressable market. The aggregate consideration transferred was $90.1</w:t>
      </w:r>
      <w:r>
        <w:rPr>
          <w:rFonts w:ascii="Times New Roman" w:hAnsi="Times New Roman"/>
          <w:sz w:val="20"/>
        </w:rPr>
        <w:t xml:space="preserve"> </w:t>
      </w:r>
      <w:r>
        <w:rPr>
          <w:rFonts w:ascii="Times New Roman;serif" w:hAnsi="Times New Roman;serif"/>
          <w:b w:val="false"/>
          <w:sz w:val="20"/>
        </w:rPr>
        <w:t>million, of which $30.7</w:t>
      </w:r>
      <w:r>
        <w:rPr>
          <w:rFonts w:ascii="Times New Roman" w:hAnsi="Times New Roman"/>
          <w:sz w:val="20"/>
        </w:rPr>
        <w:t xml:space="preserve"> </w:t>
      </w:r>
      <w:r>
        <w:rPr>
          <w:rFonts w:ascii="Times New Roman;serif" w:hAnsi="Times New Roman;serif"/>
          <w:b w:val="false"/>
          <w:sz w:val="20"/>
        </w:rPr>
        <w:t>million was paid in cash, $44.0</w:t>
      </w:r>
      <w:r>
        <w:rPr>
          <w:rFonts w:ascii="Times New Roman" w:hAnsi="Times New Roman"/>
          <w:sz w:val="20"/>
        </w:rPr>
        <w:t xml:space="preserve"> </w:t>
      </w:r>
      <w:r>
        <w:rPr>
          <w:rFonts w:ascii="Times New Roman;serif" w:hAnsi="Times New Roman;serif"/>
          <w:b w:val="false"/>
          <w:sz w:val="20"/>
        </w:rPr>
        <w:t>million was comprised of 1,562,112</w:t>
      </w:r>
      <w:r>
        <w:rPr>
          <w:rFonts w:ascii="Times New Roman" w:hAnsi="Times New Roman"/>
          <w:sz w:val="20"/>
        </w:rPr>
        <w:t xml:space="preserve"> </w:t>
      </w:r>
      <w:r>
        <w:rPr>
          <w:rFonts w:ascii="Times New Roman;serif" w:hAnsi="Times New Roman;serif"/>
          <w:b w:val="false"/>
          <w:sz w:val="20"/>
        </w:rPr>
        <w:t>shares of common stock and $15.4</w:t>
      </w:r>
      <w:r>
        <w:rPr>
          <w:rFonts w:ascii="Times New Roman" w:hAnsi="Times New Roman"/>
          <w:sz w:val="20"/>
        </w:rPr>
        <w:t xml:space="preserve"> </w:t>
      </w:r>
      <w:r>
        <w:rPr>
          <w:rFonts w:ascii="Times New Roman;serif" w:hAnsi="Times New Roman;serif"/>
          <w:b w:val="false"/>
          <w:sz w:val="20"/>
        </w:rPr>
        <w:t>million was comprised of assumed options to purchase 646,173</w:t>
      </w:r>
      <w:r>
        <w:rPr>
          <w:rFonts w:ascii="Times New Roman" w:hAnsi="Times New Roman"/>
          <w:sz w:val="20"/>
        </w:rPr>
        <w:t xml:space="preserve"> </w:t>
      </w:r>
      <w:r>
        <w:rPr>
          <w:rFonts w:ascii="Times New Roman;serif" w:hAnsi="Times New Roman;serif"/>
          <w:b w:val="false"/>
          <w:sz w:val="20"/>
        </w:rPr>
        <w:t>shares of common stock. Additionally, 233,333</w:t>
      </w:r>
      <w:r>
        <w:rPr>
          <w:rFonts w:ascii="Times New Roman" w:hAnsi="Times New Roman"/>
          <w:sz w:val="20"/>
        </w:rPr>
        <w:t xml:space="preserve"> </w:t>
      </w:r>
      <w:r>
        <w:rPr>
          <w:rFonts w:ascii="Times New Roman;serif" w:hAnsi="Times New Roman;serif"/>
          <w:b w:val="false"/>
          <w:sz w:val="20"/>
        </w:rPr>
        <w:t>shares of common stock were issued with a fair value of $6.6</w:t>
      </w:r>
      <w:r>
        <w:rPr>
          <w:rFonts w:ascii="Times New Roman" w:hAnsi="Times New Roman"/>
          <w:sz w:val="20"/>
        </w:rPr>
        <w:t xml:space="preserve"> </w:t>
      </w:r>
      <w:r>
        <w:rPr>
          <w:rFonts w:ascii="Times New Roman;serif" w:hAnsi="Times New Roman;serif"/>
          <w:b w:val="false"/>
          <w:sz w:val="20"/>
        </w:rPr>
        <w:t>million that are subject to risk of forfeiture which lapses over four years</w:t>
      </w:r>
      <w:r>
        <w:rPr>
          <w:rFonts w:ascii="Times New Roman" w:hAnsi="Times New Roman"/>
          <w:sz w:val="20"/>
        </w:rPr>
        <w:t xml:space="preserve"> </w:t>
      </w:r>
      <w:r>
        <w:rPr>
          <w:rFonts w:ascii="Times New Roman;serif" w:hAnsi="Times New Roman;serif"/>
          <w:b w:val="false"/>
          <w:sz w:val="20"/>
        </w:rPr>
        <w:t>after the acquisition date. These shares were excluded from the consideration transferred and are being recorded as stock-based compensation expense.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acquisition was accounted for as a business combination and the total purchase consideration was allocated to the net tangible and intangible assets and liabilities based on their fair values on the acquisition date and the excess was recorded as goodwill. The Company recorded the assets acquired and liabilities assumed at their fair values as of the acquisition date.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presents the final purchase consideration allocation recorded in the Company’s consolidated balance sheet as of the acquisition date:</w:t>
      </w:r>
    </w:p>
    <w:p>
      <w:pPr>
        <w:pStyle w:val="TextBody"/>
        <w:bidi w:val="0"/>
        <w:spacing w:before="0" w:after="0"/>
        <w:jc w:val="both"/>
        <w:rPr/>
      </w:pPr>
      <w:r>
        <w:rPr/>
        <w:t> </w:t>
      </w:r>
    </w:p>
    <w:tbl>
      <w:tblPr>
        <w:tblW w:w="4415" w:type="dxa"/>
        <w:jc w:val="left"/>
        <w:tblInd w:w="0" w:type="dxa"/>
        <w:tblLayout w:type="fixed"/>
        <w:tblCellMar>
          <w:top w:w="28" w:type="dxa"/>
          <w:left w:w="28" w:type="dxa"/>
          <w:bottom w:w="28" w:type="dxa"/>
          <w:right w:w="28" w:type="dxa"/>
        </w:tblCellMar>
      </w:tblPr>
      <w:tblGrid>
        <w:gridCol w:w="3061"/>
        <w:gridCol w:w="146"/>
        <w:gridCol w:w="196"/>
        <w:gridCol w:w="601"/>
        <w:gridCol w:w="4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981</w:t>
            </w:r>
          </w:p>
        </w:tc>
        <w:tc>
          <w:tcPr>
            <w:tcW w:w="4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821</w:t>
            </w:r>
          </w:p>
        </w:tc>
        <w:tc>
          <w:tcPr>
            <w:tcW w:w="4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Unbilled receivables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1,968</w:t>
            </w:r>
          </w:p>
        </w:tc>
        <w:tc>
          <w:tcPr>
            <w:tcW w:w="4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Inventories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465</w:t>
            </w:r>
          </w:p>
        </w:tc>
        <w:tc>
          <w:tcPr>
            <w:tcW w:w="4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4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1,084</w:t>
            </w:r>
          </w:p>
        </w:tc>
        <w:tc>
          <w:tcPr>
            <w:tcW w:w="4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Intangible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21,300</w:t>
            </w:r>
          </w:p>
        </w:tc>
        <w:tc>
          <w:tcPr>
            <w:tcW w:w="4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Goodwill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70,236</w:t>
            </w:r>
          </w:p>
        </w:tc>
        <w:tc>
          <w:tcPr>
            <w:tcW w:w="4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1,486</w:t>
            </w:r>
          </w:p>
        </w:tc>
        <w:tc>
          <w:tcPr>
            <w:tcW w:w="4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non-current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w:t>
            </w:r>
          </w:p>
        </w:tc>
        <w:tc>
          <w:tcPr>
            <w:tcW w:w="411" w:type="dxa"/>
            <w:tcBorders/>
            <w:vAlign w:val="center"/>
          </w:tcPr>
          <w:p>
            <w:pPr>
              <w:pStyle w:val="TableContents"/>
              <w:bidi w:val="0"/>
              <w:spacing w:before="0" w:after="0"/>
              <w:ind w:left="0" w:right="0" w:hanging="0"/>
              <w:jc w:val="left"/>
              <w:rPr/>
            </w:pPr>
            <w:r>
              <w:rPr/>
              <w:t> </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(822</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Accrued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(2,334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Deferred tax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(3,895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06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acquisition consideration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90,078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sets forth the components of identifiable intangible assets acquired and their estimated useful lives as of the date of acquisition (in thousands):</w:t>
      </w:r>
    </w:p>
    <w:p>
      <w:pPr>
        <w:pStyle w:val="TextBody"/>
        <w:bidi w:val="0"/>
        <w:spacing w:before="0" w:after="0"/>
        <w:jc w:val="both"/>
        <w:rPr/>
      </w:pPr>
      <w:r>
        <w:rPr/>
        <w:t> </w:t>
      </w:r>
    </w:p>
    <w:tbl>
      <w:tblPr>
        <w:tblW w:w="6891" w:type="dxa"/>
        <w:jc w:val="left"/>
        <w:tblInd w:w="0" w:type="dxa"/>
        <w:tblLayout w:type="fixed"/>
        <w:tblCellMar>
          <w:top w:w="28" w:type="dxa"/>
          <w:left w:w="28" w:type="dxa"/>
          <w:bottom w:w="28" w:type="dxa"/>
          <w:right w:w="28" w:type="dxa"/>
        </w:tblCellMar>
      </w:tblPr>
      <w:tblGrid>
        <w:gridCol w:w="2071"/>
        <w:gridCol w:w="146"/>
        <w:gridCol w:w="203"/>
        <w:gridCol w:w="623"/>
        <w:gridCol w:w="146"/>
        <w:gridCol w:w="146"/>
        <w:gridCol w:w="1351"/>
        <w:gridCol w:w="1814"/>
        <w:gridCol w:w="3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 Average Useful Life (in years)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Trade name and trademarks</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2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left"/>
              <w:rPr/>
            </w:pPr>
            <w:r>
              <w:rPr/>
              <w:t> </w:t>
            </w:r>
          </w:p>
        </w:tc>
        <w:tc>
          <w:tcPr>
            <w:tcW w:w="181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391" w:type="dxa"/>
            <w:tcBorders/>
            <w:vAlign w:val="center"/>
          </w:tcPr>
          <w:p>
            <w:pPr>
              <w:pStyle w:val="TableContents"/>
              <w:bidi w:val="0"/>
              <w:spacing w:before="0" w:after="0"/>
              <w:ind w:left="0" w:right="0" w:hanging="0"/>
              <w:jc w:val="left"/>
              <w:rPr/>
            </w:pPr>
            <w:r>
              <w:rPr/>
              <w:t> </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Developed technology</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351" w:type="dxa"/>
            <w:tcBorders/>
            <w:vAlign w:val="center"/>
          </w:tcPr>
          <w:p>
            <w:pPr>
              <w:pStyle w:val="TableContents"/>
              <w:bidi w:val="0"/>
              <w:spacing w:before="0" w:after="0"/>
              <w:ind w:left="0" w:right="0" w:hanging="0"/>
              <w:jc w:val="left"/>
              <w:rPr/>
            </w:pPr>
            <w:r>
              <w:rPr/>
              <w:t> </w:t>
            </w:r>
          </w:p>
        </w:tc>
        <w:tc>
          <w:tcPr>
            <w:tcW w:w="181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391" w:type="dxa"/>
            <w:tcBorders/>
            <w:vAlign w:val="center"/>
          </w:tcPr>
          <w:p>
            <w:pPr>
              <w:pStyle w:val="TableContents"/>
              <w:bidi w:val="0"/>
              <w:spacing w:before="0" w:after="0"/>
              <w:ind w:left="0" w:right="0" w:hanging="0"/>
              <w:jc w:val="left"/>
              <w:rPr/>
            </w:pPr>
            <w:r>
              <w:rPr/>
              <w:t> </w:t>
            </w:r>
          </w:p>
        </w:tc>
      </w:tr>
      <w:tr>
        <w:trPr/>
        <w:tc>
          <w:tcPr>
            <w:tcW w:w="20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Customer relationships</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left"/>
              <w:rPr/>
            </w:pPr>
            <w:r>
              <w:rPr/>
              <w:t> </w:t>
            </w:r>
          </w:p>
        </w:tc>
        <w:tc>
          <w:tcPr>
            <w:tcW w:w="181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391" w:type="dxa"/>
            <w:tcBorders/>
            <w:vAlign w:val="center"/>
          </w:tcPr>
          <w:p>
            <w:pPr>
              <w:pStyle w:val="TableContents"/>
              <w:bidi w:val="0"/>
              <w:spacing w:before="0" w:after="0"/>
              <w:ind w:left="0" w:right="0" w:firstLine="200"/>
              <w:jc w:val="left"/>
              <w:rPr/>
            </w:pPr>
            <w:r>
              <w:rPr/>
              <w:t> </w:t>
            </w:r>
          </w:p>
        </w:tc>
      </w:tr>
      <w:tr>
        <w:trPr/>
        <w:tc>
          <w:tcPr>
            <w:tcW w:w="207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intangible assets</w:t>
            </w:r>
          </w:p>
        </w:tc>
        <w:tc>
          <w:tcPr>
            <w:tcW w:w="146" w:type="dxa"/>
            <w:tcBorders/>
            <w:vAlign w:val="center"/>
          </w:tcPr>
          <w:p>
            <w:pPr>
              <w:pStyle w:val="TableContents"/>
              <w:bidi w:val="0"/>
              <w:spacing w:before="0" w:after="0"/>
              <w:ind w:left="0" w:right="0" w:hanging="0"/>
              <w:jc w:val="lef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left"/>
              <w:rPr/>
            </w:pPr>
            <w:r>
              <w:rPr/>
              <w:t> </w:t>
            </w:r>
          </w:p>
        </w:tc>
        <w:tc>
          <w:tcPr>
            <w:tcW w:w="181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Goodwill represents the future economic benefits arising from other assets that could not be individually identified and separately recognized, such as the acquired assembled workforce and synergies expected to be achieved from the integration of RE2. Goodwill is not deductible for tax purposes.</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results of operations of RE2 from the date of acquisition have been included in the Company’s consolidated financial statements. Pro forma revenue and results of operations have not been presented because the historical results of RE2 are not material to the Company’s consolidated financial statements in any period presented.</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5. Goodwill and Intangible Assets</w:t>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Goodwill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 result of sustained decreases in the Company’s publicly quoted share price during the fourth quarter of 2022, the Company conducted an analysis of its goodwill as of December 31, 2022, and performed a quantitative goodwill impairment assessment. Based on the Company's quantitative goodwill impairment assessment, it concluded that the carrying value of its reporting unit exceeded its fair value and that all of its goodwill was fully impaired as of December 31, 2022.</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Acquired Intangible Assets</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of June 30, 2023, acquired intangible assets, net consisted of the following:</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67"/>
        <w:gridCol w:w="146"/>
        <w:gridCol w:w="349"/>
        <w:gridCol w:w="1076"/>
        <w:gridCol w:w="346"/>
        <w:gridCol w:w="146"/>
        <w:gridCol w:w="465"/>
        <w:gridCol w:w="1213"/>
        <w:gridCol w:w="346"/>
        <w:gridCol w:w="146"/>
        <w:gridCol w:w="326"/>
        <w:gridCol w:w="1006"/>
        <w:gridCol w:w="346"/>
        <w:gridCol w:w="146"/>
        <w:gridCol w:w="667"/>
        <w:gridCol w:w="1518"/>
        <w:gridCol w:w="396"/>
      </w:tblGrid>
      <w:tr>
        <w:trPr/>
        <w:tc>
          <w:tcPr>
            <w:tcW w:w="1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5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9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June 30, 2023</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67"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Gross Carrying Amount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 Amortization</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Net Carrying Amount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Weighted Average Remaining Useful Life </w:t>
              <w:br/>
              <w:t>(in years)</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Trade name and trademarks</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806</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left"/>
              <w:rPr/>
            </w:pPr>
            <w:r>
              <w:rPr/>
              <w:t> </w:t>
            </w:r>
          </w:p>
        </w:tc>
        <w:tc>
          <w:tcPr>
            <w:tcW w:w="15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396" w:type="dxa"/>
            <w:tcBorders/>
            <w:vAlign w:val="center"/>
          </w:tcPr>
          <w:p>
            <w:pPr>
              <w:pStyle w:val="TableContents"/>
              <w:bidi w:val="0"/>
              <w:spacing w:before="0" w:after="0"/>
              <w:ind w:left="0" w:right="0" w:hanging="0"/>
              <w:jc w:val="left"/>
              <w:rPr/>
            </w:pPr>
            <w:r>
              <w:rPr/>
              <w:t> </w:t>
            </w:r>
          </w:p>
        </w:tc>
      </w:tr>
      <w:tr>
        <w:trPr/>
        <w:tc>
          <w:tcPr>
            <w:tcW w:w="15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Developed technology</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9,600</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2,240</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7,360</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left"/>
              <w:rPr/>
            </w:pPr>
            <w:r>
              <w:rPr/>
              <w:t> </w:t>
            </w:r>
          </w:p>
        </w:tc>
        <w:tc>
          <w:tcPr>
            <w:tcW w:w="15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396" w:type="dxa"/>
            <w:tcBorders/>
            <w:vAlign w:val="center"/>
          </w:tcPr>
          <w:p>
            <w:pPr>
              <w:pStyle w:val="TableContents"/>
              <w:bidi w:val="0"/>
              <w:spacing w:before="0" w:after="0"/>
              <w:ind w:left="0" w:right="0" w:hanging="0"/>
              <w:jc w:val="left"/>
              <w:rPr/>
            </w:pPr>
            <w:r>
              <w:rPr/>
              <w:t> </w:t>
            </w:r>
          </w:p>
        </w:tc>
      </w:tr>
      <w:tr>
        <w:trPr/>
        <w:tc>
          <w:tcPr>
            <w:tcW w:w="156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Customer relationships</w:t>
            </w:r>
          </w:p>
        </w:tc>
        <w:tc>
          <w:tcPr>
            <w:tcW w:w="146" w:type="dxa"/>
            <w:tcBorders/>
            <w:vAlign w:val="center"/>
          </w:tcPr>
          <w:p>
            <w:pPr>
              <w:pStyle w:val="TableContents"/>
              <w:bidi w:val="0"/>
              <w:spacing w:before="0" w:after="0"/>
              <w:ind w:left="0" w:right="0" w:hanging="0"/>
              <w:jc w:val="left"/>
              <w:rPr/>
            </w:pPr>
            <w:r>
              <w:rPr/>
              <w:t> </w:t>
            </w:r>
          </w:p>
        </w:tc>
        <w:tc>
          <w:tcPr>
            <w:tcW w:w="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10,700</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1,387</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9,313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left"/>
              <w:rPr/>
            </w:pPr>
            <w:r>
              <w:rPr/>
              <w:t> </w:t>
            </w:r>
          </w:p>
        </w:tc>
        <w:tc>
          <w:tcPr>
            <w:tcW w:w="15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w:t>
            </w:r>
          </w:p>
        </w:tc>
        <w:tc>
          <w:tcPr>
            <w:tcW w:w="396" w:type="dxa"/>
            <w:tcBorders/>
            <w:vAlign w:val="center"/>
          </w:tcPr>
          <w:p>
            <w:pPr>
              <w:pStyle w:val="TableContents"/>
              <w:bidi w:val="0"/>
              <w:spacing w:before="0" w:after="0"/>
              <w:ind w:left="0" w:right="0" w:firstLine="200"/>
              <w:jc w:val="left"/>
              <w:rPr/>
            </w:pPr>
            <w:r>
              <w:rPr/>
              <w:t> </w:t>
            </w:r>
          </w:p>
        </w:tc>
      </w:tr>
      <w:tr>
        <w:trPr/>
        <w:tc>
          <w:tcPr>
            <w:tcW w:w="156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Total</w:t>
            </w:r>
          </w:p>
        </w:tc>
        <w:tc>
          <w:tcPr>
            <w:tcW w:w="146" w:type="dxa"/>
            <w:tcBorders/>
            <w:vAlign w:val="center"/>
          </w:tcPr>
          <w:p>
            <w:pPr>
              <w:pStyle w:val="TableContents"/>
              <w:bidi w:val="0"/>
              <w:spacing w:before="0" w:after="0"/>
              <w:ind w:left="0" w:right="0" w:hanging="0"/>
              <w:jc w:val="left"/>
              <w:rPr/>
            </w:pPr>
            <w:r>
              <w:rPr/>
              <w:t> </w:t>
            </w:r>
          </w:p>
        </w:tc>
        <w:tc>
          <w:tcPr>
            <w:tcW w:w="3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21,300</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3,821</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3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17,479</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85" w:type="dxa"/>
            <w:gridSpan w:val="2"/>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Company recorded $0.8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amortization expense during the three months ended June 30, 2023 and 2022, respectively. The Company recorded $1.6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amortization expense during the six months ended June 30, 2023 and 2022, respectively. Amortization expense was recorded as intangible amortization expense in the condensed consolidated statements of operations. There was no</w:t>
      </w:r>
      <w:r>
        <w:rPr>
          <w:rFonts w:ascii="Times New Roman" w:hAnsi="Times New Roman"/>
          <w:sz w:val="20"/>
        </w:rPr>
        <w:t xml:space="preserve"> </w:t>
      </w:r>
      <w:r>
        <w:rPr>
          <w:rFonts w:ascii="Times New Roman;serif" w:hAnsi="Times New Roman;serif"/>
          <w:b w:val="false"/>
          <w:sz w:val="20"/>
        </w:rPr>
        <w:t>impairment of intangible assets recorded for the six months ended June 30, 2023 and 2022.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As of June 30, 2023, future amortization expense related to acquired intangible assets was as follows:</w:t>
      </w:r>
    </w:p>
    <w:p>
      <w:pPr>
        <w:pStyle w:val="TextBody"/>
        <w:bidi w:val="0"/>
        <w:spacing w:before="0" w:after="0"/>
        <w:jc w:val="left"/>
        <w:rPr/>
      </w:pPr>
      <w:r>
        <w:rPr/>
        <w:t> </w:t>
      </w:r>
    </w:p>
    <w:tbl>
      <w:tblPr>
        <w:tblW w:w="3838" w:type="dxa"/>
        <w:jc w:val="left"/>
        <w:tblInd w:w="0" w:type="dxa"/>
        <w:tblLayout w:type="fixed"/>
        <w:tblCellMar>
          <w:top w:w="28" w:type="dxa"/>
          <w:left w:w="28" w:type="dxa"/>
          <w:bottom w:w="28" w:type="dxa"/>
          <w:right w:w="28" w:type="dxa"/>
        </w:tblCellMar>
      </w:tblPr>
      <w:tblGrid>
        <w:gridCol w:w="1486"/>
        <w:gridCol w:w="146"/>
        <w:gridCol w:w="445"/>
        <w:gridCol w:w="1370"/>
        <w:gridCol w:w="3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center"/>
              <w:rPr/>
            </w:pPr>
            <w:r>
              <w:rPr/>
              <w:t> </w:t>
            </w:r>
          </w:p>
        </w:tc>
        <w:tc>
          <w:tcPr>
            <w:tcW w:w="18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Amortization Expense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2023</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3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1,639</w:t>
            </w:r>
          </w:p>
        </w:tc>
        <w:tc>
          <w:tcPr>
            <w:tcW w:w="39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2024</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3,276</w:t>
            </w:r>
          </w:p>
        </w:tc>
        <w:tc>
          <w:tcPr>
            <w:tcW w:w="39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2025</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3,276</w:t>
            </w:r>
          </w:p>
        </w:tc>
        <w:tc>
          <w:tcPr>
            <w:tcW w:w="39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2026</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3,276</w:t>
            </w:r>
          </w:p>
        </w:tc>
        <w:tc>
          <w:tcPr>
            <w:tcW w:w="39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2027</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1,996</w:t>
            </w:r>
          </w:p>
        </w:tc>
        <w:tc>
          <w:tcPr>
            <w:tcW w:w="39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2028 and thereafter</w:t>
            </w:r>
          </w:p>
        </w:tc>
        <w:tc>
          <w:tcPr>
            <w:tcW w:w="146" w:type="dxa"/>
            <w:tcBorders/>
            <w:vAlign w:val="center"/>
          </w:tcPr>
          <w:p>
            <w:pPr>
              <w:pStyle w:val="TableContents"/>
              <w:bidi w:val="0"/>
              <w:spacing w:before="0" w:after="0"/>
              <w:ind w:left="0" w:right="0" w:hanging="0"/>
              <w:jc w:val="left"/>
              <w:rPr/>
            </w:pPr>
            <w:r>
              <w:rPr/>
              <w:t> </w:t>
            </w:r>
          </w:p>
        </w:tc>
        <w:tc>
          <w:tcPr>
            <w:tcW w:w="4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4,016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48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Total</w:t>
            </w:r>
          </w:p>
        </w:tc>
        <w:tc>
          <w:tcPr>
            <w:tcW w:w="146" w:type="dxa"/>
            <w:tcBorders/>
            <w:vAlign w:val="center"/>
          </w:tcPr>
          <w:p>
            <w:pPr>
              <w:pStyle w:val="TableContents"/>
              <w:bidi w:val="0"/>
              <w:spacing w:before="0" w:after="0"/>
              <w:ind w:left="0" w:right="0" w:hanging="0"/>
              <w:jc w:val="left"/>
              <w:rPr/>
            </w:pPr>
            <w:r>
              <w:rPr/>
              <w:t> </w:t>
            </w:r>
          </w:p>
        </w:tc>
        <w:tc>
          <w:tcPr>
            <w:tcW w:w="4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3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17,479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6. Reverse Recapitalization</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Pursuant to ASC 805, </w:t>
      </w:r>
      <w:r>
        <w:rPr>
          <w:rFonts w:ascii="Times New Roman;serif" w:hAnsi="Times New Roman;serif"/>
          <w:b w:val="false"/>
          <w:i/>
          <w:sz w:val="20"/>
        </w:rPr>
        <w:t>Business Combinations</w:t>
      </w:r>
      <w:r>
        <w:rPr>
          <w:rFonts w:ascii="Times New Roman;serif" w:hAnsi="Times New Roman;serif"/>
          <w:b w:val="false"/>
          <w:sz w:val="20"/>
        </w:rPr>
        <w:t>, the Business Combination was accounted for as a reverse recapitalization, rather than a business combination, for financial accounting and reporting purposes. Accordingly, Old Sarcos was deemed the accounting acquirer (and legal acquiree) and Rotor was treated as the accounting acquiree (and legal acquirer). Under this method of accounting, the reverse recapitalization was treated as the equivalent of Old Sarcos issuing stock for the net assets of Rotor, accompanied by a recapitalization. The net assets of Rotor are stated at historical cost, with no goodwill or other intangible assets recorded. The consolidated assets, liabilities, and results of operations prior to the Merger are those of Old Sarcos. The shares and corresponding capital amounts and earnings per share available for common stockholders, prior to the Merger, have been retroactively restated as shares reflecting the Exchange Ratio.</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Earn-Out Shares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Each holder of Old Sarcos capital stock is entitled to Contingent Merger Consideration following the closing of the Business Combination in the form of earn-outs, up to an aggregate of 4,687,500</w:t>
      </w:r>
      <w:r>
        <w:rPr>
          <w:rFonts w:ascii="Times New Roman" w:hAnsi="Times New Roman"/>
          <w:sz w:val="20"/>
        </w:rPr>
        <w:t xml:space="preserve"> </w:t>
      </w:r>
      <w:r>
        <w:rPr>
          <w:rFonts w:ascii="Times New Roman;serif" w:hAnsi="Times New Roman;serif"/>
          <w:b w:val="false"/>
          <w:sz w:val="20"/>
        </w:rPr>
        <w:t>shares of Common Stock (the “Earn-Out Shares”). The Earn-Out Shares will become payable as follows:</w:t>
      </w:r>
    </w:p>
    <w:p>
      <w:pPr>
        <w:pStyle w:val="TextBody"/>
        <w:bidi w:val="0"/>
        <w:spacing w:before="120" w:after="0"/>
        <w:jc w:val="both"/>
        <w:rPr/>
      </w:pPr>
      <w:r>
        <w:rPr/>
        <w:t>•</w:t>
      </w:r>
    </w:p>
    <w:p>
      <w:pPr>
        <w:pStyle w:val="TextBody"/>
        <w:bidi w:val="0"/>
        <w:spacing w:before="120" w:after="283"/>
        <w:jc w:val="both"/>
        <w:rPr>
          <w:rFonts w:ascii="Times New Roman;serif" w:hAnsi="Times New Roman;serif"/>
          <w:sz w:val="20"/>
        </w:rPr>
      </w:pPr>
      <w:r>
        <w:rPr>
          <w:rFonts w:ascii="Times New Roman;serif" w:hAnsi="Times New Roman;serif"/>
          <w:b w:val="false"/>
          <w:sz w:val="20"/>
        </w:rPr>
        <w:t>2,343,750</w:t>
      </w:r>
      <w:r>
        <w:rPr>
          <w:rFonts w:ascii="Times New Roman;serif" w:hAnsi="Times New Roman;serif"/>
          <w:sz w:val="20"/>
        </w:rPr>
        <w:t xml:space="preserve"> </w:t>
      </w:r>
      <w:r>
        <w:rPr>
          <w:rFonts w:ascii="Times New Roman;serif" w:hAnsi="Times New Roman;serif"/>
          <w:b w:val="false"/>
          <w:sz w:val="20"/>
        </w:rPr>
        <w:t>shares of Common Stock of the Company in the aggregate if the closing share price of a share of Common Stock of the Company is equal to or exceeds $90.00</w:t>
      </w:r>
      <w:r>
        <w:rPr>
          <w:rFonts w:ascii="Times New Roman;serif" w:hAnsi="Times New Roman;serif"/>
          <w:sz w:val="20"/>
        </w:rPr>
        <w:t xml:space="preserve"> </w:t>
      </w:r>
      <w:r>
        <w:rPr>
          <w:rFonts w:ascii="Times New Roman;serif" w:hAnsi="Times New Roman;serif"/>
          <w:b w:val="false"/>
          <w:sz w:val="20"/>
        </w:rPr>
        <w:t>for 20</w:t>
      </w:r>
      <w:r>
        <w:rPr>
          <w:rFonts w:ascii="Times New Roman;serif" w:hAnsi="Times New Roman;serif"/>
          <w:sz w:val="20"/>
        </w:rPr>
        <w:t xml:space="preserve"> </w:t>
      </w:r>
      <w:r>
        <w:rPr>
          <w:rFonts w:ascii="Times New Roman;serif" w:hAnsi="Times New Roman;serif"/>
          <w:b w:val="false"/>
          <w:sz w:val="20"/>
        </w:rPr>
        <w:t>trading days in any 30</w:t>
      </w:r>
      <w:r>
        <w:rPr>
          <w:rFonts w:ascii="Times New Roman;serif" w:hAnsi="Times New Roman;serif"/>
          <w:sz w:val="20"/>
        </w:rPr>
        <w:t xml:space="preserve"> </w:t>
      </w:r>
      <w:r>
        <w:rPr>
          <w:rFonts w:ascii="Times New Roman;serif" w:hAnsi="Times New Roman;serif"/>
          <w:b w:val="false"/>
          <w:sz w:val="20"/>
        </w:rPr>
        <w:t xml:space="preserve">consecutive trading day period at any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time during the period beginning on the first anniversary of the Closing Date and ending on the fourth anniversary of the Closing Date.</w:t>
      </w:r>
    </w:p>
    <w:p>
      <w:pPr>
        <w:pStyle w:val="TextBody"/>
        <w:bidi w:val="0"/>
        <w:spacing w:before="120" w:after="0"/>
        <w:jc w:val="both"/>
        <w:rPr/>
      </w:pPr>
      <w:r>
        <w:rPr/>
        <w:t>•</w:t>
      </w:r>
    </w:p>
    <w:p>
      <w:pPr>
        <w:pStyle w:val="TextBody"/>
        <w:bidi w:val="0"/>
        <w:spacing w:before="120" w:after="283"/>
        <w:jc w:val="both"/>
        <w:rPr>
          <w:rFonts w:ascii="Times New Roman;serif" w:hAnsi="Times New Roman;serif"/>
          <w:sz w:val="20"/>
        </w:rPr>
      </w:pPr>
      <w:r>
        <w:rPr>
          <w:rFonts w:ascii="Times New Roman;serif" w:hAnsi="Times New Roman;serif"/>
          <w:b w:val="false"/>
          <w:sz w:val="20"/>
        </w:rPr>
        <w:t>2,343,750</w:t>
      </w:r>
      <w:r>
        <w:rPr>
          <w:rFonts w:ascii="Times New Roman;serif" w:hAnsi="Times New Roman;serif"/>
          <w:sz w:val="20"/>
        </w:rPr>
        <w:t xml:space="preserve"> </w:t>
      </w:r>
      <w:r>
        <w:rPr>
          <w:rFonts w:ascii="Times New Roman;serif" w:hAnsi="Times New Roman;serif"/>
          <w:b w:val="false"/>
          <w:sz w:val="20"/>
        </w:rPr>
        <w:t>shares of Common Stock of the Company if the closing share price of a share of Common Stock of the Company is equal to or exceeds $120.00</w:t>
      </w:r>
      <w:r>
        <w:rPr>
          <w:rFonts w:ascii="Times New Roman;serif" w:hAnsi="Times New Roman;serif"/>
          <w:sz w:val="20"/>
        </w:rPr>
        <w:t xml:space="preserve"> </w:t>
      </w:r>
      <w:r>
        <w:rPr>
          <w:rFonts w:ascii="Times New Roman;serif" w:hAnsi="Times New Roman;serif"/>
          <w:b w:val="false"/>
          <w:sz w:val="20"/>
        </w:rPr>
        <w:t>for 20</w:t>
      </w:r>
      <w:r>
        <w:rPr>
          <w:rFonts w:ascii="Times New Roman;serif" w:hAnsi="Times New Roman;serif"/>
          <w:sz w:val="20"/>
        </w:rPr>
        <w:t xml:space="preserve"> </w:t>
      </w:r>
      <w:r>
        <w:rPr>
          <w:rFonts w:ascii="Times New Roman;serif" w:hAnsi="Times New Roman;serif"/>
          <w:b w:val="false"/>
          <w:sz w:val="20"/>
        </w:rPr>
        <w:t>trading days in any 30</w:t>
      </w:r>
      <w:r>
        <w:rPr>
          <w:rFonts w:ascii="Times New Roman;serif" w:hAnsi="Times New Roman;serif"/>
          <w:sz w:val="20"/>
        </w:rPr>
        <w:t xml:space="preserve"> </w:t>
      </w:r>
      <w:r>
        <w:rPr>
          <w:rFonts w:ascii="Times New Roman;serif" w:hAnsi="Times New Roman;serif"/>
          <w:b w:val="false"/>
          <w:sz w:val="20"/>
        </w:rPr>
        <w:t>consecutive trading day period at any time during the period beginning on the first anniversary of the Closing Date and ending on the fifth anniversary of the Closing Date.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Earn-Out Shares issuable to holders of Old Sarcos capital stock are accounted for as equity-linked instruments and recorded in additional paid-in capital, and the Earn-Out Shares issuable to holders of Old Sarcos capital stock subject to restricted stock awards are accounted for as share-based compensation. The Earn-Out Shares are treated as equity-linked instruments as opposed to shares outstanding, and as such are not included in shares outstanding on the Company’s condensed consolidated balance sheets. As of June 30, 2023, there remained 4,687,500</w:t>
      </w:r>
      <w:r>
        <w:rPr>
          <w:rFonts w:ascii="Times New Roman" w:hAnsi="Times New Roman"/>
          <w:sz w:val="20"/>
        </w:rPr>
        <w:t xml:space="preserve"> </w:t>
      </w:r>
      <w:r>
        <w:rPr>
          <w:rFonts w:ascii="Times New Roman;serif" w:hAnsi="Times New Roman;serif"/>
          <w:b w:val="false"/>
          <w:sz w:val="20"/>
        </w:rPr>
        <w:t>Earn-Out Shares potentially issuable.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7. Warrants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January 20, 2021, Rotor consummated the initial public offering (“IPO”) of 27,600,000</w:t>
      </w:r>
      <w:r>
        <w:rPr>
          <w:rFonts w:ascii="Times New Roman" w:hAnsi="Times New Roman"/>
          <w:sz w:val="20"/>
        </w:rPr>
        <w:t xml:space="preserve"> </w:t>
      </w:r>
      <w:r>
        <w:rPr>
          <w:rFonts w:ascii="Times New Roman;serif" w:hAnsi="Times New Roman;serif"/>
          <w:b w:val="false"/>
          <w:sz w:val="20"/>
        </w:rPr>
        <w:t>units (the “Units”), including the full exercise by the underwriters of their over-allotment option. Each Unit included one sixth of a share of Class A Common Stock and one half of one warrant (the “Public Warrants”). Simultaneously with the closing of the IPO, Rotor consummated the sale of 7,270,000</w:t>
      </w:r>
      <w:r>
        <w:rPr>
          <w:rFonts w:ascii="Times New Roman" w:hAnsi="Times New Roman"/>
          <w:sz w:val="20"/>
        </w:rPr>
        <w:t xml:space="preserve"> </w:t>
      </w:r>
      <w:r>
        <w:rPr>
          <w:rFonts w:ascii="Times New Roman;serif" w:hAnsi="Times New Roman;serif"/>
          <w:b w:val="false"/>
          <w:sz w:val="20"/>
        </w:rPr>
        <w:t>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Each whole Warrant entitles the registered holder to purchase one</w:t>
      </w:r>
      <w:r>
        <w:rPr>
          <w:rFonts w:ascii="Times New Roman" w:hAnsi="Times New Roman"/>
          <w:sz w:val="20"/>
        </w:rPr>
        <w:t xml:space="preserve"> </w:t>
      </w:r>
      <w:r>
        <w:rPr>
          <w:rFonts w:ascii="Times New Roman;serif" w:hAnsi="Times New Roman;serif"/>
          <w:b w:val="false"/>
          <w:sz w:val="20"/>
        </w:rPr>
        <w:t>sixth of a share of the Company's Common Stock at a price of $11.50</w:t>
      </w:r>
      <w:r>
        <w:rPr>
          <w:rFonts w:ascii="Times New Roman" w:hAnsi="Times New Roman"/>
          <w:sz w:val="20"/>
        </w:rPr>
        <w:t xml:space="preserve"> </w:t>
      </w:r>
      <w:r>
        <w:rPr>
          <w:rFonts w:ascii="Times New Roman;serif" w:hAnsi="Times New Roman;serif"/>
          <w:b w:val="false"/>
          <w:sz w:val="20"/>
        </w:rPr>
        <w:t>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 between Continental Stock Transfer &amp; Trust Company and Rotor and such shares are registered, qualified or exempt from registration under the securities laws of the state of residence of the holder. Pursuant to the Warrant Agreement, a Warrant holder may exercise its Warrants only for a whole number of shares of the Company's Common Stock. The Warrants will expire five years</w:t>
      </w:r>
      <w:r>
        <w:rPr>
          <w:rFonts w:ascii="Times New Roman" w:hAnsi="Times New Roman"/>
          <w:sz w:val="20"/>
        </w:rPr>
        <w:t xml:space="preserve"> </w:t>
      </w:r>
      <w:r>
        <w:rPr>
          <w:rFonts w:ascii="Times New Roman;serif" w:hAnsi="Times New Roman;serif"/>
          <w:b w:val="false"/>
          <w:sz w:val="20"/>
        </w:rPr>
        <w:t>after the completion of the Business Combination, or September 24, 2026, at 5:00 p.m., New York City time, or earlier upon redemption or liquidation. As of June 30, 2023, there were outstanding Warrants to purchase 3,424,908</w:t>
      </w:r>
      <w:r>
        <w:rPr>
          <w:rFonts w:ascii="Times New Roman" w:hAnsi="Times New Roman"/>
          <w:sz w:val="20"/>
        </w:rPr>
        <w:t xml:space="preserve"> </w:t>
      </w:r>
      <w:r>
        <w:rPr>
          <w:rFonts w:ascii="Times New Roman;serif" w:hAnsi="Times New Roman;serif"/>
          <w:b w:val="false"/>
          <w:sz w:val="20"/>
        </w:rPr>
        <w:t>shares of Common Stock.</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 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 effective for the exercised Warrants, the purchaser in the Rotor IPO of a Unit containing such Warrant will have paid the full purchase price for the Unit solely for the share of the Company's Common Stock underlying such Unit.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pStyle w:val="TextBody"/>
        <w:bidi w:val="0"/>
        <w:spacing w:before="0" w:after="0"/>
        <w:jc w:val="both"/>
        <w:rPr>
          <w:rFonts w:ascii="Times New Roman" w:hAnsi="Times New Roman"/>
          <w:sz w:val="20"/>
        </w:rPr>
      </w:pPr>
      <w:r>
        <w:rPr>
          <w:rFonts w:ascii="Times New Roman;serif" w:hAnsi="Times New Roman;serif"/>
          <w:b w:val="false"/>
          <w:i/>
          <w:sz w:val="20"/>
        </w:rPr>
        <w:t xml:space="preserve">Redemption of Warrants When the Price per Share of the Company's Common Stock Equals or Exceeds $108.00. </w:t>
      </w:r>
      <w:r>
        <w:rPr>
          <w:rFonts w:ascii="Times New Roman;serif" w:hAnsi="Times New Roman;serif"/>
          <w:b w:val="false"/>
          <w:sz w:val="20"/>
        </w:rPr>
        <w:t>Once the Warrants become exercisable, the Company may call the Warrants for redemption:</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whole and not in part;</w:t>
      </w:r>
    </w:p>
    <w:p>
      <w:pPr>
        <w:pStyle w:val="TextBody"/>
        <w:bidi w:val="0"/>
        <w:spacing w:before="200" w:after="0"/>
        <w:jc w:val="both"/>
        <w:rPr/>
      </w:pPr>
      <w:r>
        <w:rPr/>
        <w:t>•</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at a price of $0.01</w:t>
      </w:r>
      <w:r>
        <w:rPr>
          <w:rFonts w:ascii="Times New Roman;serif" w:hAnsi="Times New Roman;serif"/>
          <w:sz w:val="20"/>
        </w:rPr>
        <w:t xml:space="preserve"> </w:t>
      </w:r>
      <w:r>
        <w:rPr>
          <w:rFonts w:ascii="Times New Roman;serif" w:hAnsi="Times New Roman;serif"/>
          <w:b w:val="false"/>
          <w:sz w:val="20"/>
        </w:rPr>
        <w:t>per Warrant;</w:t>
      </w:r>
    </w:p>
    <w:p>
      <w:pPr>
        <w:pStyle w:val="TextBody"/>
        <w:bidi w:val="0"/>
        <w:spacing w:before="200" w:after="0"/>
        <w:jc w:val="both"/>
        <w:rPr/>
      </w:pPr>
      <w:r>
        <w:rPr/>
        <w:t>•</w:t>
      </w:r>
    </w:p>
    <w:p>
      <w:pPr>
        <w:pStyle w:val="TextBody"/>
        <w:bidi w:val="0"/>
        <w:spacing w:before="200" w:after="283"/>
        <w:jc w:val="both"/>
        <w:rPr>
          <w:rFonts w:ascii="Times New Roman;serif" w:hAnsi="Times New Roman;serif"/>
          <w:sz w:val="20"/>
        </w:rPr>
      </w:pPr>
      <w:r>
        <w:rPr>
          <w:rFonts w:ascii="Times New Roman;serif" w:hAnsi="Times New Roman;serif"/>
          <w:b w:val="false"/>
          <w:sz w:val="20"/>
        </w:rPr>
        <w:t>upon not less than 30 days</w:t>
      </w:r>
      <w:r>
        <w:rPr>
          <w:rFonts w:ascii="Times New Roman;serif" w:hAnsi="Times New Roman;serif"/>
          <w:sz w:val="20"/>
        </w:rPr>
        <w:t xml:space="preserve">’ </w:t>
      </w:r>
      <w:r>
        <w:rPr>
          <w:rFonts w:ascii="Times New Roman;serif" w:hAnsi="Times New Roman;serif"/>
          <w:b w:val="false"/>
          <w:sz w:val="20"/>
        </w:rPr>
        <w:t>prior written notice of redemption (the “30-day redemption period”) to each Warrant holder; and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200" w:after="0"/>
        <w:jc w:val="both"/>
        <w:rPr/>
      </w:pPr>
      <w:r>
        <w:rPr/>
        <w:t>•</w:t>
      </w:r>
    </w:p>
    <w:p>
      <w:pPr>
        <w:pStyle w:val="TextBody"/>
        <w:bidi w:val="0"/>
        <w:spacing w:before="200" w:after="283"/>
        <w:jc w:val="both"/>
        <w:rPr>
          <w:rFonts w:ascii="Times New Roman;serif" w:hAnsi="Times New Roman;serif"/>
          <w:sz w:val="20"/>
        </w:rPr>
      </w:pPr>
      <w:r>
        <w:rPr>
          <w:rFonts w:ascii="Times New Roman;serif" w:hAnsi="Times New Roman;serif"/>
          <w:b w:val="false"/>
          <w:sz w:val="20"/>
        </w:rPr>
        <w:t>if, and only if, the last reported sale price of the shares of the Company's Common Stock for any 20</w:t>
      </w:r>
      <w:r>
        <w:rPr>
          <w:rFonts w:ascii="Times New Roman;serif" w:hAnsi="Times New Roman;serif"/>
          <w:sz w:val="20"/>
        </w:rPr>
        <w:t xml:space="preserve"> </w:t>
      </w:r>
      <w:r>
        <w:rPr>
          <w:rFonts w:ascii="Times New Roman;serif" w:hAnsi="Times New Roman;serif"/>
          <w:b w:val="false"/>
          <w:sz w:val="20"/>
        </w:rPr>
        <w:t>trading days within a 30-trading day period commencing after the Warrants become exercisable and ending three business days before the Company sends the notice of redemption to the Warrant holders (which is referred to as the “Reference Value”) equals or exceeds $108.00</w:t>
      </w:r>
      <w:r>
        <w:rPr>
          <w:rFonts w:ascii="Times New Roman;serif" w:hAnsi="Times New Roman;serif"/>
          <w:sz w:val="20"/>
        </w:rPr>
        <w:t xml:space="preserve"> </w:t>
      </w:r>
      <w:r>
        <w:rPr>
          <w:rFonts w:ascii="Times New Roman;serif" w:hAnsi="Times New Roman;serif"/>
          <w:b w:val="false"/>
          <w:sz w:val="20"/>
        </w:rPr>
        <w:t>per share (as adjusted for stock splits, stock dividends, reorganizations, recapitalizations and the like).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pStyle w:val="TextBody"/>
        <w:bidi w:val="0"/>
        <w:spacing w:before="0" w:after="0"/>
        <w:jc w:val="both"/>
        <w:rPr>
          <w:rFonts w:ascii="Times New Roman" w:hAnsi="Times New Roman"/>
          <w:sz w:val="20"/>
        </w:rPr>
      </w:pPr>
      <w:r>
        <w:rPr>
          <w:rFonts w:ascii="Times New Roman;serif" w:hAnsi="Times New Roman;serif"/>
          <w:b w:val="false"/>
          <w:i/>
          <w:sz w:val="20"/>
        </w:rPr>
        <w:t xml:space="preserve">Redemption of Warrants When the Price per Share of Our Common Stock Equals or Exceeds $60.00. </w:t>
      </w:r>
      <w:r>
        <w:rPr>
          <w:rFonts w:ascii="Times New Roman;serif" w:hAnsi="Times New Roman;serif"/>
          <w:b w:val="false"/>
          <w:sz w:val="20"/>
        </w:rPr>
        <w:t>Once the Warrants become exercisable, the Company may redeem the outstanding Warrants (except as described herein with respect to the Private Placement Warrants if the Company does not utilize this redemption provision):</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whole and not in part;</w:t>
      </w:r>
    </w:p>
    <w:p>
      <w:pPr>
        <w:pStyle w:val="TextBody"/>
        <w:bidi w:val="0"/>
        <w:spacing w:before="200" w:after="0"/>
        <w:jc w:val="both"/>
        <w:rPr/>
      </w:pPr>
      <w:r>
        <w:rPr/>
        <w:t>•</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at $0.10</w:t>
      </w:r>
      <w:r>
        <w:rPr>
          <w:rFonts w:ascii="Times New Roman;serif" w:hAnsi="Times New Roman;serif"/>
          <w:sz w:val="20"/>
        </w:rPr>
        <w:t xml:space="preserve"> </w:t>
      </w:r>
      <w:r>
        <w:rPr>
          <w:rFonts w:ascii="Times New Roman;serif" w:hAnsi="Times New Roman;serif"/>
          <w:b w:val="false"/>
          <w:sz w:val="20"/>
        </w:rPr>
        <w:t>per Warrant upon a minimum of 30 days</w:t>
      </w:r>
      <w:r>
        <w:rPr>
          <w:rFonts w:ascii="Times New Roman;serif" w:hAnsi="Times New Roman;serif"/>
          <w:sz w:val="20"/>
        </w:rPr>
        <w:t xml:space="preserve">’ </w:t>
      </w:r>
      <w:r>
        <w:rPr>
          <w:rFonts w:ascii="Times New Roman;serif" w:hAnsi="Times New Roman;serif"/>
          <w:b w:val="false"/>
          <w:sz w:val="20"/>
        </w:rPr>
        <w:t>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pStyle w:val="TextBody"/>
        <w:bidi w:val="0"/>
        <w:spacing w:before="200" w:after="0"/>
        <w:jc w:val="both"/>
        <w:rPr/>
      </w:pPr>
      <w:r>
        <w:rPr/>
        <w:t>•</w:t>
      </w:r>
    </w:p>
    <w:p>
      <w:pPr>
        <w:pStyle w:val="TextBody"/>
        <w:bidi w:val="0"/>
        <w:spacing w:before="200" w:after="0"/>
        <w:jc w:val="both"/>
        <w:rPr>
          <w:rFonts w:ascii="Times New Roman;serif" w:hAnsi="Times New Roman;serif"/>
          <w:sz w:val="20"/>
        </w:rPr>
      </w:pPr>
      <w:r>
        <w:rPr>
          <w:rFonts w:ascii="Times New Roman;serif" w:hAnsi="Times New Roman;serif"/>
          <w:b w:val="false"/>
          <w:sz w:val="20"/>
        </w:rPr>
        <w:t>if, and only if, the Reference Value (as defined above) equals or exceeds $60.00</w:t>
      </w:r>
      <w:r>
        <w:rPr>
          <w:rFonts w:ascii="Times New Roman;serif" w:hAnsi="Times New Roman;serif"/>
          <w:sz w:val="20"/>
        </w:rPr>
        <w:t xml:space="preserve"> </w:t>
      </w:r>
      <w:r>
        <w:rPr>
          <w:rFonts w:ascii="Times New Roman;serif" w:hAnsi="Times New Roman;serif"/>
          <w:b w:val="false"/>
          <w:sz w:val="20"/>
        </w:rPr>
        <w:t>per share (as adjusted for stock splits, stock dividends, reorganizations, recapitalizations and the like); and</w:t>
      </w:r>
    </w:p>
    <w:p>
      <w:pPr>
        <w:pStyle w:val="TextBody"/>
        <w:bidi w:val="0"/>
        <w:spacing w:before="200" w:after="0"/>
        <w:jc w:val="both"/>
        <w:rPr/>
      </w:pPr>
      <w:r>
        <w:rPr/>
        <w:t>•</w:t>
      </w:r>
    </w:p>
    <w:p>
      <w:pPr>
        <w:pStyle w:val="TextBody"/>
        <w:bidi w:val="0"/>
        <w:spacing w:before="200" w:after="283"/>
        <w:jc w:val="both"/>
        <w:rPr>
          <w:rFonts w:ascii="Times New Roman;serif" w:hAnsi="Times New Roman;serif"/>
          <w:sz w:val="20"/>
        </w:rPr>
      </w:pPr>
      <w:r>
        <w:rPr>
          <w:rFonts w:ascii="Times New Roman;serif" w:hAnsi="Times New Roman;serif"/>
          <w:b w:val="false"/>
          <w:sz w:val="20"/>
        </w:rPr>
        <w:t>if the Reference Value is less than $108.00</w:t>
      </w:r>
      <w:r>
        <w:rPr>
          <w:rFonts w:ascii="Times New Roman;serif" w:hAnsi="Times New Roman;serif"/>
          <w:sz w:val="20"/>
        </w:rPr>
        <w:t xml:space="preserve"> </w:t>
      </w:r>
      <w:r>
        <w:rPr>
          <w:rFonts w:ascii="Times New Roman;serif" w:hAnsi="Times New Roman;serif"/>
          <w:b w:val="false"/>
          <w:sz w:val="20"/>
        </w:rPr>
        <w:t>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8. Stock-based Compensation</w:t>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2021 Stock Plan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September 15, 2021, the stockholders of the Company approved the Sarcos Technology and Robotics Corporation 2021 Equity Incentive Plan (the “2021 Plan”), and on the Closing Date, the 2021 Plan was approved by the board of directors. The 2021 Plan provides stock option awards, RSUs and RSAs for issuance to Company employees, officers, directors, non-employee agents and consultants. In general, these awards vest over one</w:t>
      </w:r>
      <w:r>
        <w:rPr>
          <w:rFonts w:ascii="Times New Roman" w:hAnsi="Times New Roman"/>
          <w:sz w:val="20"/>
        </w:rPr>
        <w:t xml:space="preserve"> </w:t>
      </w:r>
      <w:r>
        <w:rPr>
          <w:rFonts w:ascii="Times New Roman;serif" w:hAnsi="Times New Roman;serif"/>
          <w:b w:val="false"/>
          <w:sz w:val="20"/>
        </w:rPr>
        <w:t>to four years</w:t>
      </w:r>
      <w:r>
        <w:rPr>
          <w:rFonts w:ascii="Times New Roman" w:hAnsi="Times New Roman"/>
          <w:sz w:val="20"/>
        </w:rPr>
        <w:t xml:space="preserve"> </w:t>
      </w:r>
      <w:r>
        <w:rPr>
          <w:rFonts w:ascii="Times New Roman;serif" w:hAnsi="Times New Roman;serif"/>
          <w:b w:val="false"/>
          <w:sz w:val="20"/>
        </w:rPr>
        <w:t>and, in the case of options, are exercisable up to 10 years</w:t>
      </w:r>
      <w:r>
        <w:rPr>
          <w:rFonts w:ascii="Times New Roman" w:hAnsi="Times New Roman"/>
          <w:sz w:val="20"/>
        </w:rPr>
        <w:t xml:space="preserve"> </w:t>
      </w:r>
      <w:r>
        <w:rPr>
          <w:rFonts w:ascii="Times New Roman;serif" w:hAnsi="Times New Roman;serif"/>
          <w:b w:val="false"/>
          <w:sz w:val="20"/>
        </w:rPr>
        <w:t>from the date of grant. The maximum number of shares of Common Stock that may be issued pursuant to the 2021 Plan is (i) 5.0</w:t>
      </w:r>
      <w:r>
        <w:rPr>
          <w:rFonts w:ascii="Times New Roman" w:hAnsi="Times New Roman"/>
          <w:sz w:val="20"/>
        </w:rPr>
        <w:t xml:space="preserve"> </w:t>
      </w:r>
      <w:r>
        <w:rPr>
          <w:rFonts w:ascii="Times New Roman;serif" w:hAnsi="Times New Roman;serif"/>
          <w:b w:val="false"/>
          <w:sz w:val="20"/>
        </w:rPr>
        <w:t>million shares of Common Stock of the Company plus (ii)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(ii) equal to 2.1</w:t>
      </w:r>
      <w:r>
        <w:rPr>
          <w:rFonts w:ascii="Times New Roman" w:hAnsi="Times New Roman"/>
          <w:sz w:val="20"/>
        </w:rPr>
        <w:t xml:space="preserve"> </w:t>
      </w:r>
      <w:r>
        <w:rPr>
          <w:rFonts w:ascii="Times New Roman;serif" w:hAnsi="Times New Roman;serif"/>
          <w:b w:val="false"/>
          <w:sz w:val="20"/>
        </w:rPr>
        <w:t>million shares of Common Stock. As of June 30, 2023, 1.9</w:t>
      </w:r>
      <w:r>
        <w:rPr>
          <w:rFonts w:ascii="Times New Roman" w:hAnsi="Times New Roman"/>
          <w:sz w:val="20"/>
        </w:rPr>
        <w:t xml:space="preserve"> </w:t>
      </w:r>
      <w:r>
        <w:rPr>
          <w:rFonts w:ascii="Times New Roman;serif" w:hAnsi="Times New Roman;serif"/>
          <w:b w:val="false"/>
          <w:sz w:val="20"/>
        </w:rPr>
        <w:t>million shares were available to grant under the 2021 Plan.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2015 Stock Plan</w:t>
      </w:r>
    </w:p>
    <w:p>
      <w:pPr>
        <w:pStyle w:val="TextBody"/>
        <w:bidi w:val="0"/>
        <w:spacing w:before="0" w:after="0"/>
        <w:jc w:val="both"/>
        <w:rPr>
          <w:rFonts w:ascii="Times New Roman" w:hAnsi="Times New Roman"/>
          <w:sz w:val="20"/>
        </w:rPr>
      </w:pPr>
      <w:r>
        <w:rPr>
          <w:rFonts w:ascii="Times New Roman;serif" w:hAnsi="Times New Roman;serif"/>
          <w:b w:val="false"/>
          <w:sz w:val="20"/>
        </w:rPr>
        <w:t>The Old Sarcos 2015 Equity Incentive Plan (the “2015 Plan”) provided stock option awards, RSUs and RSAs for issuance to Company employees, officers, directors, non-employee agents and consultants. These awards generally vest over three</w:t>
      </w:r>
      <w:r>
        <w:rPr>
          <w:rFonts w:ascii="Times New Roman" w:hAnsi="Times New Roman"/>
          <w:sz w:val="20"/>
        </w:rPr>
        <w:t xml:space="preserve"> </w:t>
      </w:r>
      <w:r>
        <w:rPr>
          <w:rFonts w:ascii="Times New Roman;serif" w:hAnsi="Times New Roman;serif"/>
          <w:b w:val="false"/>
          <w:sz w:val="20"/>
        </w:rPr>
        <w:t>to five years</w:t>
      </w:r>
      <w:r>
        <w:rPr>
          <w:rFonts w:ascii="Times New Roman" w:hAnsi="Times New Roman"/>
          <w:sz w:val="20"/>
        </w:rPr>
        <w:t xml:space="preserve"> </w:t>
      </w:r>
      <w:r>
        <w:rPr>
          <w:rFonts w:ascii="Times New Roman;serif" w:hAnsi="Times New Roman;serif"/>
          <w:b w:val="false"/>
          <w:sz w:val="20"/>
        </w:rPr>
        <w:t>and are exercisable up to 10 years</w:t>
      </w:r>
      <w:r>
        <w:rPr>
          <w:rFonts w:ascii="Times New Roman" w:hAnsi="Times New Roman"/>
          <w:sz w:val="20"/>
        </w:rPr>
        <w:t xml:space="preserve"> </w:t>
      </w:r>
      <w:r>
        <w:rPr>
          <w:rFonts w:ascii="Times New Roman;serif" w:hAnsi="Times New Roman;serif"/>
          <w:b w:val="false"/>
          <w:sz w:val="20"/>
        </w:rPr>
        <w:t>from the date of grant. Unvested options are forfeited upon termination. Following the closing of the Business Combination, no further awards may be made under the 2015 Plan. Any forfeited awards will be added to the 2021 Plan subject to the maximum number of shares allowed by the 2021 Plan.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RE2 Stock Plans</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connection with the acquisition of RE2, the Company assumed the outstanding stock plans and certain outstanding stock options of RE2. These stock options are governed by the plans and agreements under which they were originally issued, but are now exercisable for shares of Common Stock.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Stock Option Activity</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summarizes the Company’s stock option activity for the six months ended June 30, 2023:</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33"/>
        <w:gridCol w:w="146"/>
        <w:gridCol w:w="184"/>
        <w:gridCol w:w="1043"/>
        <w:gridCol w:w="166"/>
        <w:gridCol w:w="146"/>
        <w:gridCol w:w="463"/>
        <w:gridCol w:w="1210"/>
        <w:gridCol w:w="146"/>
        <w:gridCol w:w="146"/>
        <w:gridCol w:w="809"/>
        <w:gridCol w:w="1838"/>
        <w:gridCol w:w="146"/>
        <w:gridCol w:w="146"/>
        <w:gridCol w:w="508"/>
        <w:gridCol w:w="979"/>
        <w:gridCol w:w="396"/>
      </w:tblGrid>
      <w:tr>
        <w:trPr/>
        <w:tc>
          <w:tcPr>
            <w:tcW w:w="1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733"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21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Options 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4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87" w:type="dxa"/>
            <w:gridSpan w:val="2"/>
            <w:tcBorders/>
            <w:vAlign w:val="center"/>
          </w:tcPr>
          <w:p>
            <w:pPr>
              <w:pStyle w:val="TableContents"/>
              <w:bidi w:val="0"/>
              <w:spacing w:before="0" w:after="0"/>
              <w:ind w:left="0" w:right="0" w:hanging="0"/>
              <w:jc w:val="center"/>
              <w:rPr/>
            </w:pPr>
            <w:r>
              <w:rPr/>
              <w:t> </w:t>
            </w:r>
          </w:p>
        </w:tc>
        <w:tc>
          <w:tcPr>
            <w:tcW w:w="396" w:type="dxa"/>
            <w:tcBorders/>
            <w:vAlign w:val="center"/>
          </w:tcPr>
          <w:p>
            <w:pPr>
              <w:pStyle w:val="TableContents"/>
              <w:bidi w:val="0"/>
              <w:spacing w:before="0" w:after="0"/>
              <w:ind w:left="0" w:right="0" w:hanging="0"/>
              <w:jc w:val="center"/>
              <w:rPr/>
            </w:pPr>
            <w:r>
              <w:rPr/>
              <w:t> </w:t>
            </w:r>
          </w:p>
        </w:tc>
      </w:tr>
      <w:tr>
        <w:trPr/>
        <w:tc>
          <w:tcPr>
            <w:tcW w:w="17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 Average 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Weighted-Average Remaining Contractual Term </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Aggregate Intrinsic Value </w:t>
              <w:br/>
              <w:t>(in thousands)</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 December 31, 2022</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2,377,503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1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w:t>
            </w:r>
          </w:p>
        </w:tc>
        <w:tc>
          <w:tcPr>
            <w:tcW w:w="396" w:type="dxa"/>
            <w:tcBorders/>
            <w:vAlign w:val="center"/>
          </w:tcPr>
          <w:p>
            <w:pPr>
              <w:pStyle w:val="TableContents"/>
              <w:bidi w:val="0"/>
              <w:spacing w:before="0" w:after="0"/>
              <w:ind w:left="0" w:right="0" w:firstLine="200"/>
              <w:jc w:val="left"/>
              <w:rPr/>
            </w:pPr>
            <w:r>
              <w:rPr/>
              <w:t> </w:t>
            </w:r>
          </w:p>
        </w:tc>
      </w:tr>
      <w:tr>
        <w:trPr/>
        <w:tc>
          <w:tcPr>
            <w:tcW w:w="173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Granted</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1,859,200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73"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6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87" w:type="dxa"/>
            <w:gridSpan w:val="2"/>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396" w:type="dxa"/>
            <w:tcBorders/>
            <w:vAlign w:val="center"/>
          </w:tcPr>
          <w:p>
            <w:pPr>
              <w:pStyle w:val="TableContents"/>
              <w:bidi w:val="0"/>
              <w:spacing w:before="0" w:after="0"/>
              <w:ind w:left="0" w:right="0" w:firstLine="200"/>
              <w:jc w:val="right"/>
              <w:rPr/>
            </w:pPr>
            <w:r>
              <w:rPr/>
              <w:t> </w:t>
            </w:r>
          </w:p>
        </w:tc>
      </w:tr>
      <w:tr>
        <w:trPr/>
        <w:tc>
          <w:tcPr>
            <w:tcW w:w="1733"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Cancelled</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(618,299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6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6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17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 June 30, 2023</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3,618,404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Exercisable – December 31, 2022</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1,414,864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3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Exercisable – June 30, 2023</w:t>
            </w:r>
          </w:p>
        </w:tc>
        <w:tc>
          <w:tcPr>
            <w:tcW w:w="146" w:type="dxa"/>
            <w:tcBorders/>
            <w:vAlign w:val="center"/>
          </w:tcPr>
          <w:p>
            <w:pPr>
              <w:pStyle w:val="TableContents"/>
              <w:bidi w:val="0"/>
              <w:spacing w:before="0" w:after="0"/>
              <w:ind w:left="0" w:right="0" w:hanging="0"/>
              <w:jc w:val="left"/>
              <w:rPr/>
            </w:pPr>
            <w:r>
              <w:rPr/>
              <w:t> </w:t>
            </w:r>
          </w:p>
        </w:tc>
        <w:tc>
          <w:tcPr>
            <w:tcW w:w="1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1,429,424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7"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Restricted Stock Units Activity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summarizes the Company’s RSU activity for the six months ended June 30, 2023:</w:t>
      </w:r>
    </w:p>
    <w:p>
      <w:pPr>
        <w:pStyle w:val="TextBody"/>
        <w:bidi w:val="0"/>
        <w:spacing w:before="0" w:after="0"/>
        <w:jc w:val="left"/>
        <w:rPr/>
      </w:pPr>
      <w:r>
        <w:rPr/>
        <w:t> </w:t>
      </w:r>
    </w:p>
    <w:tbl>
      <w:tblPr>
        <w:tblW w:w="8379" w:type="dxa"/>
        <w:jc w:val="left"/>
        <w:tblInd w:w="0" w:type="dxa"/>
        <w:tblLayout w:type="fixed"/>
        <w:tblCellMar>
          <w:top w:w="28" w:type="dxa"/>
          <w:left w:w="28" w:type="dxa"/>
          <w:bottom w:w="28" w:type="dxa"/>
          <w:right w:w="28" w:type="dxa"/>
        </w:tblCellMar>
      </w:tblPr>
      <w:tblGrid>
        <w:gridCol w:w="2566"/>
        <w:gridCol w:w="146"/>
        <w:gridCol w:w="227"/>
        <w:gridCol w:w="1288"/>
        <w:gridCol w:w="237"/>
        <w:gridCol w:w="209"/>
        <w:gridCol w:w="918"/>
        <w:gridCol w:w="2397"/>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5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Restricted Stock Units Outstanding</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5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Number of Shares</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9" w:type="dxa"/>
            <w:tcBorders/>
            <w:vAlign w:val="center"/>
          </w:tcPr>
          <w:p>
            <w:pPr>
              <w:pStyle w:val="TableContents"/>
              <w:bidi w:val="0"/>
              <w:spacing w:before="0" w:after="0"/>
              <w:ind w:left="0" w:right="0" w:hanging="0"/>
              <w:jc w:val="center"/>
              <w:rPr/>
            </w:pPr>
            <w:r>
              <w:rPr/>
              <w:t> </w:t>
            </w:r>
          </w:p>
        </w:tc>
        <w:tc>
          <w:tcPr>
            <w:tcW w:w="33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Weighted-Average Grant-Date 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 December 31, 2022</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602,561</w:t>
            </w:r>
          </w:p>
        </w:tc>
        <w:tc>
          <w:tcPr>
            <w:tcW w:w="237"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right"/>
              <w:rPr/>
            </w:pPr>
            <w:r>
              <w:rPr/>
              <w:t> </w:t>
            </w:r>
          </w:p>
        </w:tc>
        <w:tc>
          <w:tcPr>
            <w:tcW w:w="91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39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22.01</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Granted</w:t>
            </w:r>
          </w:p>
        </w:tc>
        <w:tc>
          <w:tcPr>
            <w:tcW w:w="146" w:type="dxa"/>
            <w:tcBorders/>
            <w:vAlign w:val="center"/>
          </w:tcPr>
          <w:p>
            <w:pPr>
              <w:pStyle w:val="TableContents"/>
              <w:bidi w:val="0"/>
              <w:spacing w:before="0" w:after="0"/>
              <w:ind w:left="20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1,274,325</w:t>
            </w:r>
          </w:p>
        </w:tc>
        <w:tc>
          <w:tcPr>
            <w:tcW w:w="237"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right"/>
              <w:rPr/>
            </w:pPr>
            <w:r>
              <w:rPr/>
              <w:t> </w:t>
            </w:r>
          </w:p>
        </w:tc>
        <w:tc>
          <w:tcPr>
            <w:tcW w:w="918" w:type="dxa"/>
            <w:tcBorders/>
            <w:vAlign w:val="center"/>
          </w:tcPr>
          <w:p>
            <w:pPr>
              <w:pStyle w:val="TableContents"/>
              <w:bidi w:val="0"/>
              <w:spacing w:before="0" w:after="0"/>
              <w:ind w:left="0" w:right="0" w:hanging="0"/>
              <w:jc w:val="left"/>
              <w:rPr/>
            </w:pPr>
            <w:r>
              <w:rPr/>
              <w:t> </w:t>
            </w:r>
          </w:p>
        </w:tc>
        <w:tc>
          <w:tcPr>
            <w:tcW w:w="239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2.71</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Released</w:t>
            </w:r>
          </w:p>
        </w:tc>
        <w:tc>
          <w:tcPr>
            <w:tcW w:w="146" w:type="dxa"/>
            <w:tcBorders/>
            <w:vAlign w:val="center"/>
          </w:tcPr>
          <w:p>
            <w:pPr>
              <w:pStyle w:val="TableContents"/>
              <w:bidi w:val="0"/>
              <w:spacing w:before="0" w:after="0"/>
              <w:ind w:left="20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128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(158,531</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9" w:type="dxa"/>
            <w:tcBorders/>
            <w:vAlign w:val="center"/>
          </w:tcPr>
          <w:p>
            <w:pPr>
              <w:pStyle w:val="TableContents"/>
              <w:bidi w:val="0"/>
              <w:spacing w:before="0" w:after="0"/>
              <w:ind w:left="0" w:right="0" w:hanging="0"/>
              <w:jc w:val="right"/>
              <w:rPr/>
            </w:pPr>
            <w:r>
              <w:rPr/>
              <w:t> </w:t>
            </w:r>
          </w:p>
        </w:tc>
        <w:tc>
          <w:tcPr>
            <w:tcW w:w="918" w:type="dxa"/>
            <w:tcBorders/>
            <w:vAlign w:val="center"/>
          </w:tcPr>
          <w:p>
            <w:pPr>
              <w:pStyle w:val="TableContents"/>
              <w:bidi w:val="0"/>
              <w:spacing w:before="0" w:after="0"/>
              <w:ind w:left="0" w:right="0" w:hanging="0"/>
              <w:jc w:val="left"/>
              <w:rPr/>
            </w:pPr>
            <w:r>
              <w:rPr/>
              <w:t> </w:t>
            </w:r>
          </w:p>
        </w:tc>
        <w:tc>
          <w:tcPr>
            <w:tcW w:w="239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19.55</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Cancelled</w:t>
            </w:r>
          </w:p>
        </w:tc>
        <w:tc>
          <w:tcPr>
            <w:tcW w:w="146" w:type="dxa"/>
            <w:tcBorders/>
            <w:vAlign w:val="center"/>
          </w:tcPr>
          <w:p>
            <w:pPr>
              <w:pStyle w:val="TableContents"/>
              <w:bidi w:val="0"/>
              <w:spacing w:before="0" w:after="0"/>
              <w:ind w:left="20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(293,231</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9" w:type="dxa"/>
            <w:tcBorders/>
            <w:vAlign w:val="center"/>
          </w:tcPr>
          <w:p>
            <w:pPr>
              <w:pStyle w:val="TableContents"/>
              <w:bidi w:val="0"/>
              <w:spacing w:before="0" w:after="0"/>
              <w:ind w:left="0" w:right="0" w:hanging="0"/>
              <w:jc w:val="right"/>
              <w:rPr/>
            </w:pPr>
            <w:r>
              <w:rPr/>
              <w:t> </w:t>
            </w:r>
          </w:p>
        </w:tc>
        <w:tc>
          <w:tcPr>
            <w:tcW w:w="33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Outstanding – March 31, 2023</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1,425,124</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right"/>
              <w:rPr/>
            </w:pPr>
            <w:r>
              <w:rPr/>
              <w:t> </w:t>
            </w:r>
          </w:p>
        </w:tc>
        <w:tc>
          <w:tcPr>
            <w:tcW w:w="9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3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Stock-Based Compensation Expense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recognized stock-based compensation expense in the condensed consolidated statement of operations and comprehensive loss as follows:</w:t>
      </w:r>
      <w:r>
        <w:rPr>
          <w:rFonts w:ascii="Times New Roman" w:hAnsi="Times New Roman"/>
          <w:sz w:val="20"/>
        </w:rPr>
        <w:t xml:space="preserve"> </w:t>
      </w:r>
    </w:p>
    <w:p>
      <w:pPr>
        <w:pStyle w:val="TextBody"/>
        <w:bidi w:val="0"/>
        <w:spacing w:before="0" w:after="0"/>
        <w:jc w:val="left"/>
        <w:rPr/>
      </w:pPr>
      <w:r>
        <w:rPr/>
        <w:t> </w:t>
      </w:r>
    </w:p>
    <w:tbl>
      <w:tblPr>
        <w:tblW w:w="9496" w:type="dxa"/>
        <w:jc w:val="left"/>
        <w:tblInd w:w="0" w:type="dxa"/>
        <w:tblLayout w:type="fixed"/>
        <w:tblCellMar>
          <w:top w:w="28" w:type="dxa"/>
          <w:left w:w="28" w:type="dxa"/>
          <w:bottom w:w="28" w:type="dxa"/>
          <w:right w:w="28" w:type="dxa"/>
        </w:tblCellMar>
      </w:tblPr>
      <w:tblGrid>
        <w:gridCol w:w="3001"/>
        <w:gridCol w:w="146"/>
        <w:gridCol w:w="319"/>
        <w:gridCol w:w="832"/>
        <w:gridCol w:w="237"/>
        <w:gridCol w:w="237"/>
        <w:gridCol w:w="319"/>
        <w:gridCol w:w="979"/>
        <w:gridCol w:w="146"/>
        <w:gridCol w:w="146"/>
        <w:gridCol w:w="299"/>
        <w:gridCol w:w="781"/>
        <w:gridCol w:w="223"/>
        <w:gridCol w:w="223"/>
        <w:gridCol w:w="299"/>
        <w:gridCol w:w="918"/>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292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4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center"/>
              <w:rPr/>
            </w:pPr>
            <w:r>
              <w:rPr/>
              <w:t> </w:t>
            </w:r>
          </w:p>
        </w:tc>
        <w:tc>
          <w:tcPr>
            <w:tcW w:w="11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7" w:type="dxa"/>
            <w:tcBorders/>
            <w:vAlign w:val="center"/>
          </w:tcPr>
          <w:p>
            <w:pPr>
              <w:pStyle w:val="TableContents"/>
              <w:bidi w:val="0"/>
              <w:spacing w:before="0" w:after="0"/>
              <w:ind w:left="0" w:right="0" w:hanging="0"/>
              <w:jc w:val="center"/>
              <w:rPr/>
            </w:pPr>
            <w:r>
              <w:rPr/>
              <w:t> </w:t>
            </w:r>
          </w:p>
        </w:tc>
        <w:tc>
          <w:tcPr>
            <w:tcW w:w="12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3" w:type="dxa"/>
            <w:tcBorders/>
            <w:vAlign w:val="center"/>
          </w:tcPr>
          <w:p>
            <w:pPr>
              <w:pStyle w:val="TableContents"/>
              <w:bidi w:val="0"/>
              <w:spacing w:before="0" w:after="0"/>
              <w:ind w:left="0" w:right="0" w:hanging="0"/>
              <w:jc w:val="center"/>
              <w:rPr/>
            </w:pPr>
            <w:r>
              <w:rPr/>
              <w:t> </w:t>
            </w:r>
          </w:p>
        </w:tc>
        <w:tc>
          <w:tcPr>
            <w:tcW w:w="12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Cost of revenue</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w:t>
            </w:r>
          </w:p>
        </w:tc>
        <w:tc>
          <w:tcPr>
            <w:tcW w:w="237"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22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w:t>
            </w:r>
          </w:p>
        </w:tc>
        <w:tc>
          <w:tcPr>
            <w:tcW w:w="3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Research and development</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377</w:t>
            </w:r>
          </w:p>
        </w:tc>
        <w:tc>
          <w:tcPr>
            <w:tcW w:w="237"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587</w:t>
            </w:r>
          </w:p>
        </w:tc>
        <w:tc>
          <w:tcPr>
            <w:tcW w:w="22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314</w:t>
            </w:r>
          </w:p>
        </w:tc>
        <w:tc>
          <w:tcPr>
            <w:tcW w:w="3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Sales and marketing</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306</w:t>
            </w:r>
          </w:p>
        </w:tc>
        <w:tc>
          <w:tcPr>
            <w:tcW w:w="237"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513</w:t>
            </w:r>
          </w:p>
        </w:tc>
        <w:tc>
          <w:tcPr>
            <w:tcW w:w="22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383</w:t>
            </w:r>
          </w:p>
        </w:tc>
        <w:tc>
          <w:tcPr>
            <w:tcW w:w="3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General and administrative</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1,356</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3,596</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20,385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00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2,070</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4,734</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21,120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9. Net Loss Per Share</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sets forth the computation of the basic and diluted net loss per share attributable to common stockholders for the three and six months ended June 30, 2023 and 2022:</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745"/>
        <w:gridCol w:w="146"/>
        <w:gridCol w:w="223"/>
        <w:gridCol w:w="1042"/>
        <w:gridCol w:w="188"/>
        <w:gridCol w:w="165"/>
        <w:gridCol w:w="223"/>
        <w:gridCol w:w="1042"/>
        <w:gridCol w:w="166"/>
        <w:gridCol w:w="146"/>
        <w:gridCol w:w="210"/>
        <w:gridCol w:w="984"/>
        <w:gridCol w:w="177"/>
        <w:gridCol w:w="156"/>
        <w:gridCol w:w="210"/>
        <w:gridCol w:w="984"/>
        <w:gridCol w:w="398"/>
      </w:tblGrid>
      <w:tr>
        <w:trPr/>
        <w:tc>
          <w:tcPr>
            <w:tcW w:w="3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745" w:type="dxa"/>
            <w:tcBorders/>
            <w:vAlign w:val="center"/>
          </w:tcPr>
          <w:p>
            <w:pPr>
              <w:pStyle w:val="TableContents"/>
              <w:bidi w:val="0"/>
              <w:spacing w:before="0" w:after="0"/>
              <w:ind w:left="0" w:right="0" w:hanging="0"/>
              <w:jc w:val="left"/>
              <w:rPr>
                <w:rFonts w:cs="Times New Roman;serif"/>
                <w:bCs w:val="false"/>
                <w:szCs w:val="18"/>
              </w:rPr>
            </w:pPr>
            <w:r>
              <w:rPr>
                <w:rFonts w:cs="Times New Roman;serif"/>
                <w:bCs w:val="false"/>
                <w:szCs w:val="18"/>
              </w:rPr>
              <w:t>﻿</w:t>
            </w:r>
          </w:p>
        </w:tc>
        <w:tc>
          <w:tcPr>
            <w:tcW w:w="146" w:type="dxa"/>
            <w:tcBorders/>
            <w:vAlign w:val="center"/>
          </w:tcPr>
          <w:p>
            <w:pPr>
              <w:pStyle w:val="TableContents"/>
              <w:bidi w:val="0"/>
              <w:spacing w:before="0" w:after="0"/>
              <w:ind w:left="0" w:right="0" w:hanging="0"/>
              <w:jc w:val="left"/>
              <w:rPr/>
            </w:pPr>
            <w:r>
              <w:rPr/>
              <w:t> </w:t>
            </w:r>
          </w:p>
        </w:tc>
        <w:tc>
          <w:tcPr>
            <w:tcW w:w="288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For the six months ended June 30,</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5"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 except share and per share data)</w:t>
            </w:r>
          </w:p>
        </w:tc>
        <w:tc>
          <w:tcPr>
            <w:tcW w:w="146" w:type="dxa"/>
            <w:tcBorders/>
            <w:vAlign w:val="center"/>
          </w:tcPr>
          <w:p>
            <w:pPr>
              <w:pStyle w:val="TableContents"/>
              <w:bidi w:val="0"/>
              <w:spacing w:before="0" w:after="0"/>
              <w:ind w:left="0" w:right="0" w:hanging="0"/>
              <w:jc w:val="left"/>
              <w:rPr/>
            </w:pPr>
            <w:r>
              <w:rPr/>
              <w:t> </w:t>
            </w:r>
          </w:p>
        </w:tc>
        <w:tc>
          <w:tcPr>
            <w:tcW w:w="12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vAlign w:val="center"/>
          </w:tcPr>
          <w:p>
            <w:pPr>
              <w:pStyle w:val="TableContents"/>
              <w:bidi w:val="0"/>
              <w:spacing w:before="0" w:after="0"/>
              <w:ind w:left="0" w:right="0" w:hanging="0"/>
              <w:jc w:val="left"/>
              <w:rPr/>
            </w:pPr>
            <w:r>
              <w:rPr/>
              <w:t> </w:t>
            </w:r>
          </w:p>
        </w:tc>
        <w:tc>
          <w:tcPr>
            <w:tcW w:w="12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left"/>
              <w:rPr/>
            </w:pPr>
            <w:r>
              <w:rPr/>
              <w:t> </w:t>
            </w:r>
          </w:p>
        </w:tc>
        <w:tc>
          <w:tcPr>
            <w:tcW w:w="11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Numerator:</w:t>
            </w:r>
          </w:p>
        </w:tc>
        <w:tc>
          <w:tcPr>
            <w:tcW w:w="146" w:type="dxa"/>
            <w:tcBorders/>
            <w:vAlign w:val="center"/>
          </w:tcPr>
          <w:p>
            <w:pPr>
              <w:pStyle w:val="TableContents"/>
              <w:bidi w:val="0"/>
              <w:spacing w:before="0" w:after="0"/>
              <w:ind w:left="0" w:right="0" w:hanging="0"/>
              <w:jc w:val="left"/>
              <w:rPr/>
            </w:pPr>
            <w:r>
              <w:rPr/>
              <w:t> </w:t>
            </w:r>
          </w:p>
        </w:tc>
        <w:tc>
          <w:tcPr>
            <w:tcW w:w="1265" w:type="dxa"/>
            <w:gridSpan w:val="2"/>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88"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1265" w:type="dxa"/>
            <w:gridSpan w:val="2"/>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398" w:type="dxa"/>
            <w:tcBorders/>
            <w:vAlign w:val="center"/>
          </w:tcPr>
          <w:p>
            <w:pPr>
              <w:pStyle w:val="TableContents"/>
              <w:bidi w:val="0"/>
              <w:spacing w:before="0" w:after="0"/>
              <w:ind w:left="0" w:right="0" w:firstLine="200"/>
              <w:jc w:val="right"/>
              <w:rPr/>
            </w:pPr>
            <w:r>
              <w:rPr/>
              <w:t> </w:t>
            </w:r>
          </w:p>
        </w:tc>
      </w:tr>
      <w:tr>
        <w:trPr/>
        <w:tc>
          <w:tcPr>
            <w:tcW w:w="37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(28,660</w:t>
            </w:r>
          </w:p>
        </w:tc>
        <w:tc>
          <w:tcPr>
            <w:tcW w:w="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5"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(50,136</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(42,320</w:t>
            </w:r>
          </w:p>
        </w:tc>
        <w:tc>
          <w:tcPr>
            <w:tcW w:w="3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7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Denominator:</w:t>
            </w:r>
          </w:p>
        </w:tc>
        <w:tc>
          <w:tcPr>
            <w:tcW w:w="146" w:type="dxa"/>
            <w:tcBorders/>
            <w:vAlign w:val="center"/>
          </w:tcPr>
          <w:p>
            <w:pPr>
              <w:pStyle w:val="TableContents"/>
              <w:bidi w:val="0"/>
              <w:spacing w:before="0" w:after="0"/>
              <w:ind w:left="0" w:right="0" w:hanging="0"/>
              <w:jc w:val="left"/>
              <w:rPr/>
            </w:pPr>
            <w:r>
              <w:rPr/>
              <w:t> </w:t>
            </w:r>
          </w:p>
        </w:tc>
        <w:tc>
          <w:tcPr>
            <w:tcW w:w="1265" w:type="dxa"/>
            <w:gridSpan w:val="2"/>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88"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1265" w:type="dxa"/>
            <w:gridSpan w:val="2"/>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rFonts w:cs="Times New Roman;serif"/>
                <w:bCs w:val="false"/>
                <w:szCs w:val="18"/>
              </w:rPr>
            </w:pPr>
            <w:r>
              <w:rPr>
                <w:rFonts w:cs="Times New Roman;serif"/>
                <w:bCs w:val="false"/>
                <w:szCs w:val="18"/>
              </w:rPr>
              <w:t>﻿</w:t>
            </w:r>
          </w:p>
        </w:tc>
        <w:tc>
          <w:tcPr>
            <w:tcW w:w="398" w:type="dxa"/>
            <w:tcBorders/>
            <w:vAlign w:val="center"/>
          </w:tcPr>
          <w:p>
            <w:pPr>
              <w:pStyle w:val="TableContents"/>
              <w:bidi w:val="0"/>
              <w:spacing w:before="0" w:after="0"/>
              <w:ind w:left="0" w:right="0" w:firstLine="200"/>
              <w:jc w:val="right"/>
              <w:rPr/>
            </w:pPr>
            <w:r>
              <w:rPr/>
              <w:t> </w:t>
            </w:r>
          </w:p>
        </w:tc>
      </w:tr>
      <w:tr>
        <w:trPr/>
        <w:tc>
          <w:tcPr>
            <w:tcW w:w="37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Weighted average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25,512,057</w:t>
            </w:r>
          </w:p>
        </w:tc>
        <w:tc>
          <w:tcPr>
            <w:tcW w:w="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24,379,549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25,491,654</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23,685,766</w:t>
            </w:r>
          </w:p>
        </w:tc>
        <w:tc>
          <w:tcPr>
            <w:tcW w:w="3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Basic and diluted net loss per share</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w:t>
            </w:r>
          </w:p>
        </w:tc>
        <w:tc>
          <w:tcPr>
            <w:tcW w:w="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5"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(1.97</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(1.79</w:t>
            </w:r>
          </w:p>
        </w:tc>
        <w:tc>
          <w:tcPr>
            <w:tcW w:w="3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7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Anti-dilutive securities, excluded</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13,389,271</w:t>
            </w:r>
          </w:p>
        </w:tc>
        <w:tc>
          <w:tcPr>
            <w:tcW w:w="18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11,586,027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13,389,271</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11,586,027</w:t>
            </w:r>
          </w:p>
        </w:tc>
        <w:tc>
          <w:tcPr>
            <w:tcW w:w="398"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the Company incurred a net loss for the three and six months ended June 30, 2023 and 2022, none of the outstanding dilutive share-based awards were included in the diluted share calculation as they would have been anti-dilutive.</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10. Income Taxes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had income tax expense of $3,000</w:t>
      </w:r>
      <w:r>
        <w:rPr>
          <w:rFonts w:ascii="Times New Roman" w:hAnsi="Times New Roman"/>
          <w:sz w:val="20"/>
        </w:rPr>
        <w:t xml:space="preserve"> </w:t>
      </w:r>
      <w:r>
        <w:rPr>
          <w:rFonts w:ascii="Times New Roman;serif" w:hAnsi="Times New Roman;serif"/>
          <w:b w:val="false"/>
          <w:sz w:val="20"/>
        </w:rPr>
        <w:t>for the three and six months ended June 30, 2023, as compared to income tax benefit of $1.6</w:t>
      </w:r>
      <w:r>
        <w:rPr>
          <w:rFonts w:ascii="Times New Roman" w:hAnsi="Times New Roman"/>
          <w:sz w:val="20"/>
        </w:rPr>
        <w:t xml:space="preserve"> </w:t>
      </w:r>
      <w:r>
        <w:rPr>
          <w:rFonts w:ascii="Times New Roman;serif" w:hAnsi="Times New Roman;serif"/>
          <w:b w:val="false"/>
          <w:sz w:val="20"/>
        </w:rPr>
        <w:t>million for the three and six months ended June 30, 2022. The provision for income taxes for the three months ended June 30, 2023 and 2022 is based on the Company’s estimated annualized effective tax rate for the fiscal years ending December 31, 2023 and 2022, respectively. For the three and six months ended June 30, 2023, the Company’s recognized effective tax rate differs from the U.S. federal statutory rate as the Company recorded net losses during the period with a corresponding full valuation allowance on the net deferred tax assets created from the losses.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11. Commitments and Contingencies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Legal Proceedings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June 30, 2023 and December 31, 2022, respectively.</w:t>
      </w:r>
    </w:p>
    <w:p>
      <w:pPr>
        <w:pStyle w:val="TextBody"/>
        <w:bidi w:val="0"/>
        <w:spacing w:before="0" w:after="0"/>
        <w:jc w:val="both"/>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Indemnifications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the ordinary course of business, the Company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June 30, 2023 and December 31, 2022,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Unconditional Purchase Commitment</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the Company has an unconditional purchase commitment of $2.0</w:t>
      </w:r>
      <w:r>
        <w:rPr>
          <w:rFonts w:ascii="Times New Roman" w:hAnsi="Times New Roman"/>
          <w:sz w:val="20"/>
        </w:rPr>
        <w:t xml:space="preserve"> </w:t>
      </w:r>
      <w:r>
        <w:rPr>
          <w:rFonts w:ascii="Times New Roman;serif" w:hAnsi="Times New Roman;serif"/>
          <w:b w:val="false"/>
          <w:sz w:val="20"/>
        </w:rPr>
        <w:t>million, which is related to operational expenses and all of which was paid during the third quarter of 2023.</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12. Segment Information</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Company’s Interim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w:t>
      </w:r>
      <w:r>
        <w:rPr>
          <w:rFonts w:ascii="Times New Roman" w:hAnsi="Times New Roman"/>
          <w:sz w:val="20"/>
        </w:rPr>
        <w:t xml:space="preserve"> </w:t>
      </w:r>
      <w:r>
        <w:rPr>
          <w:rFonts w:ascii="Times New Roman;serif" w:hAnsi="Times New Roman;serif"/>
          <w:b w:val="false"/>
          <w:sz w:val="20"/>
        </w:rPr>
        <w:t>reportable segment and operating segment structure.</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Company’s revenue is derived primarily from U.S. customers. During the three and six months ended June 30, 2023, the Company had $0.2</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respectively, of revenue earned from customers located outside the United States. During the three and six months ended June 30, 2022, the Company had $0.6</w:t>
      </w:r>
      <w:r>
        <w:rPr>
          <w:rFonts w:ascii="Times New Roman" w:hAnsi="Times New Roman"/>
          <w:sz w:val="20"/>
        </w:rPr>
        <w:t xml:space="preserve"> </w:t>
      </w:r>
      <w:r>
        <w:rPr>
          <w:rFonts w:ascii="Times New Roman;serif" w:hAnsi="Times New Roman;serif"/>
          <w:b w:val="false"/>
          <w:sz w:val="20"/>
        </w:rPr>
        <w:t>million of revenue earned from customers located outside the United States.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All long-lived assets are maintained in the United States. All losses are attributable to operations within the United States.</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13. Employee Benefits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has a defined contribution 401(k) plan covering substantially all employees as of June 30, 2023. The plan allows employees to defer up to 100% of their employment income (subject to annual contribution limits imposed by the I.R.S.) after all taxes and applicable benefit deductions. In April 2022 the Company began providing employees with 401(k) matching on a portion of their contributions.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10" w:name="item_2_managements_discussion"/>
      <w:bookmarkEnd w:id="10"/>
      <w:r>
        <w:rPr>
          <w:rFonts w:ascii="Times New Roman;serif" w:hAnsi="Times New Roman;serif"/>
          <w:b/>
          <w:sz w:val="20"/>
        </w:rPr>
        <w:t>Item 2. Management</w:t>
      </w:r>
      <w:r>
        <w:rPr>
          <w:rFonts w:ascii="Times New Roman" w:hAnsi="Times New Roman"/>
          <w:sz w:val="20"/>
        </w:rPr>
        <w:t>’</w:t>
      </w:r>
      <w:r>
        <w:rPr>
          <w:rFonts w:ascii="Times New Roman;serif" w:hAnsi="Times New Roman;serif"/>
          <w:b/>
          <w:sz w:val="20"/>
        </w:rPr>
        <w:t>s Discussion and Analysis of Financial Condition and Results of Operations.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Throughout this section, unless otherwise noted, the “Company,” “Sarcos Technology and Robotics Corporation,” "Sarcos," “we,” “us,” and “our” refers to Sarcos Technology and Robotics Corporation,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2022 (the “2022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ability to sell our products to new and existing customers;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product roadmap, including expected timing of new product releases;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ability to manage and overcome supply chain challenges, including increases in the cost of and an interruption in the supply or availability of components, parts and materials;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competition from existing or future businesses and technologies;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ability to manage our growth and expenses;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ability to maintain, protect and enhance our intellectual property;</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ability to comply with modified or new laws and regulations applicable to our business;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ability to attract and retain qualified personnel with the necessary experience;</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ability to introduce new products that meet our customers’ requirements and to successfully transition to high volume manufacturing of our products by third-party manufacturers or by us;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projected financial and operating information and estimates of market size and opportunities;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future financial performance;</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 impact of the COVID-19 pandemic and global economic and geopolitical conditions on our business and the business of our customers;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changes in the markets for our products and services;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expansion plans and opportunities, including plans to expand our product availability globally;</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future capital requirements and sources and uses of cash;</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ability to defend and the outcome of any known and unknown litigation and regulatory proceedings;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ability to maintain and protect our brand; and</w:t>
      </w:r>
    </w:p>
    <w:p>
      <w:pPr>
        <w:pStyle w:val="TextBody"/>
        <w:bidi w:val="0"/>
        <w:spacing w:before="200" w:after="0"/>
        <w:jc w:val="both"/>
        <w:rPr/>
      </w:pPr>
      <w:r>
        <w:rPr/>
        <w:t>•</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other statements preceded by, followed by or that include the words “may,” “can,” “should,” “will,” “estimate,” “plan,” “project,” “forecast,” “intend,” “expect,” “anticipate,” “believe,” “seek,” “aim,” “target” or similar expressions.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00" w:after="0"/>
        <w:jc w:val="both"/>
        <w:rPr>
          <w:rFonts w:ascii="Times New Roman;serif" w:hAnsi="Times New Roman;serif"/>
          <w:b/>
          <w:sz w:val="20"/>
        </w:rPr>
      </w:pPr>
      <w:r>
        <w:rPr>
          <w:rFonts w:ascii="Times New Roman;serif" w:hAnsi="Times New Roman;serif"/>
          <w:b/>
          <w:sz w:val="20"/>
        </w:rPr>
        <w:t>Overview</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a technology leader in the design, development and manufacture of advanced robotic systems, solutions and software that redefine human possibilities. We design, develop and produce highly-dexterous mobile robotic systems and solutions for use in dynamic and unstructured environments and develop related software, including our AI/ML (artificial intelligence/machine learning) software platform to enable generalizable autonomy. Our mission is to increase worker productivity and longevity and prevent injuries through robotics. Our robotic systems are designed to augment and increase human productivity, rather than replace humans, by combining human intelligence, instinct and judgment with the strength, endurance and precision of machines.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a pioneer in the robotic systems industry and benefit from lessons learned over 30 years and significant investment in research and development in our proprietary technologies and our extensive patent portfolio. Through our development efforts on products such as the Guardian XO, Guardian XT, Guardian XM and Guardian Sea Class, we have developed a significant amount of advanced technology that we are leveraging across our systems and solutions. In addition, we have been developing AI software and technologies for many years. We believe our foundational technology developed over many years is a key competitive strength as we continue to develop and work to commercialize our products.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July 12, 2023, we announced that we had refined our sales strategy to focus on products that we believe have the most potential for near-term revenue growth and strategic opportunities that we believe show the greatest market traction and meet an acute customer need. These products include our Guardian Sea Class system and certain aviation (baggage handling and exterior aircraft maintenance) and solar (solar field panel installation) solutions, as well as our commercial AI autonomy software platform to enable generalizable autonomy. Each of these focus products has been under development for some time. We made the decision to focus on these products based on a combination of our views and expectations of customer demand, supply chain constraints and overall manufacturing and product technical readiness.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we announced steps to optimize our organization in pursuit of these product opportunities and to reduce costs, including reducing headcount and consolidating our Pittsburgh manufacturing into our Salt Lake City location. In connection with the restructuring, we incurred charges of $5.1 million in the three and six months ended June 30, 2023, related to the write-down of inventory and fixed assets. We anticipate incurring additional restructuring expense related to the reduction of headcount of approximately $6.0 million, net, during the third quarter of 2023, which includes approximately $1.5 million in cash severance and benefit payments. The remainder of the additional restructuring expense is anticipated to be non-cash adjustments largely related to the acceleration of stock-based compensation expense resulting from the accelerated termination of our redemption right over certain shares held by our former Chief Operating Officer in connection with the expected termination of his employment during the third quarter of 2023.</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a result of the narrowing and refinement of our sales strategy, and optimization of our organization we expect research and development, general and administrative, and sales and marketing expenses, exclusive of the additional restructuring expenses discussed above, to decrease significantly during the latter half of 2023.</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Based on feedback from our development customers and potential commercial customers, we have decided to offer our systems and solutions primarily through a sales business model where the customer purchases a system or solution for a one-time, upfront amount. We currently intend to offer our commercial AI autonomy software through a software-as-a-service (SaaS) revenue model. We also plan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to offer software upgrades and additional capabilities and to offer for sale add-on hardware components (such as additional interchangeable end-effectors).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Continuing Impact of COVID-19</w:t>
      </w:r>
    </w:p>
    <w:p>
      <w:pPr>
        <w:pStyle w:val="TextBody"/>
        <w:bidi w:val="0"/>
        <w:spacing w:before="0" w:after="0"/>
        <w:jc w:val="both"/>
        <w:rPr>
          <w:rFonts w:ascii="Times New Roman" w:hAnsi="Times New Roman"/>
          <w:sz w:val="20"/>
        </w:rPr>
      </w:pPr>
      <w:r>
        <w:rPr>
          <w:rFonts w:ascii="Times New Roman;serif" w:hAnsi="Times New Roman;serif"/>
          <w:b w:val="false"/>
          <w:sz w:val="20"/>
        </w:rPr>
        <w:t>We took several actions in response to the COVID-19 pandemic that resulted in significant disruptions to how we operate our business. Our customers and partners adopted similar policies. Although many of these measures are no longer in effect, we have experienced, and may continue to experience, an adverse impact on certain parts of our business as a result of measures to mitigate the COVID-19 pandemic and their resulting economic effects. Further, discontinued measures could be reinstituted, for example as a result of government requirements or in response to new variants of COVID-19.</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have experienced and may continue to experience disruptions in our supply chain, due in part to the global impact of the COVID-19 pandemic. Depending upon the duration of the ongoing COVID-19 pandemic and the associated business interruptions, our customers, suppliers, manufacturers and partners may suspend or delay their engagements with us, which could result in a material adverse effect on our financial condition and ability to meet current timelines. In an effort to manage potential supply chain risks, in particular long and unpredictable lead-times, we have accelerated and expect to continue to accelerate purchases of various materials, parts and components for the foreseeable future to support product development and current and future production of our commercial systems and solutions, which has increased and will likely continue to increase our use of cash. In addition, the COVID-19 pandemic has affected and may continue to affect our ability to recruit skilled employees to join our team. The conditions caused by the pandemic have adversely affected and may continue to adversely affect, among other things, demand for our products and the ability to test and assess our robotic systems with potential customers any of which adversely affects our business, results of operations and financial condition. The duration and extent of the COVID-19 pandemic and its impacts cannot be accurately predicted at this time, and the ultimate direct and indirect impacts on our business, results of operations and financial condition will depend on future developments that are highly uncertain.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will continue to monitor the global impact of COVID-19 and its effects on our business and operations closely. We do not yet know the full extent of potential impacts on our business or operations. In particular, the effect of the COVID-19 pandemic may not be fully reflected in our operating results until future periods. Given this uncertainty, we cannot reasonably estimate the impact of the COVID-19 pandemic on our future results of operations, cash flows, or financial condition.</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Key Factors Affecting Operating Results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believe that our performance and future success depend on several factors that present significant opportunities for us but also pose risks and challenges, including those discussed below and in Part II Item 1A Risk Factors.</w:t>
      </w:r>
    </w:p>
    <w:p>
      <w:pPr>
        <w:pStyle w:val="TextBody"/>
        <w:bidi w:val="0"/>
        <w:spacing w:before="0" w:after="0"/>
        <w:jc w:val="both"/>
        <w:rPr>
          <w:rFonts w:ascii="Times New Roman;serif" w:hAnsi="Times New Roman;serif"/>
          <w:b/>
          <w:i/>
          <w:sz w:val="20"/>
        </w:rPr>
      </w:pPr>
      <w:r>
        <w:rPr>
          <w:rFonts w:ascii="Times New Roman;serif" w:hAnsi="Times New Roman;serif"/>
          <w:b/>
          <w:i/>
          <w:sz w:val="20"/>
        </w:rPr>
        <w:t>Development, Testing and Commercial Launch of our Products</w:t>
      </w:r>
    </w:p>
    <w:p>
      <w:pPr>
        <w:pStyle w:val="TextBody"/>
        <w:bidi w:val="0"/>
        <w:spacing w:before="0" w:after="0"/>
        <w:jc w:val="both"/>
        <w:rPr>
          <w:rFonts w:ascii="Times New Roman" w:hAnsi="Times New Roman"/>
          <w:sz w:val="20"/>
        </w:rPr>
      </w:pPr>
      <w:r>
        <w:rPr>
          <w:rFonts w:ascii="Times New Roman;serif" w:hAnsi="Times New Roman;serif"/>
          <w:b w:val="false"/>
          <w:sz w:val="20"/>
        </w:rPr>
        <w:t>We are focusing our business efforts on products that we believe have the most potential for near-term revenue growth and strategic opportunities that we believe show the greatest market traction and meet an acute customer need. These products include our Guardian Sea Class system and certain aviation (baggage handling and exterior aircraft maintenance) and solar (solar field panel installation) solutions, as well as a commercial AI autonomy software platform to enable generalizable autonomy. We believe that our ability to successfully develop, launch and sell these commercial products will determine our near- to mid-term financial success. We made the decision to focus on these products based on a combination of our views and expectations of customer demand, supply chain constraints and overall manufacturing and product technical readiness. Whether we are successful depends on many factors, including those discussed under Part II Item 1A Risk Factors “</w:t>
      </w:r>
      <w:r>
        <w:rPr>
          <w:rFonts w:ascii="Times New Roman;serif" w:hAnsi="Times New Roman;serif"/>
          <w:b w:val="false"/>
          <w:i/>
          <w:sz w:val="20"/>
        </w:rPr>
        <w:t>Risks Related to Our Business.</w:t>
      </w:r>
      <w:r>
        <w:rPr>
          <w:rFonts w:ascii="Times New Roman" w:hAnsi="Times New Roman"/>
          <w:sz w:val="20"/>
        </w:rPr>
        <w:t xml:space="preserve">” </w:t>
      </w:r>
      <w:r>
        <w:rPr>
          <w:rFonts w:ascii="Times New Roman;serif" w:hAnsi="Times New Roman;serif"/>
          <w:b w:val="false"/>
          <w:sz w:val="20"/>
        </w:rPr>
        <w:t>Such risks may result in delay of the anticipated commercial launch of one or more of our products, which would adversely affect our financial condition and operating results.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Financing of Operations</w:t>
      </w:r>
    </w:p>
    <w:p>
      <w:pPr>
        <w:pStyle w:val="TextBody"/>
        <w:bidi w:val="0"/>
        <w:spacing w:before="0" w:after="0"/>
        <w:jc w:val="both"/>
        <w:rPr>
          <w:rFonts w:ascii="Times New Roman" w:hAnsi="Times New Roman"/>
          <w:sz w:val="20"/>
        </w:rPr>
      </w:pPr>
      <w:r>
        <w:rPr>
          <w:rFonts w:ascii="Times New Roman;serif" w:hAnsi="Times New Roman;serif"/>
          <w:b w:val="false"/>
          <w:sz w:val="20"/>
        </w:rPr>
        <w:t>Prior to commercialization, we must complete the development, testing and manufacturing requirements of our products. As a result, we will spend a material portion of our cash on hand to develop our products and fund operations for the foreseeable future. The amount and timing of our future funding requirements will depend on many factors, including the pace and results of our product development efforts, our ability to manufacture, sell and deliver commercial products and thereby recognize associated revenue, capital requirements to build commercial products prior to receiving payments sufficient to cover our costs and our ability to lower product costs as volumes increase. As sales volumes increase, we may seek outside financing to help cover production costs for product orders. In addition, we have taken numerous steps to manage our use of cash and believe we have sufficient capital to fund our business for at least the next 12 months without seeking additional capital. For example, on July 12, 2023 we announced a reduction in force ("RIF") intended to further conserve the Company’s current cash resources and manage operating expenses. The majority of the cash payments related to these expenses will be paid out during the third quarter of 2023. The reduction in force is expected to be completed by the end of 2023. We believe we have sufficient liquidity to operate into 2025 without the need to raise additional capital. However, we expect to need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additional capital before becoming cash flow positive, which we do not expect to achieve until at least 2025.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product manufacturing and inventory costs and pursue business objectives. We currently have no plans to do an equity financing in 2023, but we could change our plans if we determine it to be necessary or advisable. Any delays in the successful commercialization and sales of our products will negatively impact our ability to generate revenue, our profitability and our overall operating performance and result in the need to raise additional capital sooner than expected.</w:t>
      </w:r>
    </w:p>
    <w:p>
      <w:pPr>
        <w:pStyle w:val="TextBody"/>
        <w:bidi w:val="0"/>
        <w:spacing w:before="0" w:after="0"/>
        <w:jc w:val="both"/>
        <w:rPr>
          <w:rFonts w:ascii="Times New Roman;serif" w:hAnsi="Times New Roman;serif"/>
          <w:b/>
          <w:i/>
          <w:sz w:val="20"/>
        </w:rPr>
      </w:pPr>
      <w:r>
        <w:rPr>
          <w:rFonts w:ascii="Times New Roman;serif" w:hAnsi="Times New Roman;serif"/>
          <w:b/>
          <w:i/>
          <w:sz w:val="20"/>
        </w:rPr>
        <w:t>Acquisition and Integration of RE2</w:t>
      </w:r>
    </w:p>
    <w:p>
      <w:pPr>
        <w:pStyle w:val="TextBody"/>
        <w:bidi w:val="0"/>
        <w:spacing w:before="0" w:after="0"/>
        <w:jc w:val="both"/>
        <w:rPr>
          <w:rFonts w:ascii="Times New Roman" w:hAnsi="Times New Roman"/>
          <w:sz w:val="20"/>
        </w:rPr>
      </w:pPr>
      <w:r>
        <w:rPr>
          <w:rFonts w:ascii="Times New Roman;serif" w:hAnsi="Times New Roman;serif"/>
          <w:b w:val="false"/>
          <w:sz w:val="20"/>
        </w:rPr>
        <w:t>On April 25, 2022, we acquired RE2, Inc., a Pittsburgh, PA based developer of manipulator arms with human-like performance, intuitive robot interfaces and advanced autonomy capabilities. The results presented and discussed below include the activity for RE2 from the acquisition date through June 30, 2023. Our results do not include RE2’s financial information prior to the acquisition.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Customer Demand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 result of interactions with potential customers, which generally communicated a near-term preference for specific solutions rather than more general purpose systems (other than the Guardian Sea Class), we determined to refine our sales and product development strategy to focus on products that we believe have the most potential for near-term revenue growth and strategic opportunities that we believe show the greatest market traction and meet an acute customer need. These products include our Guardian Sea Class system and certain aviation (baggage handling and exterior aircraft maintenance) and solar (solar field panel installation) solutions, as well as a commercial AI software platform to enable generalizable autonomy. Because our robotic systems and solutions represent new product categories or advancements in markets that currently rely generally on conventional, manual systems, or low function manipulation mechanisms, the market demand for our products is unproven, and important assumptions about the characteristics of targeted markets, pricing and sales cycles may be inaccurate. Market demand for our AI autonomy software and our ability to successfully develop this software into a commercial product are similarly unproven. If customer demand does not develop as expected or we do not accurately forecast pricing, adoption rates and sales cycles for our products, our business, results of operations and financial condition will be adversely affected.</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Manufacturing of Our Products</w:t>
      </w:r>
    </w:p>
    <w:p>
      <w:pPr>
        <w:pStyle w:val="TextBody"/>
        <w:bidi w:val="0"/>
        <w:spacing w:before="0" w:after="0"/>
        <w:jc w:val="both"/>
        <w:rPr>
          <w:rFonts w:ascii="Times New Roman" w:hAnsi="Times New Roman"/>
          <w:sz w:val="20"/>
        </w:rPr>
      </w:pPr>
      <w:r>
        <w:rPr>
          <w:rFonts w:ascii="Times New Roman;serif" w:hAnsi="Times New Roman;serif"/>
          <w:b w:val="false"/>
          <w:sz w:val="20"/>
        </w:rPr>
        <w:t>To the extent we obtain commercial orders for our products, we will need to manufacture and deliver them to our customers. We have entered into an agreement with a third-party contract manufacturer and expect to generally outsource manufacturing of our products over time. However, engaging with a manufacturing partner will likely require significant time, ramp-up, testing and coordination before high-volume production capability by the partner is achieved. Further, the timing of this process will likely be delayed due to our new sales and product development strategy. We currently do not anticipate high-volume production by our contract manufacturing partner to be in place until after 2023. We expect that this contract manufacturing partner will initially focus on helping us produce product sub-systems. With our refined sales strategy and focus products, we may be unable to successfully transition our contract manufacturing partner to our new focus products, provide it with sufficient volume or otherwise maintain the relationship. However, we believe we have sufficient internal manufacturing capacity to meet near-term demand for our focus products. For additional information around the risks associated with contract manufacturing see Part II Item 1A Risk Factors “</w:t>
      </w:r>
      <w:r>
        <w:rPr>
          <w:rFonts w:ascii="Times New Roman;serif" w:hAnsi="Times New Roman;serif"/>
          <w:b w:val="false"/>
          <w:i/>
          <w:sz w:val="20"/>
        </w:rPr>
        <w:t>Our expected transition to an outsourced manufacturing business model may not be successful, which could harm our ability to deliver products and recognize revenue.</w:t>
      </w:r>
      <w:r>
        <w:rPr>
          <w:rFonts w:ascii="Times New Roman" w:hAnsi="Times New Roman"/>
          <w:sz w:val="20"/>
        </w:rPr>
        <w:t>”</w:t>
      </w:r>
    </w:p>
    <w:p>
      <w:pPr>
        <w:pStyle w:val="TextBody"/>
        <w:bidi w:val="0"/>
        <w:spacing w:before="0" w:after="0"/>
        <w:jc w:val="both"/>
        <w:rPr>
          <w:rFonts w:ascii="Times New Roman" w:hAnsi="Times New Roman"/>
          <w:sz w:val="20"/>
        </w:rPr>
      </w:pPr>
      <w:r>
        <w:rPr>
          <w:rFonts w:ascii="Times New Roman;serif" w:hAnsi="Times New Roman;serif"/>
          <w:b/>
          <w:i/>
          <w:sz w:val="20"/>
        </w:rPr>
        <w:t>Continued Investment and Innovation</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a pioneer in the robotic systems industry and benefit from lessons learned over 30 years and significant investment in research and development in our proprietary technologies and our extensive patent portfolio. However, we believe our financial performance is significantly dependent on our ability to maintain this leading position and further dependent on the investments we make in research and development. It is important that we continually identify and respond to rapidly evolving customer requirements and competitive threats, develop and introduce innovative products, enhance and service our products and generate active market demand for our products. If we fail to do this, our market position and revenue may be adversely affected, and our investments in these technologies will not be recovered.</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Geopolitical and Macro-economic Environment</w:t>
      </w:r>
    </w:p>
    <w:p>
      <w:pPr>
        <w:pStyle w:val="TextBody"/>
        <w:bidi w:val="0"/>
        <w:spacing w:before="0" w:after="0"/>
        <w:jc w:val="both"/>
        <w:rPr>
          <w:rFonts w:ascii="Times New Roman" w:hAnsi="Times New Roman"/>
          <w:sz w:val="20"/>
        </w:rPr>
      </w:pPr>
      <w:r>
        <w:rPr>
          <w:rFonts w:ascii="Times New Roman;serif" w:hAnsi="Times New Roman;serif"/>
          <w:b w:val="false"/>
          <w:sz w:val="20"/>
        </w:rPr>
        <w:t>Geopolitical and macro-economic factors, such as inflation, rising interest rates, oil prices, unemployment rates, the war in Ukraine, volatility in the stock market and political or social unrest, can have significant impacts on economic activity, which in turn could affect demand for our products or our ability to cost-effectively develop, sell and manufacture our products. Among other things, these and similar factors can affect our supply chain, our ability to hire qualified personnel, our labor and materials costs, the prices we charge for our products and the budgets of our customers and their expected return-on-investment from the purchase of or subscription for our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products.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discussion below regarding our results of operations for the three and six months ended June 30, 2023 and 2022 includes the financial results of RE2 beginning on the acquisition date through June 30, 2023. Our results do not include RE2’s financial information prior to the acquisition.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Comparison of the Three Months Ended June 30, 2023, and 2022</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Revenue, Net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presents our revenue for the three months ended June 30, 2023 and 2022, respectively:</w:t>
      </w:r>
    </w:p>
    <w:p>
      <w:pPr>
        <w:pStyle w:val="TextBody"/>
        <w:bidi w:val="0"/>
        <w:spacing w:before="0" w:after="0"/>
        <w:jc w:val="both"/>
        <w:rPr/>
      </w:pPr>
      <w:r>
        <w:rPr/>
        <w:t> </w:t>
      </w:r>
    </w:p>
    <w:tbl>
      <w:tblPr>
        <w:tblW w:w="8359" w:type="dxa"/>
        <w:jc w:val="left"/>
        <w:tblInd w:w="0" w:type="dxa"/>
        <w:tblLayout w:type="fixed"/>
        <w:tblCellMar>
          <w:top w:w="28" w:type="dxa"/>
          <w:left w:w="28" w:type="dxa"/>
          <w:bottom w:w="28" w:type="dxa"/>
          <w:right w:w="28" w:type="dxa"/>
        </w:tblCellMar>
      </w:tblPr>
      <w:tblGrid>
        <w:gridCol w:w="2971"/>
        <w:gridCol w:w="146"/>
        <w:gridCol w:w="281"/>
        <w:gridCol w:w="732"/>
        <w:gridCol w:w="209"/>
        <w:gridCol w:w="209"/>
        <w:gridCol w:w="281"/>
        <w:gridCol w:w="732"/>
        <w:gridCol w:w="146"/>
        <w:gridCol w:w="146"/>
        <w:gridCol w:w="220"/>
        <w:gridCol w:w="643"/>
        <w:gridCol w:w="187"/>
        <w:gridCol w:w="164"/>
        <w:gridCol w:w="276"/>
        <w:gridCol w:w="655"/>
        <w:gridCol w:w="36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44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10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9" w:type="dxa"/>
            <w:tcBorders/>
            <w:vAlign w:val="center"/>
          </w:tcPr>
          <w:p>
            <w:pPr>
              <w:pStyle w:val="TableContents"/>
              <w:bidi w:val="0"/>
              <w:spacing w:before="0" w:after="0"/>
              <w:ind w:left="0" w:right="0" w:hanging="0"/>
              <w:jc w:val="left"/>
              <w:rPr/>
            </w:pPr>
            <w:r>
              <w:rPr/>
              <w:t> </w:t>
            </w:r>
          </w:p>
        </w:tc>
        <w:tc>
          <w:tcPr>
            <w:tcW w:w="10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Development Contract Revenue</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1,274</w:t>
            </w:r>
          </w:p>
        </w:tc>
        <w:tc>
          <w:tcPr>
            <w:tcW w:w="209"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(1,708</w:t>
            </w:r>
          </w:p>
        </w:tc>
        <w:tc>
          <w:tcPr>
            <w:tcW w:w="1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Revenue</w:t>
            </w:r>
          </w:p>
        </w:tc>
        <w:tc>
          <w:tcPr>
            <w:tcW w:w="146" w:type="dxa"/>
            <w:tcBorders/>
            <w:vAlign w:val="center"/>
          </w:tcPr>
          <w:p>
            <w:pPr>
              <w:pStyle w:val="TableContents"/>
              <w:bidi w:val="0"/>
              <w:spacing w:before="0" w:after="0"/>
              <w:ind w:left="0" w:right="0" w:hanging="0"/>
              <w:jc w:val="lef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Revenue, net</w:t>
            </w:r>
          </w:p>
        </w:tc>
        <w:tc>
          <w:tcPr>
            <w:tcW w:w="146" w:type="dxa"/>
            <w:tcBorders/>
            <w:vAlign w:val="center"/>
          </w:tcPr>
          <w:p>
            <w:pPr>
              <w:pStyle w:val="TableContents"/>
              <w:bidi w:val="0"/>
              <w:spacing w:before="0" w:after="0"/>
              <w:ind w:left="0" w:right="0" w:hanging="0"/>
              <w:jc w:val="left"/>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1,277</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(1,761</w:t>
            </w:r>
          </w:p>
        </w:tc>
        <w:tc>
          <w:tcPr>
            <w:tcW w:w="1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Revenue decreased by $1.8 million, or 58%, from $3.0 million for the three months ended June 30, 2022, to $1.3 million for the three months ended June 30, 2023, as explained below.</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Product Development Contract Revenue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Product development contract revenue decreased by $1.7 million, or 57%, from $3.0 million for the three months ended June 30, 2022, to $1.3 million for the three months ended June 30, 2023. The decrease was primarily due to the completion of certain product development contracts during the first half of 2023 that have not yet been replaced with new contracts. We expect future revenue from product development contracts to fluctuate due to the timing of additional development contracts signed and the completion of existing contracts. We continue to take on only those contracts that support and contribute to our commercialization efforts. As we focus on initial commercial sales of our products, our product development contract revenue is expected to decrease as a percentage of total revenue.</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Product Revenue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Revenue derived from product sales was not significant for the three months ended June 30, 2022 or the three months ended June 30, 2023. For the period ended June 30, 2022, the lack of product sales was due to our focus on product development in preparation for the commercial launch of certain products. For the period ended June 30, 2023, we believe the lack of product sales was primarily due to various factors, including customer budget constraints, the impact on potential customers of macroeconomic factors and lack of near-term customer need for our general purpose systems (other than the Guardian Sea Class). As described elsewhere in this Report, as a result of interactions with potential customers, which generally communicated a near-term preference for specific solutions rather than more general purpose systems (other than the Guardian Sea Class), we have determined to refine our sales and product development strategy to focus on products that we believe have the most potential for near-term revenue growth and strategic opportunities that we believe show the greatest market traction and meet an acute customer need.</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Operating Expenses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presents our operating expenses for the three months ended June 30, 2023 and 2022:</w:t>
      </w:r>
    </w:p>
    <w:p>
      <w:pPr>
        <w:pStyle w:val="TextBody"/>
        <w:bidi w:val="0"/>
        <w:spacing w:before="0" w:after="0"/>
        <w:jc w:val="both"/>
        <w:rPr/>
      </w:pPr>
      <w:r>
        <w:rPr/>
        <w:t> </w:t>
      </w:r>
    </w:p>
    <w:tbl>
      <w:tblPr>
        <w:tblW w:w="8229" w:type="dxa"/>
        <w:jc w:val="left"/>
        <w:tblInd w:w="0" w:type="dxa"/>
        <w:tblLayout w:type="fixed"/>
        <w:tblCellMar>
          <w:top w:w="28" w:type="dxa"/>
          <w:left w:w="28" w:type="dxa"/>
          <w:bottom w:w="28" w:type="dxa"/>
          <w:right w:w="28" w:type="dxa"/>
        </w:tblCellMar>
      </w:tblPr>
      <w:tblGrid>
        <w:gridCol w:w="2641"/>
        <w:gridCol w:w="146"/>
        <w:gridCol w:w="254"/>
        <w:gridCol w:w="779"/>
        <w:gridCol w:w="189"/>
        <w:gridCol w:w="189"/>
        <w:gridCol w:w="254"/>
        <w:gridCol w:w="779"/>
        <w:gridCol w:w="146"/>
        <w:gridCol w:w="146"/>
        <w:gridCol w:w="220"/>
        <w:gridCol w:w="643"/>
        <w:gridCol w:w="187"/>
        <w:gridCol w:w="164"/>
        <w:gridCol w:w="276"/>
        <w:gridCol w:w="655"/>
        <w:gridCol w:w="56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44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10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9" w:type="dxa"/>
            <w:tcBorders/>
            <w:vAlign w:val="center"/>
          </w:tcPr>
          <w:p>
            <w:pPr>
              <w:pStyle w:val="TableContents"/>
              <w:bidi w:val="0"/>
              <w:spacing w:before="0" w:after="0"/>
              <w:ind w:left="0" w:right="0" w:hanging="0"/>
              <w:jc w:val="left"/>
              <w:rPr/>
            </w:pPr>
            <w:r>
              <w:rPr/>
              <w:t> </w:t>
            </w:r>
          </w:p>
        </w:tc>
        <w:tc>
          <w:tcPr>
            <w:tcW w:w="10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146" w:type="dxa"/>
            <w:tcBorders/>
            <w:vAlign w:val="center"/>
          </w:tcPr>
          <w:p>
            <w:pPr>
              <w:pStyle w:val="TableContents"/>
              <w:bidi w:val="0"/>
              <w:spacing w:before="0" w:after="0"/>
              <w:ind w:left="0" w:right="0" w:hanging="0"/>
              <w:jc w:val="left"/>
              <w:rPr/>
            </w:pPr>
            <w:r>
              <w:rPr/>
              <w:t> </w:t>
            </w:r>
          </w:p>
        </w:tc>
        <w:tc>
          <w:tcPr>
            <w:tcW w:w="1033" w:type="dxa"/>
            <w:gridSpan w:val="2"/>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103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63" w:type="dxa"/>
            <w:gridSpan w:val="2"/>
            <w:tcBorders/>
            <w:vAlign w:val="center"/>
          </w:tcPr>
          <w:p>
            <w:pPr>
              <w:pStyle w:val="TableContents"/>
              <w:bidi w:val="0"/>
              <w:spacing w:before="0" w:after="0"/>
              <w:ind w:left="0" w:right="0" w:hanging="0"/>
              <w:jc w:val="right"/>
              <w:rPr/>
            </w:pPr>
            <w:r>
              <w:rPr/>
              <w:t> </w:t>
            </w:r>
          </w:p>
        </w:tc>
        <w:tc>
          <w:tcPr>
            <w:tcW w:w="187" w:type="dxa"/>
            <w:tcBorders/>
            <w:vAlign w:val="center"/>
          </w:tcPr>
          <w:p>
            <w:pPr>
              <w:pStyle w:val="TableContents"/>
              <w:bidi w:val="0"/>
              <w:spacing w:before="0" w:after="0"/>
              <w:ind w:left="0" w:right="0" w:hanging="0"/>
              <w:jc w:val="right"/>
              <w:rPr/>
            </w:pPr>
            <w:r>
              <w:rPr/>
              <w:t> </w:t>
            </w:r>
          </w:p>
        </w:tc>
        <w:tc>
          <w:tcPr>
            <w:tcW w:w="164"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561" w:type="dxa"/>
            <w:tcBorders/>
            <w:vAlign w:val="center"/>
          </w:tcPr>
          <w:p>
            <w:pPr>
              <w:pStyle w:val="TableContents"/>
              <w:bidi w:val="0"/>
              <w:spacing w:before="0" w:after="0"/>
              <w:ind w:left="0" w:right="0" w:firstLine="200"/>
              <w:jc w:val="right"/>
              <w:rPr/>
            </w:pPr>
            <w:r>
              <w:rPr/>
              <w:t> </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Cost of revenue</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943</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(2,203</w:t>
            </w:r>
          </w:p>
        </w:tc>
        <w:tc>
          <w:tcPr>
            <w:tcW w:w="1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11,706</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4,137</w:t>
            </w:r>
          </w:p>
        </w:tc>
        <w:tc>
          <w:tcPr>
            <w:tcW w:w="187"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8,252</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(9,894</w:t>
            </w:r>
          </w:p>
        </w:tc>
        <w:tc>
          <w:tcPr>
            <w:tcW w:w="1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Sales and marketing</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4,410</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1,824</w:t>
            </w:r>
          </w:p>
        </w:tc>
        <w:tc>
          <w:tcPr>
            <w:tcW w:w="187"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Intangible amortization expense</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819</w:t>
            </w:r>
          </w:p>
        </w:tc>
        <w:tc>
          <w:tcPr>
            <w:tcW w:w="189"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64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245</w:t>
            </w:r>
          </w:p>
        </w:tc>
        <w:tc>
          <w:tcPr>
            <w:tcW w:w="187"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Asset write-down and restructuring</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5,106</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5,106</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*NM</w:t>
            </w:r>
          </w:p>
        </w:tc>
        <w:tc>
          <w:tcPr>
            <w:tcW w:w="561" w:type="dxa"/>
            <w:tcBorders/>
            <w:vAlign w:val="center"/>
          </w:tcPr>
          <w:p>
            <w:pPr>
              <w:pStyle w:val="TableContents"/>
              <w:bidi w:val="0"/>
              <w:spacing w:before="0" w:after="0"/>
              <w:ind w:left="0" w:right="0" w:hanging="0"/>
              <w:jc w:val="righ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31,236</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32,021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(785</w:t>
            </w:r>
          </w:p>
        </w:tc>
        <w:tc>
          <w:tcPr>
            <w:tcW w:w="1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*NM - Not Meaningful</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Cost of Revenue</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Cost of revenue decreased by $2.2 million, or 70%, from $3.1 million for the three months ended June 30, 2022, to $0.9 million for the three months ended June 30, 2023. Cost of revenue decreased mainly due to decreased labor and material expenses charged to product development contracts during the three months ended June 30, 2023.</w:t>
      </w:r>
      <w:r>
        <w:rPr>
          <w:rFonts w:ascii="Times New Roman" w:hAnsi="Times New Roman"/>
          <w:sz w:val="20"/>
        </w:rPr>
        <w:t xml:space="preserve">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Research and development expense increased by $4.1 million, or 55% from $7.6 million for the three months ended June 30, 2022, to $11.7 million for the three months ended June 30, 2023. The increase was driven primarily by increased labor and overhead expense as a result of increased headcount (due in part to the RE2 acquisition) and the shift of labor from cost of revenue to research and development due to the timing of new product development contracts being signed and the focus on new product development and commercialization efforts. As a result, allocated overhead and fringe related costs also increased due to the increase in labor costs. We continue to prioritize our efforts on development and commercialization of our focus products.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General and Administrative</w:t>
      </w:r>
    </w:p>
    <w:p>
      <w:pPr>
        <w:pStyle w:val="TextBody"/>
        <w:bidi w:val="0"/>
        <w:spacing w:before="0" w:after="0"/>
        <w:jc w:val="both"/>
        <w:rPr>
          <w:rFonts w:ascii="Times New Roman" w:hAnsi="Times New Roman"/>
          <w:sz w:val="20"/>
        </w:rPr>
      </w:pPr>
      <w:r>
        <w:rPr>
          <w:rFonts w:ascii="Times New Roman;serif" w:hAnsi="Times New Roman;serif"/>
          <w:b w:val="false"/>
          <w:sz w:val="20"/>
        </w:rPr>
        <w:t>General and administrative expense decreased by $9.9 million, or 55%, from $18.1 million for the three months ended June 30, 2022, to $8.3 million for the three months ended June 30, 2023. General and administrative expense decreased primarily due to reduced stock-based compensation expense of $8.5 million due to certain awards vesting in the prior year. In addition to the decrease in stock-based compensation expense, business insurance expense decreased during the current year period to more favorable rates resulting from the latest renewal and legal fees decreased in comparison to the prior year period due to the lack of acquisition-related legal expenses arising from the RE2 acquisition during the prior year period.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Sales and Marketing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Sales and marketing expense increased by $1.8 million, or 71%, from $2.6 million for the three months ended June 30, 2022, to $4.4 million for the three months ended June 30, 2023. This increase was driven by an increase in professional service fees related to third-party platform expense utilized in data management of our products and services and increased promotional and event expense during the current year period.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Intangible Amortization Expense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Intangible amortization expense increased by $0.2 million, from $0.6 million for three months ended June 30, 2022, to $0.8 million for the three months ended June 30, 2023. The increase in intangible amortization expense is due to the recognition of amortization expenses on identified intangible assets recorded as part of the RE2 acquisition.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Asset Write-down and Restructuring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Asset write-down and restructuring expenses were $5.1 million for the three months ended June 30, 2023, which includes a write-down of $4.4 million of inventory and $0.7 million of impairment of certain fixed assets as a result our product development reprioritization.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Other Income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presents other income for the three months ended June 30, 2023 and 2022, respectively:</w:t>
      </w:r>
    </w:p>
    <w:p>
      <w:pPr>
        <w:pStyle w:val="TextBody"/>
        <w:bidi w:val="0"/>
        <w:spacing w:before="0" w:after="0"/>
        <w:jc w:val="both"/>
        <w:rPr/>
      </w:pPr>
      <w:r>
        <w:rPr/>
        <w:t> </w:t>
      </w:r>
    </w:p>
    <w:tbl>
      <w:tblPr>
        <w:tblW w:w="7430" w:type="dxa"/>
        <w:jc w:val="left"/>
        <w:tblInd w:w="0" w:type="dxa"/>
        <w:tblLayout w:type="fixed"/>
        <w:tblCellMar>
          <w:top w:w="28" w:type="dxa"/>
          <w:left w:w="28" w:type="dxa"/>
          <w:bottom w:w="28" w:type="dxa"/>
          <w:right w:w="28" w:type="dxa"/>
        </w:tblCellMar>
      </w:tblPr>
      <w:tblGrid>
        <w:gridCol w:w="1846"/>
        <w:gridCol w:w="146"/>
        <w:gridCol w:w="277"/>
        <w:gridCol w:w="724"/>
        <w:gridCol w:w="235"/>
        <w:gridCol w:w="206"/>
        <w:gridCol w:w="277"/>
        <w:gridCol w:w="724"/>
        <w:gridCol w:w="166"/>
        <w:gridCol w:w="146"/>
        <w:gridCol w:w="216"/>
        <w:gridCol w:w="631"/>
        <w:gridCol w:w="183"/>
        <w:gridCol w:w="161"/>
        <w:gridCol w:w="260"/>
        <w:gridCol w:w="671"/>
        <w:gridCol w:w="5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44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10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 </w:t>
            </w:r>
          </w:p>
        </w:tc>
        <w:tc>
          <w:tcPr>
            <w:tcW w:w="10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w:t>
            </w:r>
          </w:p>
        </w:tc>
        <w:tc>
          <w:tcPr>
            <w:tcW w:w="146" w:type="dxa"/>
            <w:tcBorders/>
            <w:vAlign w:val="center"/>
          </w:tcPr>
          <w:p>
            <w:pPr>
              <w:pStyle w:val="TableContents"/>
              <w:bidi w:val="0"/>
              <w:spacing w:before="0" w:after="0"/>
              <w:ind w:left="0" w:right="0" w:hanging="0"/>
              <w:jc w:val="lef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left"/>
              <w:rPr/>
            </w:pPr>
            <w:r>
              <w:rPr/>
              <w:t> </w:t>
            </w:r>
          </w:p>
        </w:tc>
        <w:tc>
          <w:tcPr>
            <w:tcW w:w="100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7" w:type="dxa"/>
            <w:gridSpan w:val="2"/>
            <w:tcBorders/>
            <w:vAlign w:val="center"/>
          </w:tcPr>
          <w:p>
            <w:pPr>
              <w:pStyle w:val="TableContents"/>
              <w:bidi w:val="0"/>
              <w:spacing w:before="0" w:after="0"/>
              <w:ind w:left="0" w:right="0" w:hanging="0"/>
              <w:jc w:val="right"/>
              <w:rPr/>
            </w:pPr>
            <w:r>
              <w:rPr/>
              <w:t> </w:t>
            </w:r>
          </w:p>
        </w:tc>
        <w:tc>
          <w:tcPr>
            <w:tcW w:w="183" w:type="dxa"/>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561" w:type="dxa"/>
            <w:tcBorders/>
            <w:vAlign w:val="center"/>
          </w:tcPr>
          <w:p>
            <w:pPr>
              <w:pStyle w:val="TableContents"/>
              <w:bidi w:val="0"/>
              <w:spacing w:before="0" w:after="0"/>
              <w:ind w:left="0" w:right="0" w:firstLine="200"/>
              <w:jc w:val="right"/>
              <w:rPr/>
            </w:pPr>
            <w:r>
              <w:rPr/>
              <w:t> </w:t>
            </w:r>
          </w:p>
        </w:tc>
      </w:tr>
      <w:tr>
        <w:trPr/>
        <w:tc>
          <w:tcPr>
            <w:tcW w:w="184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 income, net</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874</w:t>
            </w:r>
          </w:p>
        </w:tc>
        <w:tc>
          <w:tcPr>
            <w:tcW w:w="235"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726</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491</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84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Gain on warrant liability</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439</w:t>
            </w:r>
          </w:p>
        </w:tc>
        <w:tc>
          <w:tcPr>
            <w:tcW w:w="235"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(3,674</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84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loss, net</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06" w:type="dxa"/>
            <w:tcBorders/>
            <w:vAlign w:val="center"/>
          </w:tcPr>
          <w:p>
            <w:pPr>
              <w:pStyle w:val="TableContents"/>
              <w:bidi w:val="0"/>
              <w:spacing w:before="0" w:after="0"/>
              <w:ind w:left="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450</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other income</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1,302</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(2,957</w:t>
            </w:r>
          </w:p>
        </w:tc>
        <w:tc>
          <w:tcPr>
            <w:tcW w:w="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61"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Other income decreased by $3.0 million for the three months ended June 30, 2023 as compared to the prior year period, as a result of the decrease in unrealized mark-to-market gain on our outstanding private placement warrants, partially offset by increased interest income from our investments in marketable securities.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Comparison of the Six Months Ended June 30, 2023 and 2022</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Revenue, Net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presents our revenue for the six months ended June 30, 2023 and 2022, respectively:</w:t>
      </w:r>
    </w:p>
    <w:p>
      <w:pPr>
        <w:pStyle w:val="TextBody"/>
        <w:bidi w:val="0"/>
        <w:spacing w:before="0" w:after="0"/>
        <w:jc w:val="both"/>
        <w:rPr/>
      </w:pPr>
      <w:r>
        <w:rPr/>
        <w:t> </w:t>
      </w:r>
    </w:p>
    <w:tbl>
      <w:tblPr>
        <w:tblW w:w="8095" w:type="dxa"/>
        <w:jc w:val="left"/>
        <w:tblInd w:w="0" w:type="dxa"/>
        <w:tblLayout w:type="fixed"/>
        <w:tblCellMar>
          <w:top w:w="28" w:type="dxa"/>
          <w:left w:w="28" w:type="dxa"/>
          <w:bottom w:w="28" w:type="dxa"/>
          <w:right w:w="28" w:type="dxa"/>
        </w:tblCellMar>
      </w:tblPr>
      <w:tblGrid>
        <w:gridCol w:w="2971"/>
        <w:gridCol w:w="146"/>
        <w:gridCol w:w="256"/>
        <w:gridCol w:w="669"/>
        <w:gridCol w:w="191"/>
        <w:gridCol w:w="191"/>
        <w:gridCol w:w="256"/>
        <w:gridCol w:w="669"/>
        <w:gridCol w:w="146"/>
        <w:gridCol w:w="146"/>
        <w:gridCol w:w="241"/>
        <w:gridCol w:w="537"/>
        <w:gridCol w:w="204"/>
        <w:gridCol w:w="180"/>
        <w:gridCol w:w="276"/>
        <w:gridCol w:w="655"/>
        <w:gridCol w:w="36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9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c>
          <w:tcPr>
            <w:tcW w:w="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0"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Development Contract Revenue</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3,570</w:t>
            </w:r>
          </w:p>
        </w:tc>
        <w:tc>
          <w:tcPr>
            <w:tcW w:w="19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Product Revenue</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Revenue, net</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3,573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(208</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Revenue decreased by $0.2 million, or 6%, from $3.8 million for the six months ended June 30, 2022, to $3.6 million for the six months ended June 30, 2023, as explained below.</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Product Development Contract Revenue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Product development contract revenue decreased by $0.1 million, or 4%, from $3.7 million for the six months ended June 30, 2022 to $3.6 million for the six months ended June 30, 2023. The decrease was primarily due to the completion of certain product development contracts during the first half 2023 that have not yet been replaced with new contracts. We expect future revenue from product development contracts to fluctuate due to the timing of additional development contracts signed and the completion of existing contracts. We continue to take on only those contracts that we believe support and contribute to our product commercialization efforts. As we focus on initial commercial product sales, our product development contract revenue is expected to decrease as a percentage of total revenue.</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Product Revenue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Revenue derived from product sales was not significant for the six months ended June 30, 2022 or the six months ended June 30, 2023. For the period ended June 30, 2022, the lack of product sales was due to our focus on product development in preparation for the commercial launch of certain products. For the period ended June 30, 2023, we believe the lack of product sales was primarily due to various factors, including budget constraints, the impact on potential customers of macroeconomic factors and lack of near-term customer need for our general purpose systems (other than the Guardian Sea Class). As described elsewhere in this Report, as a result of interactions with potential customers, which generally communicated a near-term preference for specific solutions rather than more general purpose systems (other than the Guardian Sea Class), we have determined to refine our sales and product development strategy to focus on products that we believe have the most potential for near-term revenue growth and strategic opportunities that we believe show the greatest market traction and meet an acute customer need.</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Operating Expenses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presents our operating expenses for the six months ended June 30, 2023 and 2022:</w:t>
      </w:r>
    </w:p>
    <w:p>
      <w:pPr>
        <w:pStyle w:val="TextBody"/>
        <w:bidi w:val="0"/>
        <w:spacing w:before="0" w:after="0"/>
        <w:jc w:val="both"/>
        <w:rPr/>
      </w:pPr>
      <w:r>
        <w:rPr/>
        <w:t> </w:t>
      </w:r>
    </w:p>
    <w:tbl>
      <w:tblPr>
        <w:tblW w:w="8027" w:type="dxa"/>
        <w:jc w:val="left"/>
        <w:tblInd w:w="0" w:type="dxa"/>
        <w:tblLayout w:type="fixed"/>
        <w:tblCellMar>
          <w:top w:w="28" w:type="dxa"/>
          <w:left w:w="28" w:type="dxa"/>
          <w:bottom w:w="28" w:type="dxa"/>
          <w:right w:w="28" w:type="dxa"/>
        </w:tblCellMar>
      </w:tblPr>
      <w:tblGrid>
        <w:gridCol w:w="2641"/>
        <w:gridCol w:w="146"/>
        <w:gridCol w:w="232"/>
        <w:gridCol w:w="712"/>
        <w:gridCol w:w="173"/>
        <w:gridCol w:w="173"/>
        <w:gridCol w:w="232"/>
        <w:gridCol w:w="712"/>
        <w:gridCol w:w="146"/>
        <w:gridCol w:w="146"/>
        <w:gridCol w:w="205"/>
        <w:gridCol w:w="692"/>
        <w:gridCol w:w="173"/>
        <w:gridCol w:w="152"/>
        <w:gridCol w:w="260"/>
        <w:gridCol w:w="671"/>
        <w:gridCol w:w="56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9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left"/>
              <w:rPr/>
            </w:pPr>
            <w:r>
              <w:rPr/>
              <w:t> </w:t>
            </w:r>
          </w:p>
        </w:tc>
        <w:tc>
          <w:tcPr>
            <w:tcW w:w="9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146" w:type="dxa"/>
            <w:tcBorders/>
            <w:vAlign w:val="center"/>
          </w:tcPr>
          <w:p>
            <w:pPr>
              <w:pStyle w:val="TableContents"/>
              <w:bidi w:val="0"/>
              <w:spacing w:before="0" w:after="0"/>
              <w:ind w:left="0" w:right="0" w:hanging="0"/>
              <w:jc w:val="left"/>
              <w:rPr/>
            </w:pPr>
            <w:r>
              <w:rPr/>
              <w:t> </w:t>
            </w:r>
          </w:p>
        </w:tc>
        <w:tc>
          <w:tcPr>
            <w:tcW w:w="944"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left"/>
              <w:rPr/>
            </w:pPr>
            <w:r>
              <w:rPr/>
              <w:t> </w:t>
            </w:r>
          </w:p>
        </w:tc>
        <w:tc>
          <w:tcPr>
            <w:tcW w:w="94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561" w:type="dxa"/>
            <w:tcBorders/>
            <w:vAlign w:val="center"/>
          </w:tcPr>
          <w:p>
            <w:pPr>
              <w:pStyle w:val="TableContents"/>
              <w:bidi w:val="0"/>
              <w:spacing w:before="0" w:after="0"/>
              <w:ind w:left="0" w:right="0" w:firstLine="200"/>
              <w:jc w:val="right"/>
              <w:rPr/>
            </w:pPr>
            <w:r>
              <w:rPr/>
              <w:t> </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Cost of revenue</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2,729</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(905</w:t>
            </w:r>
          </w:p>
        </w:tc>
        <w:tc>
          <w:tcPr>
            <w:tcW w:w="17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2"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21,109</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7,659</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17,987</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(17,951</w:t>
            </w:r>
          </w:p>
        </w:tc>
        <w:tc>
          <w:tcPr>
            <w:tcW w:w="17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2"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Sales and marketing</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8,151</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3,354</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Intangible amortization expense</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1,638</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1,064</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185</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Asset write-down and restructuring</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5,106</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5,106</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*NM</w:t>
            </w:r>
          </w:p>
        </w:tc>
        <w:tc>
          <w:tcPr>
            <w:tcW w:w="561" w:type="dxa"/>
            <w:tcBorders/>
            <w:vAlign w:val="center"/>
          </w:tcPr>
          <w:p>
            <w:pPr>
              <w:pStyle w:val="TableContents"/>
              <w:bidi w:val="0"/>
              <w:spacing w:before="0" w:after="0"/>
              <w:ind w:left="0" w:right="0" w:hanging="0"/>
              <w:jc w:val="righ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56,720</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58,393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(1,673</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2"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67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*NM - Not Meaningful</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Cost of Revenue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Cost of revenue decreased by $0.9 million, or 25%, from $3.6 million for the six months ended June 30, 2022, to $2.7 million for the six months ended June 30, 2023. Cost of revenue decreased mainly due to decreased labor and material expense charged to product development contracts during the six months ended June 30, 2023.</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before="0" w:after="0"/>
        <w:jc w:val="both"/>
        <w:rPr>
          <w:rFonts w:ascii="Times New Roman" w:hAnsi="Times New Roman"/>
          <w:sz w:val="20"/>
        </w:rPr>
      </w:pPr>
      <w:r>
        <w:rPr>
          <w:rFonts w:ascii="Times New Roman;serif" w:hAnsi="Times New Roman;serif"/>
          <w:b w:val="false"/>
          <w:sz w:val="20"/>
        </w:rPr>
        <w:t>Research and development expense increased by $7.7 million, or 57% from $13.5 million for the six months ended June 30, 2022, to $21.1 million for the six months ended June 30, 2023. The increase was driven primarily by an increase in labor and overhead expense as a result of increased headcount (due in part to the RE2 acquisition) and the shift of labor from cost of revenue to research and development due to the timing of new product development contracts being signed and the focus on new product development and commercialization efforts. As a result, allocated overhead and fringe related costs also increased due to the increase in labor costs. We continue to prioritize our efforts on development and commercialization of our focus products.</w:t>
      </w:r>
      <w:r>
        <w:rPr>
          <w:rFonts w:ascii="Times New Roman" w:hAnsi="Times New Roman"/>
          <w:sz w:val="20"/>
        </w:rPr>
        <w:t xml:space="preserve">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General and Administrative</w:t>
      </w:r>
    </w:p>
    <w:p>
      <w:pPr>
        <w:pStyle w:val="TextBody"/>
        <w:bidi w:val="0"/>
        <w:spacing w:before="0" w:after="0"/>
        <w:jc w:val="both"/>
        <w:rPr>
          <w:rFonts w:ascii="Times New Roman" w:hAnsi="Times New Roman"/>
          <w:sz w:val="20"/>
        </w:rPr>
      </w:pPr>
      <w:r>
        <w:rPr>
          <w:rFonts w:ascii="Times New Roman;serif" w:hAnsi="Times New Roman;serif"/>
          <w:b w:val="false"/>
          <w:sz w:val="20"/>
        </w:rPr>
        <w:t>General and administrative expense decreased by $18.0 million, or 50%, from $35.9 million for the six months ended June 30, 2022, to $18.0 million for the six months ended June 30, 2023. General and administrative expense decreased primarily due to reduced stock-based compensation expense of $16.8 million due to certain awards vesting in the prior year. In addition to the decrease in stock-based compensation expense, business insurance expenses decreased during the current year period to more favorable rates resulting from the latest renewal and legal fees decreased in comparison to the prior year due to the lack of acquisition-related legal expenses arising from the RE2 acquisition during the prior year period.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Sales and Marketing</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Sales and marketing expense increased by $3.4 million, or 70%, from $4.8 million for the six months ended June 30, 2022, to $8.2 million for the six months ended June 30, 2023. This increase was driven by an increase in professional service fees related to third-party platform expense utilized in data management of our products and services, increased promotional and event expense during the current year period, and increased expenses related to additional headcount due in part to our RE2 acquisition.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Intangible Amortization Expense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Intangible amortization expense increased by $1.1 million, from $0.6 million for six months ended June 30, 2022, to $1.6 million for the six months ended June 30, 2023. The increase in intangible amortization expense is due to the recognition of amortization expenses on identified intangible assets recorded as part of the RE2 acquisition.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Asset Write-down and Restructuring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Asset write-down and restructuring expenses were $5.1 million for the six months ended June 30, 2023, which includes a write-down of $4.4 million of inventory and $0.7 million of impairment of certain fixed assets as a result our product development reprioritization.</w:t>
      </w:r>
      <w:r>
        <w:rPr>
          <w:rFonts w:ascii="Times New Roman" w:hAnsi="Times New Roman"/>
          <w:sz w:val="20"/>
        </w:rPr>
        <w:t xml:space="preserve"> </w:t>
      </w:r>
    </w:p>
    <w:p>
      <w:pPr>
        <w:pStyle w:val="TextBody"/>
        <w:bidi w:val="0"/>
        <w:spacing w:before="0" w:after="0"/>
        <w:jc w:val="both"/>
        <w:rPr>
          <w:rFonts w:ascii="Times New Roman;serif" w:hAnsi="Times New Roman;serif"/>
          <w:b/>
          <w:i/>
          <w:sz w:val="20"/>
        </w:rPr>
      </w:pPr>
      <w:r>
        <w:rPr>
          <w:rFonts w:ascii="Times New Roman;serif" w:hAnsi="Times New Roman;serif"/>
          <w:b/>
          <w:i/>
          <w:sz w:val="20"/>
        </w:rPr>
        <w:t>Other Income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presents other income for the six months ended June 30, 2023 and 2022, respectively:</w:t>
      </w:r>
    </w:p>
    <w:p>
      <w:pPr>
        <w:pStyle w:val="TextBody"/>
        <w:bidi w:val="0"/>
        <w:spacing w:before="0" w:after="0"/>
        <w:jc w:val="both"/>
        <w:rPr/>
      </w:pPr>
      <w:r>
        <w:rPr/>
        <w:t> </w:t>
      </w:r>
    </w:p>
    <w:tbl>
      <w:tblPr>
        <w:tblW w:w="7179" w:type="dxa"/>
        <w:jc w:val="left"/>
        <w:tblInd w:w="0" w:type="dxa"/>
        <w:tblLayout w:type="fixed"/>
        <w:tblCellMar>
          <w:top w:w="28" w:type="dxa"/>
          <w:left w:w="28" w:type="dxa"/>
          <w:bottom w:w="28" w:type="dxa"/>
          <w:right w:w="28" w:type="dxa"/>
        </w:tblCellMar>
      </w:tblPr>
      <w:tblGrid>
        <w:gridCol w:w="1846"/>
        <w:gridCol w:w="146"/>
        <w:gridCol w:w="244"/>
        <w:gridCol w:w="636"/>
        <w:gridCol w:w="181"/>
        <w:gridCol w:w="181"/>
        <w:gridCol w:w="244"/>
        <w:gridCol w:w="748"/>
        <w:gridCol w:w="146"/>
        <w:gridCol w:w="146"/>
        <w:gridCol w:w="196"/>
        <w:gridCol w:w="661"/>
        <w:gridCol w:w="166"/>
        <w:gridCol w:w="146"/>
        <w:gridCol w:w="206"/>
        <w:gridCol w:w="725"/>
        <w:gridCol w:w="5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561" w:type="dxa"/>
            <w:tcBorders/>
            <w:vAlign w:val="center"/>
          </w:tcPr>
          <w:p>
            <w:pPr>
              <w:pStyle w:val="TableContents"/>
              <w:bidi w:val="0"/>
              <w:spacing w:before="0" w:after="0"/>
              <w:ind w:left="0" w:right="0" w:firstLine="200"/>
              <w:jc w:val="right"/>
              <w:rPr/>
            </w:pPr>
            <w:r>
              <w:rPr/>
              <w:t> </w:t>
            </w:r>
          </w:p>
        </w:tc>
      </w:tr>
      <w:tr>
        <w:trPr/>
        <w:tc>
          <w:tcPr>
            <w:tcW w:w="184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 income, net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1,973</w:t>
            </w:r>
          </w:p>
        </w:tc>
        <w:tc>
          <w:tcPr>
            <w:tcW w:w="18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1,141</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84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Gain on warrant liability</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6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81"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84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income, net</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1,038</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*NM</w:t>
            </w:r>
          </w:p>
        </w:tc>
        <w:tc>
          <w:tcPr>
            <w:tcW w:w="561" w:type="dxa"/>
            <w:tcBorders/>
            <w:vAlign w:val="center"/>
          </w:tcPr>
          <w:p>
            <w:pPr>
              <w:pStyle w:val="TableContents"/>
              <w:bidi w:val="0"/>
              <w:spacing w:before="0" w:after="0"/>
              <w:ind w:left="0" w:right="0" w:hanging="0"/>
              <w:jc w:val="righ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other income</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3,014</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*NM - Not Meaningful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Other income decreased by $7.7 million for the six months ended June 30, 2023 as compared to the prior year period as a result of the decrease in unrealized mark-to-market gain on our outstanding private placement warrants, partially offset by increased interest income from our investments in marketable securities and increased other income related to employee retention credit refunds received.</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currently use cash to fund operations and capital expenditures and meet working capital requirements. As of June 30, 2023, we had $75.1 million in cash, cash equivalents and marketable securities. We believe that our cash, cash equivalents and marketable securities on hand will be sufficient to support operations, working capital and capital expenditure requirements for at least the next 12 months from the date of this Report.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amount and timing of our future funding requirements will depend on many factors, including the pace and results of our product development efforts, our ability to manufacture and deliver commercial products and thereby recognize associated revenue, capital requirements to build commercial products prior to receiving payments sufficient to cover our costs and our ability to lower product costs as volumes increase. Any delays in the successful commercialization of our products will negatively impact our ability to generate revenue, our profitability and our overall operating performance.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additional funds are required to support our working capital requirements, for acquisitions or for other purposes, we may seek to raise funds through additional debt or equity financings or from other sources. As sales volumes increase, we may seek outside financing to help cover production costs for product orders. We have taken numerous steps to manage our use of cash, including the reduction in force announced on July 12, 2023 and other related actions, and believe we have sufficient capital to fund our business for at least the next 12 months without seeking additional capital. We believe we have sufficient liquidity to operate into 2025 without the need to raise additional capital. However, we expect to need additional capital before becoming cash flow positive, which we do not expect to achieve until at least 2025.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product manufacturing and inventory costs and pursue business objectives. We currently have no plans to do an equity financing in 2023, but we could change our plans if we determine it to be necessary or advisable. Any delays in the successful commercialization and sales of our products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Cash Flows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summarizes our cash flow data for the periods presented:</w:t>
      </w:r>
    </w:p>
    <w:p>
      <w:pPr>
        <w:pStyle w:val="TextBody"/>
        <w:bidi w:val="0"/>
        <w:spacing w:before="0" w:after="0"/>
        <w:jc w:val="both"/>
        <w:rPr/>
      </w:pPr>
      <w:r>
        <w:rPr/>
        <w:t> </w:t>
      </w:r>
    </w:p>
    <w:tbl>
      <w:tblPr>
        <w:tblW w:w="9044" w:type="dxa"/>
        <w:jc w:val="left"/>
        <w:tblInd w:w="0" w:type="dxa"/>
        <w:tblLayout w:type="fixed"/>
        <w:tblCellMar>
          <w:top w:w="28" w:type="dxa"/>
          <w:left w:w="28" w:type="dxa"/>
          <w:bottom w:w="28" w:type="dxa"/>
          <w:right w:w="28" w:type="dxa"/>
        </w:tblCellMar>
      </w:tblPr>
      <w:tblGrid>
        <w:gridCol w:w="3661"/>
        <w:gridCol w:w="146"/>
        <w:gridCol w:w="207"/>
        <w:gridCol w:w="698"/>
        <w:gridCol w:w="175"/>
        <w:gridCol w:w="154"/>
        <w:gridCol w:w="207"/>
        <w:gridCol w:w="793"/>
        <w:gridCol w:w="166"/>
        <w:gridCol w:w="146"/>
        <w:gridCol w:w="196"/>
        <w:gridCol w:w="691"/>
        <w:gridCol w:w="166"/>
        <w:gridCol w:w="146"/>
        <w:gridCol w:w="233"/>
        <w:gridCol w:w="698"/>
        <w:gridCol w:w="56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2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 vs. 2022 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(In thousands)</w:t>
            </w:r>
          </w:p>
        </w:tc>
        <w:tc>
          <w:tcPr>
            <w:tcW w:w="146" w:type="dxa"/>
            <w:tcBorders/>
            <w:vAlign w:val="center"/>
          </w:tcPr>
          <w:p>
            <w:pPr>
              <w:pStyle w:val="TableContents"/>
              <w:bidi w:val="0"/>
              <w:spacing w:before="0" w:after="0"/>
              <w:ind w:left="0" w:right="0" w:hanging="0"/>
              <w:jc w:val="left"/>
              <w:rPr/>
            </w:pPr>
            <w:r>
              <w:rPr/>
              <w:t> </w:t>
            </w:r>
          </w:p>
        </w:tc>
        <w:tc>
          <w:tcPr>
            <w:tcW w:w="9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 </w:t>
            </w:r>
          </w:p>
        </w:tc>
        <w:tc>
          <w:tcPr>
            <w:tcW w:w="10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(used in):</w:t>
            </w:r>
          </w:p>
        </w:tc>
        <w:tc>
          <w:tcPr>
            <w:tcW w:w="146" w:type="dxa"/>
            <w:tcBorders/>
            <w:vAlign w:val="center"/>
          </w:tcPr>
          <w:p>
            <w:pPr>
              <w:pStyle w:val="TableContents"/>
              <w:bidi w:val="0"/>
              <w:spacing w:before="0" w:after="0"/>
              <w:ind w:left="0" w:right="0" w:hanging="0"/>
              <w:jc w:val="left"/>
              <w:rPr/>
            </w:pPr>
            <w:r>
              <w:rPr/>
              <w:t> </w:t>
            </w:r>
          </w:p>
        </w:tc>
        <w:tc>
          <w:tcPr>
            <w:tcW w:w="905"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561" w:type="dxa"/>
            <w:tcBorders/>
            <w:vAlign w:val="center"/>
          </w:tcPr>
          <w:p>
            <w:pPr>
              <w:pStyle w:val="TableContents"/>
              <w:bidi w:val="0"/>
              <w:spacing w:before="0" w:after="0"/>
              <w:ind w:left="0" w:right="0" w:firstLine="200"/>
              <w:jc w:val="right"/>
              <w:rPr/>
            </w:pPr>
            <w:r>
              <w:rPr/>
              <w:t> </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(39,985</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(12,061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30,455</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(109,884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140,339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w:t>
            </w:r>
          </w:p>
        </w:tc>
        <w:tc>
          <w:tcPr>
            <w:tcW w:w="56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366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decrease in cash, cash equivalents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(9,593</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(143,855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134,262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w:t>
            </w:r>
          </w:p>
        </w:tc>
        <w:tc>
          <w:tcPr>
            <w:tcW w:w="5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Net Cash Used in Operating Activities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Cash flows used in operating activities during the six months ended June 30, 2023 increased by $12.1 million to $40.0 million from $27.9 million during the same period in 2022. The increase to net cash used in operating activities was primarily attributable to a $7.8 million increase to net loss, a net decrease of $0.8 million in non-cash expenses driven mainly by decreased stock-based compensation partially offset by decreased gains on warrant liability revaluation and increased asset write-down and restructuring expenses. Additionally, net cash used in operating activities related to changes in operating assets and liabilities increased by $3.4 million, driven mainly by increased inventory purchases and decreases in accrued liabilities, partially offset by decreases in unbilled receivables.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Net Cash Provided by (Used in) Investing Activities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net cash provided by investing activities during the six months ended June 30, 2023 increased by $140.3 million. The increase in cash provided by investing activities is predominantly due to $31.1 million of maturities of marketable securities, net of purchases, during the six months ended June 30, 2023, as compared to the purchase of short-term marketable securities of $79.5 million and $29.7 million of net cash was included as part of the purchase consideration for the RE2 acquisition during the six months ended June 30, 2022.</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Net Cash Used In Financing Activities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net cash used in financing activities during the six months ended June 30, 2023 decreased by $6.0 million as compared to the prior year period. The decrease in financing activities was mainly due to a $6.6 million decrease in funds used to repurchase shares of common stock that were withheld for payment of tax withholding obligations upon the vesting of equity awards.</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Emerging Growth Company Status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2025,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2022 Form 10-K.</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pStyle w:val="TextBody"/>
        <w:bidi w:val="0"/>
        <w:spacing w:before="200" w:after="0"/>
        <w:jc w:val="left"/>
        <w:rPr>
          <w:rFonts w:ascii="Times New Roman;serif" w:hAnsi="Times New Roman;serif"/>
          <w:b/>
          <w:sz w:val="20"/>
        </w:rPr>
      </w:pPr>
      <w:bookmarkStart w:id="11" w:name="item_3_quantitative_and_qualitative"/>
      <w:bookmarkEnd w:id="11"/>
      <w:r>
        <w:rPr>
          <w:rFonts w:ascii="Times New Roman;serif" w:hAnsi="Times New Roman;serif"/>
          <w:b/>
          <w:sz w:val="20"/>
        </w:rPr>
        <w:t>Item 3. Quantitative and Qualitative Disclosures About Market Risk.</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are a smaller reporting company as defined by Rule 12b-2 of the Exchange Act and are not required to provide the information otherwise required under this item.</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sz w:val="20"/>
        </w:rPr>
      </w:pPr>
      <w:bookmarkStart w:id="12" w:name="item_4_controls_and_procedures"/>
      <w:bookmarkEnd w:id="12"/>
      <w:r>
        <w:rPr>
          <w:rFonts w:ascii="Times New Roman;serif" w:hAnsi="Times New Roman;serif"/>
          <w:b/>
          <w:sz w:val="20"/>
        </w:rPr>
        <w:t>Item 4. Controls and Procedures.</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Evaluation of Disclosure Controls and Procedures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June 30, 2023, pursuant to Rule 13a-15(b) under the Exchange Act. Based upon that evaluation, our Certifying Officers concluded that our disclosure controls and procedures were effective as of June 30, 2023.</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There was no change in our internal control over financial reporting that occurred during the fiscal quarter ended June 30, 2023 covered by this Report that has materially affected, or is reasonably likely to materially affect, our internal control over financial reporting.</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360" w:after="0"/>
        <w:jc w:val="center"/>
        <w:rPr>
          <w:rFonts w:ascii="Times New Roman;serif" w:hAnsi="Times New Roman;serif"/>
          <w:b/>
          <w:sz w:val="20"/>
        </w:rPr>
      </w:pPr>
      <w:bookmarkStart w:id="13" w:name="part_ii_other_information"/>
      <w:bookmarkEnd w:id="13"/>
      <w:r>
        <w:rPr>
          <w:rFonts w:ascii="Times New Roman;serif" w:hAnsi="Times New Roman;serif"/>
          <w:b/>
          <w:sz w:val="20"/>
        </w:rPr>
        <w:t>PART II—OTHER INFORMATION</w:t>
      </w:r>
    </w:p>
    <w:p>
      <w:pPr>
        <w:pStyle w:val="TextBody"/>
        <w:bidi w:val="0"/>
        <w:spacing w:before="360" w:after="0"/>
        <w:jc w:val="left"/>
        <w:rPr>
          <w:rFonts w:ascii="Times New Roman;serif" w:hAnsi="Times New Roman;serif"/>
          <w:b/>
          <w:sz w:val="20"/>
        </w:rPr>
      </w:pPr>
      <w:bookmarkStart w:id="14" w:name="item_1_legal_proceedings"/>
      <w:bookmarkEnd w:id="14"/>
      <w:r>
        <w:rPr>
          <w:rFonts w:ascii="Times New Roman;serif" w:hAnsi="Times New Roman;serif"/>
          <w:b/>
          <w:sz w:val="20"/>
        </w:rPr>
        <w:t>Item 1. Legal Proceedings.</w:t>
      </w:r>
    </w:p>
    <w:p>
      <w:pPr>
        <w:pStyle w:val="TextBody"/>
        <w:bidi w:val="0"/>
        <w:spacing w:before="200" w:after="0"/>
        <w:jc w:val="both"/>
        <w:rPr>
          <w:rFonts w:ascii="Times New Roman" w:hAnsi="Times New Roman"/>
          <w:sz w:val="20"/>
        </w:rPr>
      </w:pPr>
      <w:r>
        <w:rPr>
          <w:rFonts w:ascii="Times New Roman;serif" w:hAnsi="Times New Roman;serif"/>
          <w:b w:val="false"/>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5" w:name="item_1a_risk_factors"/>
      <w:bookmarkEnd w:id="15"/>
      <w:r>
        <w:rPr>
          <w:rFonts w:ascii="Times New Roman;serif" w:hAnsi="Times New Roman;serif"/>
          <w:b/>
          <w:sz w:val="20"/>
        </w:rPr>
        <w:t>Item 1A. Risk Factors.</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 References in this Item 1A Risk Factors to financial information as of dates or for periods ended on or prior to April 25, 2022 do not include the financial information of RE2 as of those dates or for those periods.</w:t>
      </w:r>
    </w:p>
    <w:p>
      <w:pPr>
        <w:pStyle w:val="TextBody"/>
        <w:bidi w:val="0"/>
        <w:spacing w:before="0" w:after="0"/>
        <w:jc w:val="both"/>
        <w:rPr>
          <w:rFonts w:ascii="Times New Roman" w:hAnsi="Times New Roman"/>
          <w:sz w:val="20"/>
        </w:rPr>
      </w:pPr>
      <w:r>
        <w:rPr>
          <w:rFonts w:ascii="Times New Roman;serif" w:hAnsi="Times New Roman;serif"/>
          <w:b/>
          <w:sz w:val="20"/>
        </w:rPr>
        <w:t>Risks Related to Our Business</w:t>
      </w:r>
      <w:r>
        <w:rPr>
          <w:rFonts w:ascii="Times New Roman" w:hAnsi="Times New Roman"/>
          <w:sz w:val="20"/>
        </w:rPr>
        <w:t xml:space="preserve">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are an early stage company with a history of losses, and expect to incur significant expenses for the foreseeable future.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incurred a net loss of $50.1 million for the six months ended June 30, 2023, and a net loss of $157.1 million for the year ended December 31, 2022. We believe that we will continue to incur operating and net losses until 2025 at the earliest. Even if we are able to successfully develop our robotic systems and solutions and attract customers for commercial sales, we may not become profitable. Our potential profitability is dependent upon the successful development and successful commercial introduction and adoption on a larger scale of our robotic systems, solutions and software and our ability to lower production costs as we achieve economies of scale through high-volume production, none of which may occur.</w:t>
      </w:r>
    </w:p>
    <w:p>
      <w:pPr>
        <w:pStyle w:val="TextBody"/>
        <w:bidi w:val="0"/>
        <w:spacing w:before="0" w:after="0"/>
        <w:jc w:val="both"/>
        <w:rPr>
          <w:rFonts w:ascii="Times New Roman" w:hAnsi="Times New Roman"/>
          <w:sz w:val="20"/>
        </w:rPr>
      </w:pPr>
      <w:r>
        <w:rPr>
          <w:rFonts w:ascii="Times New Roman;serif" w:hAnsi="Times New Roman;serif"/>
          <w:b w:val="false"/>
          <w:sz w:val="20"/>
        </w:rPr>
        <w:t>We expect that we will continue to incur losses in future periods as we: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continue to design, develop, manufacture and commercialize our products;</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continue to utilize and develop potential new relationships with third-party partners for supply, design for manufacturing and manufacturing;</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expand our production capabilities, including costs associated with the outsourcing of the manufacturing of our robotic systems and solutions;</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build up inventories of parts (including replacement parts) and components for our robotic systems and solutions;</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develop our maintenance and servicing capacity and capabilities;</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manufacture an inventory of our robotic systems and solutions, including upfront expenditures to manufacture systems prior to delivery and recognition of related revenue;</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increase our sales and marketing activities and develop our sales and distribution infrastructure; </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develop our AI software platform to enable generalizable autonomy;</w:t>
      </w:r>
    </w:p>
    <w:p>
      <w:pPr>
        <w:pStyle w:val="TextBody"/>
        <w:bidi w:val="0"/>
        <w:spacing w:before="0" w:after="0"/>
        <w:jc w:val="both"/>
        <w:rPr/>
      </w:pPr>
      <w:r>
        <w:rPr/>
        <w:t> </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develop our remote monitoring, updating and other cloud-based services on our robot service platform;</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develop and test safety measures for our systems and solutions, including working with customers to evaluate and test the efficacy of those safety measures;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 xml:space="preserve">develop and expand our technology infrastructure and cybersecurity measures, policies and controls; and </w:t>
      </w:r>
    </w:p>
    <w:p>
      <w:pPr>
        <w:pStyle w:val="TextBody"/>
        <w:bidi w:val="0"/>
        <w:spacing w:before="0" w:after="0"/>
        <w:jc w:val="both"/>
        <w:rPr>
          <w:caps/>
        </w:rPr>
      </w:pPr>
      <w:r>
        <w:rPr>
          <w:caps/>
        </w:rPr>
        <w:t>•</w:t>
      </w:r>
    </w:p>
    <w:p>
      <w:pPr>
        <w:pStyle w:val="TextBody"/>
        <w:bidi w:val="0"/>
        <w:jc w:val="both"/>
        <w:rPr>
          <w:rFonts w:ascii="Times New Roman;serif" w:hAnsi="Times New Roman;serif"/>
          <w:b w:val="false"/>
          <w:sz w:val="20"/>
        </w:rPr>
      </w:pPr>
      <w:r>
        <w:rPr>
          <w:rFonts w:ascii="Times New Roman;serif" w:hAnsi="Times New Roman;serif"/>
          <w:b w:val="false"/>
          <w:sz w:val="20"/>
        </w:rPr>
        <w:t>increase our general and administrative functions and systems to support our growing operations and to operate as a publicly-traded company.</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Because we will incur costs and expenses from these efforts before we receive incremental revenue with respect thereto and because we are still developing and commercializing our products, we expect that our losses in future periods will continue to be significant until we start to achieve significant product sales and associated revenue. In addition, we may find that these efforts are more expensive than we currently anticipate or that these efforts may result in less than expected or no additional revenue, which would further increase our losses.</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have yet to achieve positive operating cash flow, and our ability to generate positive cash flow is uncertain.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We had negative cash flow from operating activities of $65.4 million and $42.1 million for the years ended December 31, 2022 and 2021, respectively, and negative cash flow from operating activities of $40.0 million for the six months ended June 30, 2023. We expect to continue to have negative cash flow from operating and investing activities until 2025 at the earliest as we expect to incur research and development, sales and marketing, and general and administrative expenses and make capital expenditures in our efforts to commercialize our products, increase sales and engage in continuous development work. We may not achieve positive cash flow in the near future or at all. Our business also will at times require significant amounts of working capital to build inventory and support the growth of additional products. An inability to generate positive cash flow for the near term may adversely affect our ability to raise capital for our business on reasonable terms, diminish supplier or customer willingness to enter into transactions with us and have other adverse effects that may decrease our long-term viability.</w:t>
      </w:r>
      <w:r>
        <w:rPr>
          <w:rFonts w:ascii="Times New Roman" w:hAnsi="Times New Roman"/>
          <w:sz w:val="20"/>
        </w:rPr>
        <w:t xml:space="preserve">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have very limited experience commercializing our products and may not be able to do so efficiently or effectively.</w:t>
      </w:r>
    </w:p>
    <w:p>
      <w:pPr>
        <w:pStyle w:val="TextBody"/>
        <w:bidi w:val="0"/>
        <w:spacing w:before="0" w:after="0"/>
        <w:jc w:val="both"/>
        <w:rPr>
          <w:rFonts w:ascii="Times New Roman" w:hAnsi="Times New Roman"/>
          <w:sz w:val="20"/>
        </w:rPr>
      </w:pPr>
      <w:r>
        <w:rPr>
          <w:rFonts w:ascii="Times New Roman;serif" w:hAnsi="Times New Roman;serif"/>
          <w:b w:val="false"/>
          <w:sz w:val="20"/>
        </w:rPr>
        <w:t>Although we have sold products to individual customers in the past, we have very limited experience commercializing robotic systems and solutions at a large scale and may not be able to do so efficiently or effectively. Further, on July 12, 2023 we announced a shift in product development and commercialization strategy to focus on products that we believe have the most potential for near-term revenue growth and strategic opportunities that we believe show the greatest market traction and meet an acute customer need, as well as a new Advanced Technologies division to focus on commercializing our AI and machine learning (ML) software platform to enable generalizable autonomy, which may not prove to be effective. Moreover, commercialization may be delayed due to the challenges discussed under “</w:t>
      </w:r>
      <w:r>
        <w:rPr>
          <w:rFonts w:ascii="Times New Roman;serif" w:hAnsi="Times New Roman;serif"/>
          <w:b w:val="false"/>
          <w:i/>
          <w:sz w:val="20"/>
        </w:rPr>
        <w:t>Commercialization of our products may be delayed beyond our current expectations and therefore initial delivery to customers and receipt of anticipated revenue could be delayed.</w:t>
      </w:r>
      <w:r>
        <w:rPr>
          <w:rFonts w:ascii="Times New Roman" w:hAnsi="Times New Roman"/>
          <w:sz w:val="20"/>
        </w:rPr>
        <w:t xml:space="preserve">” </w:t>
      </w:r>
      <w:r>
        <w:rPr>
          <w:rFonts w:ascii="Times New Roman;serif" w:hAnsi="Times New Roman;serif"/>
          <w:b w:val="false"/>
          <w:sz w:val="20"/>
        </w:rPr>
        <w:t>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products into new markets. In addition, certain decisions we make regarding priorities and staffing in these areas in our efforts to maintain an adequate spending level while responsibly managing our financial resources could have unintended negative effects on our revenue, such as by weakening the sales, marketing and maintenance and servicing infrastructures or lowering the quality of customer service.</w:t>
      </w:r>
      <w:r>
        <w:rPr>
          <w:rFonts w:ascii="Times New Roman" w:hAnsi="Times New Roman"/>
          <w:sz w:val="20"/>
        </w:rPr>
        <w:t xml:space="preserve"> </w:t>
      </w:r>
    </w:p>
    <w:p>
      <w:pPr>
        <w:pStyle w:val="TextBody"/>
        <w:bidi w:val="0"/>
        <w:spacing w:before="0" w:after="0"/>
        <w:jc w:val="both"/>
        <w:rPr>
          <w:rFonts w:ascii="Times New Roman;serif" w:hAnsi="Times New Roman;serif"/>
          <w:b/>
          <w:i/>
          <w:sz w:val="20"/>
        </w:rPr>
      </w:pPr>
      <w:r>
        <w:rPr>
          <w:rFonts w:ascii="Times New Roman;serif" w:hAnsi="Times New Roman;serif"/>
          <w:b/>
          <w:i/>
          <w:sz w:val="20"/>
        </w:rPr>
        <w:t>Commercialization of our systems, solutions and software may be delayed beyond our current expectations and therefore initial delivery to customers and receipt of anticipated revenue could be delayed.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July 12, 2023 we announced a shift in product development and commercialization strategy to focus on products that we believe have the most potential for near-term revenue growth and strategic opportunities that we believe show the greatest market traction and meet an acute customer need, as well as the creation of a new Advanced Technologies division to focus on commercializing our AI/ML software platform to enable generalizable autonomy, which may not prove to be effective. Development and production priorities are driven by a combination of customer demand, supply chain constraints and overall manufacturing and product technical readiness. With this shift in strategy, we are focusing on targeted robotic systems and solutions for the subsea (Guardian Sea Class), aviation (baggage handling and exterior aircraft maintenance) and solar (solar field panel installation) markets and on our commercial AI/ML software platform to enable generalizable autonomy. We expect that as our products continue to be tested, begin production and experience the rigors of regular customer use, we will continue to learn and make improvements to our products by integrating design and product feedback into current or future products.</w:t>
      </w:r>
    </w:p>
    <w:p>
      <w:pPr>
        <w:pStyle w:val="TextBody"/>
        <w:bidi w:val="0"/>
        <w:spacing w:before="0" w:after="0"/>
        <w:jc w:val="both"/>
        <w:rPr>
          <w:rFonts w:ascii="Times New Roman" w:hAnsi="Times New Roman"/>
          <w:sz w:val="20"/>
        </w:rPr>
      </w:pPr>
      <w:r>
        <w:rPr>
          <w:rFonts w:ascii="Times New Roman;serif" w:hAnsi="Times New Roman;serif"/>
          <w:b w:val="false"/>
          <w:sz w:val="20"/>
        </w:rPr>
        <w:t>Our current estimates for completion of our pre-commercialization development efforts and the commencement of production and delivery of commercial systems to customers of our products are dependent on our ability to continue to hire and retain qualified employees and the availability of components on a timely basis. In addition, we have seen a significant increase in personnel and materials costs due to shortages of qualified personnel in the labor market and general inflationary pressures. Geopolitical events and macro-economic conditions, such as the continuing effects of the COVID-19 pandemic, the current conflict between Russia and Ukraine,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inflation and high interest rates, and responses thereto are also contributing to supply shortages and price increases. Over the past year we have experienced, and we continue to experience, challenges in both of these areas, which have negatively impacted our product development schedules and progress. We expect these challenges to continue and, if they do and if we are unable to effectively mitigate their impact, it is likely that we will be unable to meet our currently expected timelines. See “</w:t>
      </w:r>
      <w:r>
        <w:rPr>
          <w:rFonts w:ascii="Times New Roman;serif" w:hAnsi="Times New Roman;serif"/>
          <w:b w:val="false"/>
          <w:i/>
          <w:sz w:val="20"/>
        </w:rPr>
        <w:t>We rely heavily on supply chain reliability and predictability and continued disruption in our supply chain could have a material adverse impact on operations and commercialization of our core systems</w:t>
      </w:r>
      <w:r>
        <w:rPr>
          <w:rFonts w:ascii="Times New Roman" w:hAnsi="Times New Roman"/>
          <w:sz w:val="20"/>
        </w:rPr>
        <w:t>”</w:t>
      </w:r>
      <w:r>
        <w:rPr>
          <w:rFonts w:ascii="Times New Roman;serif" w:hAnsi="Times New Roman;serif"/>
          <w:b w:val="false"/>
          <w:i/>
          <w:sz w:val="20"/>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Also, if product testing, production or customer use demonstrate that our products have not been designed or produced to deliver the performance, reliability, functionality and/or safety that we or our potential customers expect, manufacturing or release of commercial products and therefore delivery to customers may be delayed as we work to address the deficiencies. For example, product testing has helped us improve software performance and address defects, identify materials weaknesses and other required fixes. While we believe this process is typical of new product releases and that it leads to product improvements, required product improvements have delayed and may in the future delay our ability to meet our estimated production and customer delivery timelines and volumes, and may lead to warranty and other claims and expenses. Delays in the commercial production, sale and delivery of our products will result in a commensurate delay in revenue and profitability. As a result, our results of operations and financial condition may be materially and adversely affected. In addition, delays in developing and releasing products with the performance, reliability and/or safety we and our potential customers are expecting could materially harm our reputation and lead potential customers to seek alternative solutions. If we experience further delays in the commercial release of our products, our results of operations and financial condition would be further adversely affected, perhaps materially.</w:t>
      </w:r>
    </w:p>
    <w:p>
      <w:pPr>
        <w:pStyle w:val="TextBody"/>
        <w:bidi w:val="0"/>
        <w:spacing w:before="0" w:after="0"/>
        <w:jc w:val="both"/>
        <w:rPr>
          <w:rFonts w:ascii="Times New Roman;serif" w:hAnsi="Times New Roman;serif"/>
          <w:b/>
          <w:i/>
          <w:sz w:val="20"/>
        </w:rPr>
      </w:pPr>
      <w:r>
        <w:rPr>
          <w:rFonts w:ascii="Times New Roman;serif" w:hAnsi="Times New Roman;serif"/>
          <w:b/>
          <w:i/>
          <w:sz w:val="20"/>
        </w:rPr>
        <w:t>If we are successful in commercializing our products, our revenue will be concentrated in a limited number of products for the foreseeable future.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we are successful in commercializing our products, our revenue will be concentrated in a limited number of products for the foreseeable future. We will need to continue to develop our systems, solutions and software and establish and grow the customer base for our products to diversify our revenue and customers. To the extent our products do not meet customer expectations, or cannot be completed, manufactured or released on their projected timelines and in line with cost and volume targets, our future sales and operating results may be adversely affected. Because our business will depend on a limited number of products for the foreseeable future, both before and after we begin commercial sales of our systems, solutions and software, to the extent a particular product is not well-received by the market, our sales volumes and revenue would likely be materially and adversely affected, which would have a material adverse effect on our business, prospects, financial condition and operating results.</w:t>
      </w:r>
    </w:p>
    <w:p>
      <w:pPr>
        <w:pStyle w:val="TextBody"/>
        <w:bidi w:val="0"/>
        <w:spacing w:before="0" w:after="0"/>
        <w:jc w:val="both"/>
        <w:rPr>
          <w:rFonts w:ascii="Times New Roman;serif" w:hAnsi="Times New Roman;serif"/>
          <w:b/>
          <w:i/>
          <w:sz w:val="20"/>
        </w:rPr>
      </w:pPr>
      <w:r>
        <w:rPr>
          <w:rFonts w:ascii="Times New Roman;serif" w:hAnsi="Times New Roman;serif"/>
          <w:b/>
          <w:i/>
          <w:sz w:val="20"/>
        </w:rPr>
        <w:t>With our focus products still under development, we have limited current customers and no binding orders for commercial versions of our systems, solutions and software, and expected customer trials and discussions with respect to those products may not result in binding orders.</w:t>
      </w:r>
    </w:p>
    <w:p>
      <w:pPr>
        <w:pStyle w:val="TextBody"/>
        <w:bidi w:val="0"/>
        <w:spacing w:before="0" w:after="0"/>
        <w:jc w:val="both"/>
        <w:rPr>
          <w:rFonts w:ascii="Times New Roman" w:hAnsi="Times New Roman"/>
          <w:sz w:val="20"/>
        </w:rPr>
      </w:pPr>
      <w:r>
        <w:rPr>
          <w:rFonts w:ascii="Times New Roman;serif" w:hAnsi="Times New Roman;serif"/>
          <w:b w:val="false"/>
          <w:sz w:val="20"/>
        </w:rPr>
        <w:t>The initial commercial versions of our focus products are still under development. As a result, we have limited current development customers and no binding customer commitments for the commercial version of these products. At present, we have contracts for delivery of pre-commercial systems with U.S. government customers and we also have had and currently have revenue generating contracts with both commercial and U.S. government customers for the development and testing of certain of our systems, solutions and software.</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Although we have engaged in dialogue with potential customers about their interest in our products, expected customer trials and discussions may not result in binding purchase orders. Our products contain complex technology that requires multiple years of engineering and design. The design of our products is significantly influenced by feedback from potential customers and reflects the needs they express. Therefore, the period of time from initial design of our products to commercial product release and obtaining binding purchase commitments from customers is long, and we are subject to the risk that customers who initially expressed an interest in our products during the design phase will not enter into binding commitments.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have limited knowledge of the customer testing that will be required in order for customers to adopt our products, especially in volume. As such, customer testing may take longer than anticipated by us, and we may not be able to provide such testing to the satisfaction of prospective customers, which could result in longer sales cycles and fewer orders than anticipated. Further, some of our products have been designed to meet the specific use-cases of a particular customer. As a result, adapting our products to other industries or customers may require additional design, development, testing, work and expenses. We may not be able to adapt our products to reflect such feedback successfully or at all. If customers who initially express an interest in our products and influenced their design ultimately do not enter into binding commitments to purchase our products, or if they adopt a competitors’ technology, our business, prospects, financial condition and operating results would be adversely affected.</w:t>
      </w:r>
    </w:p>
    <w:p>
      <w:pPr>
        <w:pStyle w:val="TextBody"/>
        <w:bidi w:val="0"/>
        <w:spacing w:before="0" w:after="0"/>
        <w:jc w:val="both"/>
        <w:rPr>
          <w:rFonts w:ascii="Times New Roman" w:hAnsi="Times New Roman"/>
          <w:sz w:val="20"/>
        </w:rPr>
      </w:pPr>
      <w:r>
        <w:rPr>
          <w:rFonts w:ascii="Times New Roman;serif" w:hAnsi="Times New Roman;serif"/>
          <w:b w:val="false"/>
          <w:sz w:val="20"/>
        </w:rPr>
        <w:t>In addition, in order to build and maintain our business, we must maintain confidence among customers, suppliers, analysts, ratings agencies and other parties in our products, long-term financial viability and business prospects. Maintaining such confidence may be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particularly complicated by certain factors including those that are largely outside of our control, such as our limited commercial experience, customer unfamiliarity with our products, any delays in scaling production, ability of manufacturing and service operations to meet demand, product performance, competition and uncertainty regarding the future of robotics. If we do not receive a sufficient number of binding purchase orders for our products, our business, prospects, financial condition and operating results would be materially and adversely affected.</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have been working and continue to work to incorporate artificial intelligence, or AI, into our products. This technology is new and developing and may present operational and reputational risks.</w:t>
      </w:r>
    </w:p>
    <w:p>
      <w:pPr>
        <w:pStyle w:val="TextBody"/>
        <w:bidi w:val="0"/>
        <w:spacing w:before="0" w:after="0"/>
        <w:jc w:val="both"/>
        <w:rPr>
          <w:rFonts w:ascii="Times New Roman" w:hAnsi="Times New Roman"/>
          <w:sz w:val="20"/>
        </w:rPr>
      </w:pPr>
      <w:r>
        <w:rPr>
          <w:rFonts w:ascii="Times New Roman;serif" w:hAnsi="Times New Roman;serif"/>
          <w:b w:val="false"/>
          <w:sz w:val="20"/>
        </w:rPr>
        <w:t>We continue to incorporate AI features into some of our products and we are developing a commercial AI software platform to enable generalizable autonomy. This new and emerging technology, which is in its early stages of commercial use, presents a number of inherent risks. We are implementing compensating functionality into our AI technologies to address risks related to misinterpretation of environmental conditions, motion detection and similar issues that can arise. If we are unsuccessful in addressing these risks, our AI software may not work properly, result in safety concerns or result in other problems, any of which could harm our reputation, business, prospects, results of operations or financial condition. Governments have expressed concerns over AI technology, which could result in governmental or regulatory scrutiny, new or modified laws or regulations, claims, demands, and litigation, confidentiality, privacy, data protection or security risks, ethical concerns or other complications applicable that could adversely affect our business, financial condition, results of operations and prospects. See "</w:t>
      </w:r>
      <w:r>
        <w:rPr>
          <w:rFonts w:ascii="Times New Roman;serif" w:hAnsi="Times New Roman;serif"/>
          <w:b w:val="false"/>
          <w:i/>
          <w:sz w:val="20"/>
        </w:rPr>
        <w:t>Issues in the development and use of artificial intelligence (AI), combined with an uncertain regulatory environment, may result in reputational harm, liability or other adverse consequences to our business operations.</w:t>
      </w:r>
      <w:r>
        <w:rPr>
          <w:rFonts w:ascii="Times New Roman;serif" w:hAnsi="Times New Roman;serif"/>
          <w:b w:val="false"/>
          <w:sz w:val="20"/>
        </w:rPr>
        <w:t>"</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may fail to attract or retain customers at sufficient rates or at all.</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have very limited experience commercializing our products and may not be able to do so efficiently or effectively. Although we have engaged in ongoing dialogue with potential future customers, there are currently no binding commitments with customers to purchase commercial versions of our products. To grow our customer base, we must achieve binding commitments from expected customers and add new customers, which we may not be able to do in sufficient numbers or at all. Even if we are able to attract customers, these customers may not maintain a high level of commitment to our products or purchase our products in large volumes. In addition, we will incur marketing, sales or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customers or their employees do not perceive our product offerings to be of value or to be easy to use, we may not be able to attract and retain customers and customers may fail to purchase additional systems and solutions. If our efforts to satisfy and retain our existing customers are not successful, we may not be able to attract new customers, and as a result, our ability to maintain and/or grow our business will be adversely affected. Customers may fail to purchase additional products for many reasons, including difficulties by employees in using the products, insufficient use by customers of robotic systems, solutions and software, price, insufficient ROIs, competitive products, product performance, negative reception by employees or labor unions and customer service or maintenance and servicing issues that are not satisfactorily resolved. Customer retention will also be largely dependent on the quality and effectiveness of our customer service and maintenance and servicing operations, which may be handled internally by our personnel and also by third-party service providers. Outsourcing of certain customer service and claims administration or maintenance and servicing functions may reduce our ability to ensure consistency in our overall customer service processes. If we are unable to successfully retain existing customers and attract new customers and achieve volume sales of our products, our business, prospects, financial condition and operating results will be materially and adversely affected.</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have decided to focus on a standard product sales model for our robotic systems and solutions, which may not prove to be effective.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Based on feedback from development customers and potential commercial customers, we have decided to focus on a standard product sales model for our robotic systems and solutions instead of the RaaS model we previously expected to pursue. The standard sales model has the benefit of reducing our capital requirements since we do not need to wait to recover our production costs over many months or years of RaaS subscription payments. As a result, we expect that our capital requirements will be reduced and that we can manufacture our systems and solutions in a more capital efficient manner. However, we had expected the RaaS model to be attractive to customers due to a variety of factors, such as lower upfront costs to acquire and use our products. If customers ultimately do not favor the standard product sales model, we would have to readjust our business model, which could result in increased capital requirements to support a RaaS or other model, delays in customer purchases of our systems and solutions and other consequences that could have a material adverse effect on our business, reputation, results of operations and financial condition.</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products represent new product categories or advancements, and important assumptions about market demand, pricing, adoption rates and sales cycles for our current and future products may be inaccurate.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Because our robotic systems and solutions represent new product categories or advancements in markets that currently rely generally on conventional, manual systems, the market demand for our products is unproven, and important assumptions about the characteristics of targeted markets, pricing and sales cycles may be inaccurate. Market demand for our AI autonomy software and our ability to successfully develop this software into a commercial product are similarly unproven. If customer demand does not develop as expected or we do not accurately forecast pricing, adoption rates and sales cycles for our products, our business, results of operations and financial condition will be adversely affected.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industrial highly-dexterous mobile robotic systems and solutions represent new product categories in markets that currently rely generally on conventional manual systems and low-function manipulation mechanisms. The market demand for and adoption of these products is unproven, and important assumptions about the characteristics of targeted markets (including our estimates of our total addressable market, serviceable addressable market and serviceable obtainable market), pricing (including our analysis of potential customers’ willingness to pay), manufacturing capacity and capabilities and sales cycles (including the timing of achieving commercial sales volumes and associated manufacturing cost synergies) may be inaccurate. Market demand for our AI autonomy software and our ability to successfully develop this software into a commercial product are similarly unproven. Given the evolving nature of the markets in which we operate, it is difficult to predict customer demand or adoption rates for our products or the future growth of the markets we target. If one or more of the targeted markets experience a shift in customer demand, whether due to new solutions that better address customer needs or otherwise, our products may not compete as effectively, if at all, and they may not be fully developed into commercial products. If demand does not develop as estimated or if we cannot accurately forecast pricing, adoption rates and sales cycle for our products, a risk we have experienced, our business, results of operations and financial condition will be adversely affected, perhaps materially.</w:t>
      </w:r>
    </w:p>
    <w:p>
      <w:pPr>
        <w:pStyle w:val="TextBody"/>
        <w:bidi w:val="0"/>
        <w:spacing w:before="0" w:after="0"/>
        <w:jc w:val="both"/>
        <w:rPr>
          <w:rFonts w:ascii="Times New Roman;serif" w:hAnsi="Times New Roman;serif"/>
          <w:b/>
          <w:i/>
          <w:sz w:val="20"/>
        </w:rPr>
      </w:pPr>
      <w:r>
        <w:rPr>
          <w:rFonts w:ascii="Times New Roman;serif" w:hAnsi="Times New Roman;serif"/>
          <w:b/>
          <w:i/>
          <w:sz w:val="20"/>
        </w:rPr>
        <w:t>The benefits of our products to customers and projected return on investment have not been substantiated through long-term trials or use.</w:t>
      </w:r>
    </w:p>
    <w:p>
      <w:pPr>
        <w:pStyle w:val="TextBody"/>
        <w:bidi w:val="0"/>
        <w:spacing w:before="0" w:after="0"/>
        <w:jc w:val="both"/>
        <w:rPr>
          <w:rFonts w:ascii="Times New Roman" w:hAnsi="Times New Roman"/>
          <w:sz w:val="20"/>
        </w:rPr>
      </w:pPr>
      <w:r>
        <w:rPr>
          <w:rFonts w:ascii="Times New Roman;serif" w:hAnsi="Times New Roman;serif"/>
          <w:b w:val="false"/>
          <w:sz w:val="20"/>
        </w:rPr>
        <w:t>The benefits to customers and projected return on investment of our products have not been substantiated through long-term trials or use. We currently have a limited frame of reference by which to evaluate the performance of our robotic systems and solutions upon which our business prospects depend, and these products may not provide the expected benefits to customers. Our commercial AI software platform is also under development and it has not been subject to customer trials. Our products may not perform consistent with customers’ expectations or consistent with other products which may be or may become available. Any failure of our products to perform as expected could harm our reputation and result in adverse publicity, lost revenue, order cancellation, harm to our brand, delivery delays, product recalls, product liability claims and significant warranty and other expenses and could have a material adverse impact on our business, prospects, financial condition and operating results.</w:t>
      </w:r>
      <w:r>
        <w:rPr>
          <w:rFonts w:ascii="Times New Roman" w:hAnsi="Times New Roman"/>
          <w:sz w:val="20"/>
        </w:rPr>
        <w:t xml:space="preserve"> </w:t>
      </w:r>
    </w:p>
    <w:p>
      <w:pPr>
        <w:pStyle w:val="TextBody"/>
        <w:bidi w:val="0"/>
        <w:spacing w:before="0" w:after="0"/>
        <w:jc w:val="both"/>
        <w:rPr>
          <w:rFonts w:ascii="Times New Roman;serif" w:hAnsi="Times New Roman;serif"/>
          <w:b/>
          <w:i/>
          <w:sz w:val="20"/>
        </w:rPr>
      </w:pPr>
      <w:r>
        <w:rPr>
          <w:rFonts w:ascii="Times New Roman;serif" w:hAnsi="Times New Roman;serif"/>
          <w:b/>
          <w:i/>
          <w:sz w:val="20"/>
        </w:rPr>
        <w:t>Even if we successfully market our products, the purchase, adoption and use of the products may be materially and negatively impacted if the employees of our customers resist the use and adoption of the products.</w:t>
      </w:r>
    </w:p>
    <w:p>
      <w:pPr>
        <w:pStyle w:val="TextBody"/>
        <w:bidi w:val="0"/>
        <w:spacing w:before="0" w:after="0"/>
        <w:jc w:val="both"/>
        <w:rPr>
          <w:rFonts w:ascii="Times New Roman" w:hAnsi="Times New Roman"/>
          <w:sz w:val="20"/>
        </w:rPr>
      </w:pPr>
      <w:r>
        <w:rPr>
          <w:rFonts w:ascii="Times New Roman;serif" w:hAnsi="Times New Roman;serif"/>
          <w:b w:val="false"/>
          <w:sz w:val="20"/>
        </w:rPr>
        <w:t>We are designing our robotic systems and solutions with the goal of augmenting the workforce to increase productivity and reduce workplace injuries. Even if we successfully market these products to customers, the purchase, adoption and use of the products may be materially and negatively impacted if the employees of our customers resist the use and adoption of the products. Customer employees may resist the adoption of our products for several reasons, including lack of instruction on how to safely and effectively use the systems and solutions, a perception that the benefit of the use of the products does not outweigh the perceived difficulties or discomfort associated with use, resistance by labor unions and workplace injuries resulting from use of the products. We spend significant time and resources on pre-commercial systems of our products for customer testing and expect to continue customer testing with our commercial systems, solutions and software. If the employees of our customers resist adoption of our robotic systems and solutions, our business, prospects, financial condition and operating results will be materially and adversely affected.</w:t>
      </w:r>
      <w:r>
        <w:rPr>
          <w:rFonts w:ascii="Times New Roman" w:hAnsi="Times New Roman"/>
          <w:sz w:val="20"/>
        </w:rPr>
        <w:t xml:space="preserve">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currently target many customers that are large businesses with substantial negotiating power, exacting product standards and potentially competitive internal solutions. If we are unable to sell our products to these customers, our prospects and results of operations will be adversely affected.</w:t>
      </w:r>
    </w:p>
    <w:p>
      <w:pPr>
        <w:pStyle w:val="TextBody"/>
        <w:bidi w:val="0"/>
        <w:spacing w:before="0" w:after="0"/>
        <w:jc w:val="both"/>
        <w:rPr>
          <w:rFonts w:ascii="Times New Roman" w:hAnsi="Times New Roman"/>
          <w:sz w:val="20"/>
        </w:rPr>
      </w:pPr>
      <w:r>
        <w:rPr>
          <w:rFonts w:ascii="Times New Roman;serif" w:hAnsi="Times New Roman;serif"/>
          <w:b w:val="false"/>
          <w:sz w:val="20"/>
        </w:rPr>
        <w:t>We expect that many of our potential customers will be large, multinational businesses with substantial negotiating power relative to us and, in some instances, may have internal solutions that are competitive to our products. These large, multinational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binding commitments from these or other businesses or we may be unable to generate meaningful revenue from the sales of our products to these key potential customers. If our products are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not selected by these large businesses or if these businesses develop or acquire competitive technology, it may have a material adverse effect on our business, prospects, financial condition and operating results.</w:t>
      </w:r>
    </w:p>
    <w:p>
      <w:pPr>
        <w:pStyle w:val="TextBody"/>
        <w:bidi w:val="0"/>
        <w:spacing w:before="0" w:after="0"/>
        <w:jc w:val="both"/>
        <w:rPr>
          <w:rFonts w:ascii="Times New Roman;serif" w:hAnsi="Times New Roman;serif"/>
          <w:b/>
          <w:i/>
          <w:sz w:val="20"/>
        </w:rPr>
      </w:pPr>
      <w:r>
        <w:rPr>
          <w:rFonts w:ascii="Times New Roman;serif" w:hAnsi="Times New Roman;serif"/>
          <w:b/>
          <w:i/>
          <w:sz w:val="20"/>
        </w:rPr>
        <w:t>A substantial portion of our current revenue is generated by sales to government entities, which are subject to a number of uncertainties, challenges and risks.</w:t>
      </w:r>
    </w:p>
    <w:p>
      <w:pPr>
        <w:pStyle w:val="TextBody"/>
        <w:bidi w:val="0"/>
        <w:spacing w:before="0" w:after="0"/>
        <w:jc w:val="both"/>
        <w:rPr>
          <w:rFonts w:ascii="Times New Roman" w:hAnsi="Times New Roman"/>
          <w:sz w:val="20"/>
        </w:rPr>
      </w:pPr>
      <w:r>
        <w:rPr>
          <w:rFonts w:ascii="Times New Roman;serif" w:hAnsi="Times New Roman;serif"/>
          <w:b w:val="false"/>
          <w:sz w:val="20"/>
        </w:rPr>
        <w:t>Sales to government entities are subject to a number of risks. Selling to government entities can be highly competitive, expensive and time-consuming, often requiring significant upfront time and expense without any assurance that these efforts will generate a sale.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For purchases by the U.S. federal government, the government may require certain products to be manufactured in the United States and other high cost manufacturing locations, and we or any third-party manufacturers may not manufacture all products in locations that meet government requirements, and as a result, our business and results of operations may suffer. Also, see “</w:t>
      </w:r>
      <w:r>
        <w:rPr>
          <w:rFonts w:ascii="Times New Roman;serif" w:hAnsi="Times New Roman;serif"/>
          <w:b w:val="false"/>
          <w:i/>
          <w:sz w:val="20"/>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r>
        <w:rPr>
          <w:rFonts w:ascii="Times New Roman" w:hAnsi="Times New Roman"/>
          <w:sz w:val="20"/>
        </w:rPr>
        <w:t>”</w:t>
      </w:r>
      <w:r>
        <w:rPr>
          <w:rFonts w:ascii="Times New Roman;serif" w:hAnsi="Times New Roman;serif"/>
          <w:b w:val="false"/>
          <w:sz w:val="20"/>
        </w:rPr>
        <w:t>.</w:t>
      </w:r>
    </w:p>
    <w:p>
      <w:pPr>
        <w:pStyle w:val="TextBody"/>
        <w:bidi w:val="0"/>
        <w:spacing w:before="0" w:after="0"/>
        <w:jc w:val="both"/>
        <w:rPr>
          <w:rFonts w:ascii="Times New Roman" w:hAnsi="Times New Roman"/>
          <w:sz w:val="20"/>
        </w:rPr>
      </w:pPr>
      <w:r>
        <w:rPr>
          <w:rFonts w:ascii="Times New Roman;serif" w:hAnsi="Times New Roman;serif"/>
          <w:b/>
          <w:i/>
          <w:sz w:val="20"/>
        </w:rPr>
        <w:t>We operate in a competitive industry that is subject to rapid technological change, and we expect competition to increase.</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The robotics industry is subject to rapid technological change, and we expect competition to increase in the future. Our research and development efforts may be unable to keep up with changes in robotics technology or its alternatives and, as a result, our competitiveness may suffer. Developments in alternative technologies or solutions may materially and adversely affect our competitiveness in ways we do not currently anticipate. While we plan to upgrade and adapt our robotic systems and solutions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of our robotic systems and solutions, decreased revenue and a loss of market share to competitors.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believe we are developing a new category of robotic systems and solutions that augment, rather than replace, humans. In many cases, our primary competition will be traditional modes of human labor, sometimes assisted by manual and semi-automated manipulation equipment mounted to mobile bases including overhead cranes, boom trucks, forklifts and underwater remotely operated vehicles. To overcome potential resistance to innovation and the adoption of new products and ways of working, we must demonstrate to customers the value proposition of our products, including increased productivity, reduced costly occupational injuries.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Additionally, our product offerings compete in a broad competitive landscape that includes robotics and automation companies that have both directly competing as well as alternative solutions ranging from exoskeletons, collaborative robots, industrial robots, traditional lift-assist equipment, unmanned robotic vehicles and underwater remotely operated vehicles. We also view our competitive landscape to include companies who have different but unique product lines in the automation space, such as ABB Robotics, Siasun Robot &amp; Automation, Teradyne and Berkshire Grey. Also included in our broader competitive landscape are robotic solution suppliers, like Rockwell Automation, Honeywell, Keyence Corporation, COGNEX Corporation and Hexagon AB, which may not have a directly competing product today, but which could become competitors through diversification; these companies have existing customer relationships and channels, as well as significant financial and other resources, that could enable them to emerge as formidable competitors in the future.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is a breakdown of the competitive landscape for certain of our systems and solutions: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Guardian Sea Class competes with underwater robotic arm manipulator and remotely operated vehicle companies like Exail Technologies, Reach Robotics, Saab Seaeye, Technic FMC and TMI-Orion Dynamics that provide manipulators and grippers for inspection-class and light working-class ROVs.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believe our photovoltaic panel installation solution will compete with direct and adjacent market solutions including Terabase’s Terafab system which was launched in May 2023, AES’ autonomous solar module installation solution and Bailey Crane’s solar panel installation robots. We also believe that adjacent market players such as Built Robotics, who currently provides an automated pile driving solution to the solar construction market, could enter and compete in the solar panel installation market.</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Our baggage-handling solution competes with autonomous mobile robots (AMR) and automated guided vehicles (AGV) designed for baggage-handling by companies, such as Vanderlande, Addverb Technologies, Alstef Group, and baggage-loader/unloader systems, such as those provided by Beumer Group and BBHS.</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Many of our competitors and potential competitors have products that are commercially available and/or in development. We expect some products currently in development to become commercially available in the next few years. In addition, we compete or may compete with system integrators, like Grey Matter Robotics and Titan Robotics, who develop point solutions using robotic arms provided by companies such as Kuka, Fanuc, Universal Robots, Yasakawa and others, especially as we develop a commercial AI software product. We may also compete with industrial automation solutions such as those offered by Hyundai-Boston Dynamics, Grey Matter, Canvas Technology, DroneSense, Intuitive, iRobot, Hahn Robotics, Kuka, Fanuc, Neurala, Ready Robotics, Rethink Robotics and Yaskawa.</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competitor base may change or expand as we continue to develop and commercialize our robotic systems and solutions in the future. These or other competitors may develop products that utilize advanced technology similar to ours (such as computer vision, machine learning, and artificial intelligence) in a more effective way, or new technologies or products that provide superior results to customers or are less expensive than our products. Our technologies and products could be rendered obsolete by such developments.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adversely affected.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because we operate in new and evolving markets, the actions of our competitors could adversely affect our business. Adverse events such as product defects or legal claims with respect to competing or similar products could cause reputational harm to the robotics market as a whole and, accordingly, our business.</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may not be able to complete or enhance our product offerings through our research and development efforts.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order to commence production of an initial commercial version of one of our systems or solutions, we need to complete our development efforts with respect to such initial commercial product. Even after introduction of a commercial version of a product, we will also likely need to continue to advance and evolve the product in response to the evolving demands of our customers in the various industries we expect to serve. Our focus products are in various stages of development and commercialization. We will incur significant additional product development efforts and expenses, and we may not be successful in commercializing or marketing our core or future products at all or within our currently expected timelines.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notwithstanding our market research efforts, our current and future products may not be accepted by customers or their employees. The success of any proposed product offerings will depend on numerous factors, including our ability to:</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attract, recruit and retain qualified personnel, including engineers, design and production personnel and service technicians;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identify the preferred product features for our target customers and markets;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develop and introduce products in sufficient quantities and in a timely manner;</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adequately protect our intellectual property and avoid infringing upon the intellectual property rights of third parties; and</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demonstrate the productivity, efficacy and safety benefits of our products.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have managed and expect to continue to manage our product development efforts through the development of pre-commercial systems and solutions, such as alpha and beta systems, for testing and evaluation. We also make iterative improvements throughout the development process. If we fail to adequately communicate to customers product improvements throughout the development process, or if customer feedback is not adequately reflected in our product improvements, customers may not be persuaded of the value of our products. If we fail to generate demand by developing products that incorporate features desired by customers or their employees, we may fail to generate revenue sufficient to achieve or maintain profitability. We have in the past experienced, are experiencing and may in the future experience, delays in various phases of product development, including during research and development, manufacturing, limited release testing,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develop our products when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Risks Related to Our Operations &amp; Growth</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ability to develop and manufacture products of sufficient quality on schedule and on a large scale is unproven, and delays in the design, production and launch of our products could harm our business, prospects, financial condition and operating results.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future business depends in large part on our ability to execute our plans to design, develop, manufacture, market, deploy and service our products. Over time, we intend to largely outsource the manufacturing of our robotic systems and solutions to third-party manufacturing partners, which would reduce our direct control over manufacturing. Such diminished control may have an adverse effect on the quality or quantity of our systems and solutions, or our flexibility to respond to changing conditions. In addition, engaging third-party manufacturers involves significant time, ramp-up, testing and coordination before high-volume production capability by the partner is achieved. Although we have entered into an agreement with a contract manufacturing partner, we currently do not anticipate high-volume production by our contract manufacturing partner to be in place until after 2023.</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also plan to retain third-party vendors and service providers to engineer, design and test some of the critical systems and components of our systems and solutions. While this allows us to draw from such third parties’ industry knowledge and expertise, such systems and components may not be successfully developed to our specifications or delivered in a timely manner to meet our program timing requirements.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continued development and manufacturing of our products are and will be subject to risks, including with respect to:</w:t>
      </w:r>
      <w:r>
        <w:rPr>
          <w:rFonts w:ascii="Times New Roman" w:hAnsi="Times New Roman"/>
          <w:sz w:val="20"/>
        </w:rPr>
        <w:t xml:space="preserve"> </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delays or disruptions in our supply chain, or the need to order supplies in excess of demand due to minimum quantity requirements or price thresholds;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costs to be incurred by us and/or any third-party manufacturing partner or partners in meeting our specifications and design tolerances;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the ongoing effects of the COVID-19 pandemic or other pandemics, epidemics or outbreaks;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hiring and retaining a sufficient number of qualified employees (we have historically been understaffed due to these challenges);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long- and short-term durability of our robotic systems and solutions to withstand day-to-day wear and tear;</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delays in delivery of final systems and components by our suppliers;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manufacturing of robotic systems and solutions in excess of demand due to contractual requirements or unexpected changes in demand;</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shifts in demand for our products or new product feature requirements;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quality controls, particularly as we plan to expand our production capabilities;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the impact of national or global economic or political conditions, including war, inflation and interest rates;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work stoppages, labor strikes and other labor disputes affecting us or our suppliers, third-party manufacturers and other partners; and</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other delays and cost overruns.</w:t>
      </w:r>
    </w:p>
    <w:p>
      <w:pPr>
        <w:pStyle w:val="TextBody"/>
        <w:bidi w:val="0"/>
        <w:spacing w:before="0" w:after="0"/>
        <w:jc w:val="both"/>
        <w:rPr>
          <w:rFonts w:ascii="Times New Roman" w:hAnsi="Times New Roman"/>
          <w:sz w:val="20"/>
        </w:rPr>
      </w:pPr>
      <w:r>
        <w:rPr>
          <w:rFonts w:ascii="Times New Roman;serif" w:hAnsi="Times New Roman;serif"/>
          <w:b/>
          <w:i/>
          <w:sz w:val="20"/>
        </w:rPr>
        <w:t>We are dependent on our suppliers, some of which are currently single, sole or limited source suppliers, and any inability of these suppliers to deliver necessary components of our products at the prices, volumes, performance, timing and specifications acceptable to us, could have a material adverse effect on our business, prospects, financial condition and operating results.</w:t>
      </w:r>
      <w:r>
        <w:rPr>
          <w:rFonts w:ascii="Times New Roman" w:hAnsi="Times New Roman"/>
          <w:sz w:val="20"/>
        </w:rPr>
        <w:t xml:space="preserve"> </w:t>
      </w:r>
      <w:r>
        <w:rPr>
          <w:rFonts w:ascii="Times New Roman;serif" w:hAnsi="Times New Roman;serif"/>
          <w:b/>
          <w:i/>
          <w:sz w:val="20"/>
        </w:rPr>
        <w:t>We have not yet identified all of the suppliers that we are likely to rely on to support future commercialization of our products.</w:t>
      </w:r>
    </w:p>
    <w:p>
      <w:pPr>
        <w:pStyle w:val="TextBody"/>
        <w:bidi w:val="0"/>
        <w:spacing w:before="0" w:after="0"/>
        <w:jc w:val="both"/>
        <w:rPr>
          <w:rFonts w:ascii="Times New Roman" w:hAnsi="Times New Roman"/>
          <w:sz w:val="20"/>
        </w:rPr>
      </w:pPr>
      <w:r>
        <w:rPr>
          <w:rFonts w:ascii="Times New Roman;serif" w:hAnsi="Times New Roman;serif"/>
          <w:b w:val="false"/>
          <w:sz w:val="20"/>
        </w:rPr>
        <w:t>We rely on third-party suppliers for the provision and development of many of the key components and materials used in our products. We have not yet identified all of the suppliers, contractors and other third parties that we are likely to rely on to support the future commercialization of our products. While we plan to obtain components from multiple sources whenever possible, some of the components used in our products may have to be purchased by us from a single source and some may only be available from a sole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source, for example, if we have developed custom components with a supply partner. If our third-party suppliers are unable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solutions. If we are unable to obtain components and materials used in our products from our suppliers, our business would be adversely affected.</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business is dependent on the continued supply of lithium-ion battery cells. While we have sourced a supplier of such cells, that supplier is a sole-source supplier and is not obligated to provide such cells to us, and in any event may not be able or willing to meet all our requirements, especially as we commercialize our products. Any disruption in the supply of battery cells from such supplier could disrupt production of our products. Furthermore, fluctuations or shortages in raw materials or components and other economic conditions may cause us to experience significant increases in freight charges and material costs. Substantial increases in the prices for our materials, such as those charged by battery cell suppliers, would increase our operating costs, and could reduce our margins if the increased costs cannot be recouped through increased system or solution sales prices. Any attempts to increase prices in response to increased material costs could result in cancellations of orders and reservations and therefore materially and adversely affect our brand, business, prospects, financial condition and operating results.</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rely heavily on supply chain reliability and predictability and continued disruption in our supply chain could have a material adverse impact on operations and commercialization of our core systems.</w:t>
      </w:r>
    </w:p>
    <w:p>
      <w:pPr>
        <w:pStyle w:val="TextBody"/>
        <w:bidi w:val="0"/>
        <w:spacing w:before="0" w:after="0"/>
        <w:jc w:val="both"/>
        <w:rPr>
          <w:rFonts w:ascii="Times New Roman" w:hAnsi="Times New Roman"/>
          <w:sz w:val="20"/>
        </w:rPr>
      </w:pPr>
      <w:r>
        <w:rPr>
          <w:rFonts w:ascii="Times New Roman;serif" w:hAnsi="Times New Roman;serif"/>
          <w:b w:val="false"/>
          <w:sz w:val="20"/>
        </w:rPr>
        <w:t>We continue to experience supply chain challenges, including increases in the cost of and interruptions in the supply or availability of components, parts and materials, including long lead-times. It is unclear how long these challenges will remain. Due to the complexity of our products, we must effectively secure and manage our supply of several thousand components. Any sustained supply interruption or shortage or cost increases that result in our products being priced beyond what customers are willing to pay would prevent or delay the commercialization of our products or require us to sell products at a loss until we are able to reduce costs, whether through volume production synergies or otherwise, either of which could materially and negatively impact our business, prospects, financial condition and operating results. Delays may be compounded if components require redesign or reengineering. We and our suppliers use various materials in our businesses and products, including for example semiconductors, energy storage materials, commodity materials and specialty metal alloys, and the prices for these materials fluctuate. The available supply of some of these materials and components is currently and may continue to be unstable. There are significant risks and challenges to our supply chain that could delay our continued development efforts and production of commercial systems and solutions, and therefore delivery to customers could be delayed beyond current expectations, including the following:</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pPr>
      <w:r>
        <w:rPr/>
        <w:t>“</w:t>
      </w:r>
      <w:r>
        <w:rPr>
          <w:rFonts w:ascii="Times New Roman;serif" w:hAnsi="Times New Roman;serif"/>
          <w:b w:val="false"/>
          <w:sz w:val="20"/>
        </w:rPr>
        <w:t>Buy American” or other similar requirements that may be imposed on government contractors;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an increase in the cost, or decrease in the available supply, of semiconductor chips, electrical components, commodity materials and specialty alloys;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import or export restrictions on parts, materials and components;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ongoing effects of the COVID-19 pandemic and general labor shortages, or other pandemics, epidemics or outbreaks, which has affected and is likely to continue to affect our ability to recruit skilled employees to join our team, negatively affecting the development, production and commercial launch timelines for our products;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geopolitical and economic events and conditions, such as inflation, labor shortages and war, as well as responses to such events and conditions (e.g., economic sanctions);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disruption in the supply of lithium-ion batteries due to quality issues, recalls or other factors;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disruption in global logistics, such as increased rates, constrained capacity and extended shipping delays;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fluctuations in the value of any foreign currencies in which manufactured parts, commercial components and related raw material purchases are or may be denominated against the U.S. dollar;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Unpredictable lead-times for materials and components, some that may take more than 12 months to acquire.</w:t>
      </w:r>
    </w:p>
    <w:p>
      <w:pPr>
        <w:pStyle w:val="TextBody"/>
        <w:bidi w:val="0"/>
        <w:spacing w:before="0" w:after="0"/>
        <w:jc w:val="both"/>
        <w:rPr>
          <w:rFonts w:ascii="Times New Roman;serif" w:hAnsi="Times New Roman;serif"/>
          <w:b/>
          <w:i/>
          <w:sz w:val="20"/>
        </w:rPr>
      </w:pPr>
      <w:r>
        <w:rPr>
          <w:rFonts w:ascii="Times New Roman;serif" w:hAnsi="Times New Roman;serif"/>
          <w:b/>
          <w:i/>
          <w:sz w:val="20"/>
        </w:rPr>
        <w:t>Design or manufacturing flaws, defects, glitches, bugs or malfunctions in our products, including the software that operates them, failure of our products to perform as expected, connectivity issues or user errors can result in product recalls, lower than expected return on investment for customers, harm to users and significant safety concerns, each of which could materially and adversely affect our results of operations, financial condition or reputation.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design, manufacture and marketing of our products involve certain inherent risks. Manufacturing or design defects, glitches, bugs, malfunctions, connectivity issues between the central processing unit and the robotic system or solution, unanticipated use of our robotic systems or solutions, user errors or inadequate disclosure of risks relating to the use of the robotic systems and solutions, among others, can lead to injury, property damage or other adverse events. We conduct extensive testing of our systems and solutions, in some instances in collaboration with our customers, to ensure that any such issues can be identified and addressed in advance of commercial launch of the products. However, we may not be able to identify all such issues or, if identified, efforts to address them may not be effective in all cases, and our product testing may not be adequate. Injuries to users have occurred during the testing of our systems. We conduct investigations to identify the cause or causes of incidents and, when appropriate, implement changes to testing protocols or to the systems and solutions to prevent such incidents from reoccurring. However, any implemented improvements may not fully prevent similar or other incidents in the future. Moreover, because of the size and weight of the systems and solutions, and the nature and variability of the environments in which we expect these products to be used, such as subsea, airport tarmacs, solar fields, manufacturing, assembly lines, construction, field service, warehouses, hazardous environments and at-height environments, adverse events relating to the use of our products could include significant injuries or even death. To the extent that design or manufacturing defects, glitches, bugs, malfunctions or connectivity issues between the central processing unit and the robotic system or solution are discovered during or after the production of pre-commercial and/or commercial systems and solutions, we have experienced and will experience delays in the initial production and/or continued production of our commercial products while the issues are resolved. If the issues cannot be adequately resolved, production of the affected products may not occur and/or resume.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Although we are designing our products to include important safety features and, in some cases, accommodate customer-specialized protective gear and fall-prevention devices, we may not be able to successfully incorporate sufficient redundancy or other safety features to avoid injuries in the commercial version of the product.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we may not be aware of design or manufacturing defects until injury to person or property has occurred. Such adverse events could lead to recalls or safety alerts relating to our products (either voluntary or required by governmental authorities), and could result, in certain cases, in the removal of our products from the market. A recall could result in significant costs. To the extent any manufacturing defect occurs, and such products are manufactured for us by third parties,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approvals.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robotic systems and solutions incorporate sophisticated computer software and firmware. Complex software and firmware frequently contain errors, especially when first introduced. Our software and/or firmware may experience errors or performance problems in the future. A failure of any part of our hardware or software could result in property damage, serious injury or even death. Additionally, users may not use our products in accordance with safety protocols and training, which could amplify the risk of death or injury. Customers and operators also may fail to install updates and fixes to the software for several reasons including poor connectivity, inattention or failure to regularly dock our systems and solutions. Any such occurrence could cause delay in market acceptance of our products, damage to our reputation, product recalls, increased service and warranty costs, product liability claims and loss of revenue.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anticipate that in the ordinary course of business we may be subject to product liability claims alleging defects in the design or manufacture of our products. A product liability claim, regardless of its merit or eventual outcome, could result in significant legal defense costs and high punitive damage payments, damage to our reputation or require significant costs to redesign or fix our products.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pStyle w:val="TextBody"/>
        <w:bidi w:val="0"/>
        <w:spacing w:before="0" w:after="0"/>
        <w:jc w:val="both"/>
        <w:rPr>
          <w:rFonts w:ascii="Times New Roman;serif" w:hAnsi="Times New Roman;serif"/>
          <w:b/>
          <w:i/>
          <w:sz w:val="20"/>
        </w:rPr>
      </w:pPr>
      <w:r>
        <w:rPr>
          <w:rFonts w:ascii="Times New Roman;serif" w:hAnsi="Times New Roman;serif"/>
          <w:b/>
          <w:i/>
          <w:sz w:val="20"/>
        </w:rPr>
        <w:t>Even if our products perform properly and are used as intended, if users sustain any injuries while operating our systems or solutions or third-party systems or solutions that use our AI autonomy software, or if users injure others while operating those products, we could be exposed to liability and our results of operations, financial condition and reputation may be adversely affected.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systems and solutions (and third-party systems that may in the future use our AI autonomy software platform) contain complex technology and must be used as designed and intended in order to operate safely and effectively. We expect that users will generally use or control these products from a distance. While we expect to develop training, customer service and maintenance and servicing infrastructure to ensure users are equipped to operate these products in a safe manner, we cannot be sure that the products will ultimately be used as designed and intended. In addition, we cannot be sure that we will be able to predict all the ways in which use or misuse of these products can lead to injury or damage to property, and our training resources and safety systems may not be successful at preventing all incidents. If users were to sustain injuries or cause damage to property while operating these products, in a manner consistent with our training and instructions or otherwise, we could be exposed to liability and our results of operations, financial condition and our reputation may be adversely affected.</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have no experience maintaining or servicing our products at a large scale.</w:t>
      </w:r>
    </w:p>
    <w:p>
      <w:pPr>
        <w:pStyle w:val="TextBody"/>
        <w:bidi w:val="0"/>
        <w:spacing w:before="0" w:after="0"/>
        <w:jc w:val="both"/>
        <w:rPr>
          <w:rFonts w:ascii="Times New Roman" w:hAnsi="Times New Roman"/>
          <w:sz w:val="20"/>
        </w:rPr>
      </w:pPr>
      <w:r>
        <w:rPr>
          <w:rFonts w:ascii="Times New Roman;serif" w:hAnsi="Times New Roman;serif"/>
          <w:b w:val="false"/>
          <w:sz w:val="20"/>
        </w:rPr>
        <w:t>We may agree to cover maintenance and servicing of the systems and solutions purchased by our customers. However, we have no experience providing maintenance and servicing at a large scale. We may elect to partner with one or more third parties to perform some or all of the servicing and maintenance of these products, but we may not be able to enter into an acceptable arrangement with any such third-party provider. Although such servicing partners may have experience in servicing complex machinery, they will initially have limited experience in servicing our robotic systems and solutions. If we are unable or elect not to enter into a partnership with third parties to perform maintenance and servicing, we may be required to provide such services directly, which could significantly increase our capital expenditures and personnel costs. We would also be required to recruit and train employees to provide these services and we may not be able to attract persons with the necessary knowledge or experience to provide these services. Delays in implementing a maintenance and servicing infrastructure may significantly delay sales of our products if customers are unwilling to purchase products with limited maintenance and servicing capacity.</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our service and maintenance arrangements may not adequately address the service and maintenance requirements of our customers to their satisfaction, and we and our servicing partners may not have sufficient resources, experience or inventory to meet these service requirements in a timely manner as the volume of robotic systems and solutions we deliver increases. Even if we and our servicing partners have the resources and experience needed, we and our servicing partners still may not adequately service or maintain the systems and solutions. If we are unable to, directly or through third-party partners, roll out and establish a widespread service network, including on-site services, customer satisfaction could be adversely affected, which in turn could materially and adversely affect our reputation and thus our sales, results of operations and prospects.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customers will also depend on our customer support team to resolve technical and operational issues relating to the integrated software underlying our robotic systems and solutions and our AI autonomy software platform. Customer behavior and usage may result in higher-than-expected maintenance and repair costs or warranty claims.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operating results. If we are unable to successfully address the service requirements of our customers or we establish a market perception that we do not maintain high-quality support, we may be subject to claims from our customers, including loss of revenue or damages, and our business, prospects, financial condition and operating results may be materially and adversely affected.</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expected transition to an outsourced manufacturing business model may not be successful, which could harm our ability to deliver products and recognize revenue.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intend to transition from a manufacturing model in which we primarily manufacture and assemble our products at a smaller scale at our facilities, to one where we rely on one or more third-party manufacturers. We believe the use of third-party manufacturers will have benefits, but during a transition we may incur delays, lost revenue and increased costs. Further, reliance on third-party manufacturers reduces our control over the manufacturing process, including reduced control over quality, product costs and product supply and timing. We have recently entered into an agreement with a contract manufacturer and expect to generally outsource manufacturing of our products over time. However, engaging with a manufacturing partner will likely require significant time, ramp-up, testing and coordination before high-volume production capability by the partner is achieved. Further, the timing of this process will likely be delayed due to our new sales and product development strategy. We currently do not anticipate high-volume production by our contract manufacturing partner to be in place until after 2023. We expect that this contract manufacturing partner will initially focus on helping us produce product sub-systems. With our refined sales strategy and focus products, we may be unable to successfully transition our contract manufacturing partner to our new focus products, provide it with sufficient volume or otherwise maintain the relationship. However, we believe we have sufficient internal manufacturing capacity to meet near-term demand for our focus products.</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Our future third-party manufacturers may not be able to develop efficient, automated, low-cost production capabilities and processes and reliable sources of component supply to enable us to meet the quality, price, engineering, design and production standards, as well as the production volumes, required to successfully mass market our robotic systems and solutions. Even if we and our third-party manufacturers are successful in developing high-volume production capability and processes and reliably sourcing components, we may not be able to avoid significant delays and cost overruns, including as a result of factors beyond our control such as:</w:t>
      </w:r>
      <w:r>
        <w:rPr>
          <w:rFonts w:ascii="Times New Roman" w:hAnsi="Times New Roman"/>
          <w:sz w:val="20"/>
        </w:rPr>
        <w:t xml:space="preserve"> </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interruptions, delays or disruptions in supplying our products, including by natural disasters, the global COVID-19 pandemic, other health epidemics and outbreaks, geopolitical events, work stoppages capacity constraints, or force majeure events;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unfavorable economic conditions which may result in financial distress thereby increasing the risk of disruption of supplies;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quality control problems in their manufacturing operations, which may require us to recall our products or cover the cost of repair or replacement of any defective products.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These delays or product quality issues could have an immediate and material adverse effect on our ability to fulfill orders and on our operating results. In addition, such delays or issues with product quality could adversely affect our reputation and our relationship with our customers.</w:t>
      </w:r>
    </w:p>
    <w:p>
      <w:pPr>
        <w:pStyle w:val="TextBody"/>
        <w:bidi w:val="0"/>
        <w:spacing w:before="0" w:after="0"/>
        <w:jc w:val="both"/>
        <w:rPr>
          <w:rFonts w:ascii="Times New Roman" w:hAnsi="Times New Roman"/>
          <w:sz w:val="20"/>
        </w:rPr>
      </w:pPr>
      <w:r>
        <w:rPr>
          <w:rFonts w:ascii="Times New Roman;serif" w:hAnsi="Times New Roman;serif"/>
          <w:b w:val="false"/>
          <w:sz w:val="20"/>
        </w:rPr>
        <w:t>If any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and designs, and such changes could cause significant interruptions in supply and could have an adverse effect on our ability to meet our scheduled product deliveries and may subsequently lead to the loss of sales.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we are unable to successfully outsource a significant portion of our production to third-party manufacturers on acceptable terms, we will need to rely on our own manufacturing capacity and may need to develop additional manufacturing and production facilities and capabilities, which would significantly increase our capital expenditures, would likely delay production of our robotic systems and solutions. and may not be feasible. Further, we recently announced our intention to optimize internal manufacturing facilities in Salt Lake City. If we later decide to engage in significant manufacturing activities in Pittsburgh (or elsewhere), we may incur significant costs to re-establish that capability. If any of these events were to occur, we would need to raise or borrow additional capital, which may not be available on terms acceptable to us or at all, and possibly change our product pricing expectations, which could adversely affect our margins and cash flows. We have no experience to date in high volume manufacture of our products, nor do we have the facility, employees or equipment needed to manufacture our products in high volumes.</w:t>
      </w:r>
    </w:p>
    <w:p>
      <w:pPr>
        <w:pStyle w:val="TextBody"/>
        <w:bidi w:val="0"/>
        <w:spacing w:before="0" w:after="0"/>
        <w:jc w:val="both"/>
        <w:rPr>
          <w:rFonts w:ascii="Times New Roman" w:hAnsi="Times New Roman"/>
          <w:sz w:val="20"/>
        </w:rPr>
      </w:pPr>
      <w:r>
        <w:rPr>
          <w:rFonts w:ascii="Times New Roman;serif" w:hAnsi="Times New Roman;serif"/>
          <w:b/>
          <w:i/>
          <w:sz w:val="20"/>
        </w:rPr>
        <w:t>We and our suppliers and any manufacturing partners may rely on complex machinery for production, which involves a significant degree of risk and uncertainty in terms of operational performance and costs.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and our suppliers and any manufacturing partners may rely on complex machinery for the production and assembly of our robotic systems and solutions, which will involve a significant degree of uncertainty and risk in terms of operational performance and costs. Our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or machines may significantly affect the intended operational efficiency. Operational performance and costs can be difficult to predict and are often influenced by factors outside of our or any third-party manufacturing partners’ and suppliers’ control, such as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it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of which could have a material adverse effect on our business, prospects, financial condition and operating results.</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business and prospects depend significantly on our ability to build our brand. We may not succeed in continuing to establish, maintain and strengthen our brand, and our brand and reputation could be harmed by negative publicity regarding us or our products.</w:t>
      </w:r>
    </w:p>
    <w:p>
      <w:pPr>
        <w:pStyle w:val="TextBody"/>
        <w:bidi w:val="0"/>
        <w:spacing w:before="0" w:after="0"/>
        <w:jc w:val="both"/>
        <w:rPr>
          <w:rFonts w:ascii="Times New Roman" w:hAnsi="Times New Roman"/>
          <w:sz w:val="20"/>
        </w:rPr>
      </w:pPr>
      <w:r>
        <w:rPr>
          <w:rFonts w:ascii="Times New Roman;serif" w:hAnsi="Times New Roman;serif"/>
          <w:b w:val="false"/>
          <w:sz w:val="20"/>
        </w:rPr>
        <w:t>Our business and prospects are heavily dependent on our ability to develop, maintain and strengthen our brand. If we do not continue to establish, maintain and strengthen our brand, we may lose the opportunity to build a critical mass of customers. Promoting and positioning our brand will likely depend significantly on our ability to provide high quality products and engage with our customers as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intended. In addition, our ability to develop, maintain and strengthen our brand may depend on the acceptance of our products by employees of our customers. To promote our brand, we may be required to change or expand our customer development and branding practices, which could result in substantially increased expenses. If we do not develop and maintain a strong brand, our business, prospects, financial condition and operating results will be materially and adversely impacted.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if safety incidents occur or are perceived to have occurred, whether or not such incidents are our fault, we could be subject to adverse publicity or resistance by employees of our customers or labor unions. In particular, given the popularity of social media, any negative publicity, whether true or not, could quickly proliferate and harm perceptions and confidence in our brands. Furthermore, there is the risk of potential adverse publicity related to our manufacturing or other partners whether or not such publicity is related to their collaboration with us. Our ability to successfully position our brand could also be adversely affected by perceptions about the quality of our competitors’ products.</w:t>
      </w:r>
    </w:p>
    <w:p>
      <w:pPr>
        <w:pStyle w:val="TextBody"/>
        <w:bidi w:val="0"/>
        <w:spacing w:before="0" w:after="0"/>
        <w:jc w:val="both"/>
        <w:rPr>
          <w:rFonts w:ascii="Times New Roman" w:hAnsi="Times New Roman"/>
          <w:sz w:val="20"/>
        </w:rPr>
      </w:pPr>
      <w:r>
        <w:rPr>
          <w:rFonts w:ascii="Times New Roman;serif" w:hAnsi="Times New Roman;serif"/>
          <w:b/>
          <w:i/>
          <w:sz w:val="20"/>
        </w:rPr>
        <w:t>Our management team has broad discretion in making strategic decisions to execute our growth plans, and our management’s decisions may not be successful in achieving our business objectives or may have unintended consequences that negatively impact our growth prospects.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management has broad discretion in making strategic decisions to execute our growth plans and may devote time and company resources to new or expanded product offerings, potential acquisitions, prospective customers or other initiatives that do not necessarily improve our operating results or contribute to our growth. On July 12, 2023 we announced a shift in product development and commercialization strategy to focus on products that we believe have the most potential for near-term revenue growth and strategic opportunities that we believe show the greatest market traction and meet an acute customer need, as well as a new Advanced Technologies division to focus on commercializing our AI/ML software platform to enable generalizable autonomy, which may not prove to be effective.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of operations.</w:t>
      </w:r>
    </w:p>
    <w:p>
      <w:pPr>
        <w:pStyle w:val="TextBody"/>
        <w:bidi w:val="0"/>
        <w:spacing w:before="0" w:after="0"/>
        <w:jc w:val="both"/>
        <w:rPr>
          <w:rFonts w:ascii="Times New Roman;serif" w:hAnsi="Times New Roman;serif"/>
          <w:b/>
          <w:i/>
          <w:sz w:val="20"/>
        </w:rPr>
      </w:pPr>
      <w:r>
        <w:rPr>
          <w:rFonts w:ascii="Times New Roman;serif" w:hAnsi="Times New Roman;serif"/>
          <w:b/>
          <w:i/>
          <w:sz w:val="20"/>
        </w:rPr>
        <w:t>If we fail to effectively manage our growth, we may not be able to design, develop, manufacture, market and launch our robotic systems and solutions successfully.</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had a reduction in force in July 2023 affecting approximately 24% of the Company’s workforce as part of our efforts to decrease our costs in the current macroeconomic environment and create a more streamlined organization to support our business. However, this reduction in force may place additional strain on our existing resources, and we could experience systemic operating difficulties in managing our business. Any failure to manage our growth effectively could materially and adversely affect our business, prospects, financial condition and operating results. As we grow our business, we may need to manage the following activities, among others: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expanding our management, engineering and product teams;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identifying and recruiting individuals with the appropriate relevant experience;</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hiring and training new personnel;</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commercializing our products;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forecasting production and revenue and implementing enterprise resource planning (ERP) systems;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entering into relationships with one or more third-party design for manufacturing partners and third-party manufacturers and/or expanding our internal manufacturing capabilities;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potentially carrying out acquisitions and entering into collaborations, in-licensing arrangements, joint ventures, strategic alliances or partnerships;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expanding and enhancing internal information technology, safety and security systems;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establishing or expanding sales, customer service and maintenance and servicing facilities and organizations;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conducting demonstrations and customer trials of robotic systems and solutions;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entering into agreements with suppliers and service providers; and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implementing and enhancing administrative infrastructure, systems and processes.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the future, we may need to hire additional personnel, including engineers, design and production personnel and service technicians for our robotic systems and solutions, whether due to growth of our business, unwanted attrition, a lack of certain skills or otherwise. Because of the innovative nature of our technology, individuals with the necessary experience have not been, and likely will continue not to be, readily available to hire, and as a result, we will need to expend significant time and expense to recruit and retain experienced employees and appropriately train any newly hired employees. Competition for individuals with the experience designing, producing and servicing dexterous robots and AI software is intense, and we may not be able to attract, integrate, train, motivate or retain additional highly qualified personnel. Integrating new employees can cause disruptions to processes, projects, culture, priorities and a company as a whole. Further, as a result of our recent reduction in force, we have re-organized our operations, which has resulted in some employees having different reporting relationships, team members or responsibilities, which could result in delays or other operational difficulties as employees become accustomed to the new organizational structure. New employees may not perform as expected or may not fit culturally, and long-term employees may not embrace new leaders, priorities, methods, processes or other changes and may decide to leave or may not perform as well as in the past. Any failure to attract, integrate, train, motivate and retain employees or difficulty adjusting to a larger organization with new leadership and a new employees could significantly delay our product development and commercial release and materially harm our business, prospects, financial condition and operating results.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may be unable to adequately control the costs associated with our operations.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will require significant capital to develop and grow our business, including developing and producing our commercial robotic systems and solutions and other products (including our commercial AI autonomy software platform), establishing or expanding our design, research and development, production, sales and maintenance and service capabilities and building our brands. We have incurred and expect to continue incurring significant expenses which will impact our profitability, including research and development expenses, procurement costs, sales, marketing and distribution expenses as we build our brand and market our products and general and administrative expenses as we scale our operations, identify and commit resources to investigate new areas of demand and incur costs as a public company. Some of the factors that may lead to cost increases are outside of our control, such as national or global geopolitical and economic conditions, including inflation or increases in interest rates. In addition, we may incur significant costs servicing or maintaining our robotic systems and solutions, and we expect that the cost to repair and service our robotic systems and solutions will increase over time as our robotic systems and solutions age. Our ability to become profitable in the future will not only depend on our ability to complete the design and development of our products to meet projected performance metrics and identify and investigate new areas of demand and successfully market our products, but also on our ability to sell our products at prices needed to achieve sufficient margins and control our costs, including the risks and costs associated with any maintenance and service obligations that we may undertake and warranty obligations. If we are unable to efficiently design, develop, manufacture, market, deploy, distribute and service our products in a cost-effective manner, our margins, profitability and prospects would be materially and adversely affected.</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expect to incur substantial research and development costs and devote significant resources to identifying and commercializing new and current products, which could significantly reduce our profitability and may never result in revenue.</w:t>
      </w:r>
    </w:p>
    <w:p>
      <w:pPr>
        <w:pStyle w:val="TextBody"/>
        <w:bidi w:val="0"/>
        <w:spacing w:before="0" w:after="0"/>
        <w:jc w:val="both"/>
        <w:rPr>
          <w:rFonts w:ascii="Times New Roman" w:hAnsi="Times New Roman"/>
          <w:sz w:val="20"/>
        </w:rPr>
      </w:pPr>
      <w:r>
        <w:rPr>
          <w:rFonts w:ascii="Times New Roman;serif" w:hAnsi="Times New Roman;serif"/>
          <w:b w:val="false"/>
          <w:sz w:val="20"/>
        </w:rPr>
        <w:t>Our future growth depends on penetrating new markets, adapting existing products to new applications and customer requirements and introducing new products that achieve market acceptance. We plan to incur substantial, and potentially increasing, research and development costs as part of our efforts to design, develop, enhance, manufacture and commercialize new products and product currently under development, including products targeting our areas of focus: subsea, aviation, solar field installation and a commercial AI autonomy software platform. Our research and development expenses were $21.1 million for the six months ended June 30, 2023, and $34.1 million for the year ended December 31, 2022. Our research and development program may not produce successful results or, be sufficient to adapt to new or changing technologies (such as artificial intelligence), and our products may not achieve market acceptance, create additional revenue or become profitable.</w:t>
      </w:r>
      <w:r>
        <w:rPr>
          <w:rFonts w:ascii="Times New Roman" w:hAnsi="Times New Roman"/>
          <w:sz w:val="20"/>
        </w:rPr>
        <w:t xml:space="preserve">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face risks related to natural disasters, health epidemics and other calamities, which could significantly disrupt our operations.</w:t>
      </w:r>
    </w:p>
    <w:p>
      <w:pPr>
        <w:pStyle w:val="TextBody"/>
        <w:bidi w:val="0"/>
        <w:spacing w:before="0" w:after="0"/>
        <w:jc w:val="both"/>
        <w:rPr>
          <w:rFonts w:ascii="Times New Roman" w:hAnsi="Times New Roman"/>
          <w:sz w:val="20"/>
        </w:rPr>
      </w:pPr>
      <w:r>
        <w:rPr>
          <w:rFonts w:ascii="Times New Roman;serif" w:hAnsi="Times New Roman;serif"/>
          <w:b w:val="false"/>
          <w:sz w:val="20"/>
        </w:rPr>
        <w:t>Our facilities or operations or those of any third-party manufacturers or suppliers could be adversely affected by events outside of our or their control, such as natural disasters, wars, health epidemics and other calamities and force majeure events. See "</w:t>
      </w:r>
      <w:r>
        <w:rPr>
          <w:rFonts w:ascii="Times New Roman;serif" w:hAnsi="Times New Roman;serif"/>
          <w:b w:val="false"/>
          <w:i/>
          <w:sz w:val="20"/>
        </w:rPr>
        <w:t>Ongoing impacts from COVID-19 or another pandemic, epidemic or outbreak of an infectious disease may materially and adversely impact our business, prospects, financial condition and operating results."</w:t>
      </w:r>
      <w:r>
        <w:rPr>
          <w:rFonts w:ascii="Times New Roman" w:hAnsi="Times New Roman"/>
          <w:sz w:val="20"/>
        </w:rPr>
        <w:t xml:space="preserve"> </w:t>
      </w:r>
      <w:r>
        <w:rPr>
          <w:rFonts w:ascii="Times New Roman;serif" w:hAnsi="Times New Roman;serif"/>
          <w:b w:val="false"/>
          <w:sz w:val="20"/>
        </w:rPr>
        <w:t>Although we have servers that are hosted both onsite and at an offsite location, 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as well as adversely affect our ability to provide services.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Ongoing impacts from COVID-19 or another pandemic, epidemic or outbreak of an infectious disease may materially and adversely impact our business, prospects, financial condition and operating results.</w:t>
      </w:r>
    </w:p>
    <w:p>
      <w:pPr>
        <w:pStyle w:val="TextBody"/>
        <w:bidi w:val="0"/>
        <w:spacing w:before="0" w:after="0"/>
        <w:jc w:val="both"/>
        <w:rPr>
          <w:rFonts w:ascii="Times New Roman" w:hAnsi="Times New Roman"/>
          <w:sz w:val="20"/>
        </w:rPr>
      </w:pPr>
      <w:r>
        <w:rPr>
          <w:rFonts w:ascii="Times New Roman;serif" w:hAnsi="Times New Roman;serif"/>
          <w:b w:val="false"/>
          <w:sz w:val="20"/>
        </w:rPr>
        <w:t>The COVID-19 pandemic has adversely impacted our business, and it, as well as other possible health pandemics, epidemics or outbreaks, may materially and adversely impact our business, prospects, financial condition and operating results in the future. Our engineering and product development operations, among others, cannot all be conducted in a remote working structure and often require on-site access to materials and equipment. We have customers with international operations in varying industries. We also depend on suppliers and manufacturers worldwide. We are currently experiencing disruptions and delays in our supply chain, as discussed under “</w:t>
      </w:r>
      <w:r>
        <w:rPr>
          <w:rFonts w:ascii="Times New Roman;serif" w:hAnsi="Times New Roman;serif"/>
          <w:b w:val="false"/>
          <w:i/>
          <w:sz w:val="20"/>
        </w:rPr>
        <w:t>We rely heavily on supply chain reliability and predictability and continued disruption in our supply chain could have a material adverse impact on operations and commercialization of our core systems.</w:t>
      </w:r>
      <w:r>
        <w:rPr>
          <w:rFonts w:ascii="Times New Roman" w:hAnsi="Times New Roman"/>
          <w:sz w:val="20"/>
        </w:rPr>
        <w:t xml:space="preserve">” </w:t>
      </w:r>
      <w:r>
        <w:rPr>
          <w:rFonts w:ascii="Times New Roman;serif" w:hAnsi="Times New Roman;serif"/>
          <w:b w:val="false"/>
          <w:sz w:val="20"/>
        </w:rPr>
        <w:t>Depending upon the duration of the ongoing effects of the COVID-19 pandemic, which may linger for some time even if significant health risks abate, our customers, suppliers, manufacturers and partners may suspend or delay their engagement with us or take other actions or experience their own negative impacts, any of which could result in a material adverse effect on our financial condition and ability to meet current timelines. The COVID-19 pandemic has adversely affected and may continue to adversely affect our ability to recruit skilled employees to join our team and to meet our product development timelines. Our response to the ongoing COVID-19 pandemic and its ongoing impacts on our supply chain and business activities may prove to be inadequate, and we may be unable to operate in the manner necessary to avoid interruptions, reputational harm and delays in our product development and shipments, any of which could have a material adverse effect on our business, prospects, financial condition and operating results. In addition, pre-COVID-19 supply chain, economic and business conditions may not ever return.</w:t>
      </w:r>
    </w:p>
    <w:p>
      <w:pPr>
        <w:pStyle w:val="TextBody"/>
        <w:bidi w:val="0"/>
        <w:spacing w:before="0" w:after="0"/>
        <w:jc w:val="both"/>
        <w:rPr>
          <w:rFonts w:ascii="Times New Roman;serif" w:hAnsi="Times New Roman;serif"/>
          <w:b/>
          <w:sz w:val="20"/>
        </w:rPr>
      </w:pPr>
      <w:r>
        <w:rPr>
          <w:rFonts w:ascii="Times New Roman;serif" w:hAnsi="Times New Roman;serif"/>
          <w:b/>
          <w:sz w:val="20"/>
        </w:rPr>
        <w:t>Risks Related to Our Finances</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Although we believe we have sufficient capital to fund our business for at least the next 12 months, we may seek additional financing during that time to bolster our cash reserves and ensure our ability to continue to pursue our business objectives. As sales volumes increase, we may seek outside financing to help cover production costs for product orders. In addition, we have taken numerous steps to manage our use of cash and believe we have sufficient capital to fund our business for at least the next 12 months without seeking additional capital. For example, on July 12, 2023 we announced a reduction in force ("RIF") intended to further conserve our current cash resources and manage operating expenses. We believe we have sufficient liquidity to operate into 2025 without the need to raise additional capital. Our current business plans likely will require us to secure additional financing prior to achieving positive operating cash flows, and we do not anticipate achieving positive operating cash flows until at least 2025.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product manufacturing and inventory costs and pursue business objectives. We currently have no plans to do an equity financing in 2023, but we could change our plans if we determine it to be necessary or advisable. Any delays in the successful commercialization and sales of our products will negatively impact our ability to generate revenue, our profitability and our overall operating performance and result in the need to raise additional capital sooner than expected.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Even after achieving positive operating cash flows, we may need to raise significant amounts of additional capital to fund our business thereafter, including to finance ongoing research and development costs, manufacturing, any significant unplanned or accelerated expenses and new strategic alliances or acquisitions. The fact that we have limited experience commercializing our products on a large scale, coupled with the fact that our products represent new product categories or advancements in the commercial and industrial robotics and AI autonomy software markets, means we have limited to no historical data on the demand for our products. In addition, we expect our capital expenditures to continue to be significant in the foreseeable future as we complete the design, testing and launch of commercial products, and that our level of capital expenditures will be significantly affected by customer demand for our products. As a result, our future capital requirements are uncertain and actual capital requirements may be different from those we currently anticipate. We may need to seek equity or debt financing to finance a portion of our capital expenditures, and such financing might not be available to us in a timely manner or on terms that are acceptable, or at all.</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ability to obtain any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might not have sufficient resources to conduct our business as projected, both of which could mean that we would be forced to curtail or discontinue our operations.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debt service obligations and could result in operating and financing covenants that would restrict our operations.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we cannot raise additional funds when we need or want them, our operations, prospects and financial condition could be materially and adversely affected.</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recent initiatives to improve our cost structure, including significant workforce reductions, may not result in the anticipated savings, could result in total costs and expenses that are greater than expected and could disrupt our business.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July 2023, we implemented a reduction in force affecting approximately 71 employees, representing approximately 24% of our workforce, as part of our initiatives to improve our cost structure. This reduction in force is expected to result in approximately $14.6 million of annualized cost savings in total. However, we may incur additional expenses not currently contemplated due to events associated with the reduction in force. The annualized cost savings are estimates and subject to a number of assumptions, and actual results may differ materially. We may not realize, in full or in part, the anticipated benefits and savings from this reduction in force due to unforeseen difficulties, delays or unexpected costs. If we are unable to realize the expected operational efficiencies and cost savings from the reduction in force, our operating results and financial condition would be adversely affected. In addition, we may need to undertake additional workforce reductions or restructuring activities in the future. Furthermore, our initiatives to improve our cost structure, including the reduction in force, may be disruptive to our operations. For example, our workforce reductions could yield unanticipated consequences, such as attrition beyond planned staff reductions, the loss of institutional knowledge and expertise, increased difficulties in our day-to-day operations, reduced employee morale and diversion of our management's and employees' attention from other business priorities. If employees who were not affected by the reduction in force leave our employ, we may need to seek contractor support at unplanned additional expense or harm our productivity. In addition, we may be unsuccessful in distributing the duties and obligations of departed employees that are necessary to our operations among our remaining employees or to contractors, which could result in disruptions to our operations. Our workforce reductions could also harm our ability to attract and retain qualified personnel who are critical to our business, and make it difficult for us to pursue new opportunities and initiatives and require us to hire qualified replacement personnel. Any failure to attract or retain qualified personnel could prevent us from successfully developing or selling our products, which would adversely affect our business, financial condition, and results of operations.</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financial results may vary significantly from period to period due to fluctuations in our operating costs, product demand and other factors.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expect our period-to-period financial results to vary based on our operating costs and product demand, which we anticipate will fluctuate as the pace at which we continue to design, develop, release and manufacture products, increase production capacity and establish or expand design, research and development, production, sales and service activities and/or facilities fluctuates. Additionally, our revenue from period to period may fluctuate as we identify and investigate areas of demand, adjust volumes and add new product derivatives based on market demand and margin opportunities and develop and introduce new products or introduce existing products to new markets for the first time, and as product sales mix varies and our product development contract revenue fluctuates. As a result of these factors, we believe that quarter-to-quarter comparisons of our financial results, especially in the near term, are not necessarily meaningful and that these comparisons cannot be relied upon as indicators of future performance. Moreover, our financial results may not meet expectations of equity research analysts, ratings agencies or investors, who may be focused only on quarterly financial results. If any of this occurs, the trading price of our securities could fall substantially, either suddenly or over time, and/or experience significant volatility.</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are or may be subject to risks associated with strategic alliances or acquisitions and may not be able to identify adequate strategic relationship opportunities, or form strategic relationships, in the future.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pStyle w:val="TextBody"/>
        <w:bidi w:val="0"/>
        <w:spacing w:before="0" w:after="0"/>
        <w:jc w:val="both"/>
        <w:rPr>
          <w:rFonts w:ascii="Times New Roman" w:hAnsi="Times New Roman"/>
          <w:sz w:val="20"/>
        </w:rPr>
      </w:pPr>
      <w:r>
        <w:rPr>
          <w:rFonts w:ascii="Times New Roman;serif" w:hAnsi="Times New Roman;serif"/>
          <w:b w:val="false"/>
          <w:sz w:val="20"/>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strategic relationship opportunities in the future, our overall growth could be impaired, and our business, prospects, financial condition and operating results could be materially adversely affected.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we have previously experienced an impairment of all of the goodwill associated with our acquisition of RE2. Moreover, the costs of identifying and consummating acquisitions may be significant.</w:t>
      </w:r>
    </w:p>
    <w:p>
      <w:pPr>
        <w:pStyle w:val="TextBody"/>
        <w:bidi w:val="0"/>
        <w:spacing w:before="0" w:after="0"/>
        <w:jc w:val="both"/>
        <w:rPr>
          <w:rFonts w:ascii="Times New Roman" w:hAnsi="Times New Roman"/>
          <w:sz w:val="20"/>
        </w:rPr>
      </w:pPr>
      <w:r>
        <w:rPr>
          <w:rFonts w:ascii="Times New Roman;serif" w:hAnsi="Times New Roman;serif"/>
          <w:b/>
          <w:i/>
          <w:sz w:val="20"/>
        </w:rPr>
        <w:t>Our operating and financial projections rely on management assumptions and analyses. If these assumptions or analyses prove to be incorrect, our actual operating results may be materially different from our forecasted results.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We are a development stage company, with very limited experience commercializing our products. Our projected financial and operating information reflect estimates of future performance and are based on multiple business, financial, technical and operational assumptions, including timely hiring or any needed personnel, timing of commercial launch of our products, the level of demand for our products, the size of our target markets, the performance of our products, the utilization of the products, product pricing, the useable life of our robotic systems and solutions, cost of manufacturing, cost of components and availability of adequate supply, number of systems that will need to be manufactured in each batch, the nature and length of the sales cycle and maintenance and servicing costs. However, given our limited commercial experience, it is likely that many of these assumptions will prove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serif" w:hAnsi="Times New Roman;serif"/>
          <w:b w:val="false"/>
          <w:i/>
          <w:sz w:val="20"/>
        </w:rPr>
        <w:t>Special Note Regarding Forward-Looking Statements</w:t>
      </w:r>
      <w:r>
        <w:rPr>
          <w:rFonts w:ascii="Times New Roman" w:hAnsi="Times New Roman"/>
          <w:sz w:val="20"/>
        </w:rPr>
        <w:t xml:space="preserve">” </w:t>
      </w:r>
      <w:r>
        <w:rPr>
          <w:rFonts w:ascii="Times New Roman;serif" w:hAnsi="Times New Roman;serif"/>
          <w:b w:val="false"/>
          <w:i/>
          <w:sz w:val="20"/>
        </w:rPr>
        <w:t xml:space="preserve">and </w:t>
      </w:r>
      <w:r>
        <w:rPr>
          <w:rFonts w:ascii="Times New Roman" w:hAnsi="Times New Roman"/>
          <w:sz w:val="20"/>
        </w:rPr>
        <w:t>“</w:t>
      </w:r>
      <w:r>
        <w:rPr>
          <w:rFonts w:ascii="Times New Roman;serif" w:hAnsi="Times New Roman;serif"/>
          <w:b w:val="false"/>
          <w:i/>
          <w:sz w:val="20"/>
        </w:rPr>
        <w:t>Management’s Discussion and Analysis of Financial Condition and Results of Operations</w:t>
      </w:r>
      <w:r>
        <w:rPr>
          <w:rFonts w:ascii="Times New Roman" w:hAnsi="Times New Roman"/>
          <w:sz w:val="20"/>
        </w:rPr>
        <w:t>”</w:t>
      </w:r>
      <w:r>
        <w:rPr>
          <w:rFonts w:ascii="Times New Roman;serif" w:hAnsi="Times New Roman;serif"/>
          <w:b w:val="false"/>
          <w:sz w:val="20"/>
        </w:rPr>
        <w:t>).</w:t>
      </w:r>
      <w:r>
        <w:rPr>
          <w:rFonts w:ascii="Times New Roman" w:hAnsi="Times New Roman"/>
          <w:sz w:val="20"/>
        </w:rPr>
        <w:t xml:space="preserve">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are highly dependent on the services of our senior management and other key employees and, if we are unable to attract and retain a sufficient number of qualified employees, our ability to design, manufacture and launch our products, operate our business and compete could be harmed.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We have recently experienced several changes in our senior management team. Our future performance will depend, in part, on the successful transition of our workforce to our new operating and organizational structure following our recent reduction in force. If we do not successfully manage these transitions, it could be viewed negatively by our customers, employees, investors, and other third-party partners, and could have an adverse impact on our business and results of operations.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success also depends, in part, on our continuing ability to identify, hire, attract, train and develop other highly qualified personnel. Experienced and highly skilled employees are in high demand and 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Given our recent reduction in force, we may have increased difficulty attracting and retaining highly qualified personnel. Our headquarters are in Salt Lake City, Utah, which has fewer highly skilled employees in the robotics field than other major metropolitan areas. To attract and retain key personnel, we may need to open offices in other areas of the country, which could increase costs and reduce productivity. As a result of our acquisition of RE2, a significant number of our employees are located in Pittsburgh, Pennsylvania. As an organization, we do not have meaningful experience managing two large facilities and employee bases in different geographies and across different time zones. Any failure by our management team and our employees to perform as expected may have a material adverse effect on our ability to design, manufacture and launch our products or to operate our business and compete, as well as on our business, prospects, financial condition and operating results.</w:t>
      </w:r>
    </w:p>
    <w:p>
      <w:pPr>
        <w:pStyle w:val="TextBody"/>
        <w:bidi w:val="0"/>
        <w:spacing w:before="0" w:after="0"/>
        <w:jc w:val="both"/>
        <w:rPr>
          <w:rFonts w:ascii="Times New Roman" w:hAnsi="Times New Roman"/>
          <w:sz w:val="20"/>
        </w:rPr>
      </w:pPr>
      <w:r>
        <w:rPr>
          <w:rFonts w:ascii="Times New Roman;serif" w:hAnsi="Times New Roman;serif"/>
          <w:b/>
          <w:i/>
          <w:sz w:val="20"/>
        </w:rPr>
        <w:t>Our management as a group has limited experience in operating a publicly-traded company.</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Although some members of our management have public company experience, our management team may not successfully or effectively manage operating as a public company subject to significant regulatory oversight and reporting obligations under U.S. securities laws. Our officers as a group have limited experience in the management of a publicly-traded company. Their limited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Although we have hired personnel experienced in managing and addressing the obligations of a publicly-traded company, we will likely need to continue to recruit and hire additional persons in order to handle the increased demands of running a public company, but our efforts may not be successful.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publicly-traded company could have a material adverse effect on our business, prospects, financial condition and operating results and/or result in legal liability or other negative consequences.</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incur significant expenses and administrative burdens as a publicly-traded company, which could have a material adverse effect on our business, prospects, financial condition and operating results.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 publicly-traded company, we are incurring legal, accounting and other expenses that we previously did not have, and these expenses may increase as we continue to implement and strengthen controls, processes and systems and to hire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Nasdaq. Our management and other personnel will be devoting a substantial amount of time to these compliance initiatives. We have expanded our employee base and we will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difficult and more expensive for us to obtain director and officer liability insurance and we have incurred substantially higher costs to obtain appropriate coverage than we incurred as a private company. We cannot accurately predict or estimate the amount or timing of all the additional costs we may incur. The impact of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could have a material adverse effect on our business, financial condition and operating results.</w:t>
      </w:r>
    </w:p>
    <w:p>
      <w:pPr>
        <w:pStyle w:val="TextBody"/>
        <w:bidi w:val="0"/>
        <w:spacing w:before="0" w:after="0"/>
        <w:jc w:val="both"/>
        <w:rPr>
          <w:rFonts w:ascii="Times New Roman;serif" w:hAnsi="Times New Roman;serif"/>
          <w:b/>
          <w:i/>
          <w:sz w:val="20"/>
        </w:rPr>
      </w:pPr>
      <w:r>
        <w:rPr>
          <w:rFonts w:ascii="Times New Roman;serif" w:hAnsi="Times New Roman;serif"/>
          <w:b/>
          <w:i/>
          <w:sz w:val="20"/>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expect that the requirements of the Exchange Act, the Sarbanes-Oxley Act and the rules and regulations of Nasdaq will continue to increase our legal, accounting and financial compliance costs, make some activities more difficult, time-consuming and costly, and place significant strain on personnel, systems and resources.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We have been integrating our finance and accounting systems following our acquisition of RE2 to a common enterprise system, and a delay or other issues with the integration could impact our ability or prevent us from timely reporting our operating results, timely filing required reports with the SEC and complying with Section 404 of the Sarbanes-Oxley Act.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pStyle w:val="TextBody"/>
        <w:bidi w:val="0"/>
        <w:spacing w:before="0" w:after="0"/>
        <w:jc w:val="both"/>
        <w:rPr>
          <w:rFonts w:ascii="Times New Roman" w:hAnsi="Times New Roman"/>
          <w:sz w:val="20"/>
        </w:rPr>
      </w:pPr>
      <w:r>
        <w:rPr>
          <w:rFonts w:ascii="Times New Roman;serif" w:hAnsi="Times New Roman;serif"/>
          <w:b w:val="false"/>
          <w:sz w:val="20"/>
        </w:rPr>
        <w:t>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 See "</w:t>
      </w:r>
      <w:r>
        <w:rPr>
          <w:rFonts w:ascii="Times New Roman;serif" w:hAnsi="Times New Roman;serif"/>
          <w:b w:val="false"/>
          <w:i/>
          <w:sz w:val="20"/>
        </w:rPr>
        <w:t>As a result of prior material weaknesses, the Restatement, the change in accounting for the Private Placement Warrants and other matters raised or that may in the future be raised by the SEC, we face the potential for litigation or other disputes, which may include claims invoking U.S. federal and state securities laws, contractual claims or other claims</w:t>
      </w:r>
      <w:r>
        <w:rPr>
          <w:rFonts w:ascii="Times New Roman;serif" w:hAnsi="Times New Roman;serif"/>
          <w:b w:val="false"/>
          <w:sz w:val="20"/>
        </w:rPr>
        <w: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ability to use net operating loss carryforwards and other tax attributes may be limited in connection with ownership changes.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have incurred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Under the Tax Cuts and Jobs Act of 2017 (the Tax Act), as modified by the Coronavirus Aid, Relief and Economic Security Act of 2020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 Suspensions or other restrictions on the use of net operating losses or tax credits, possibly with retroactive effect, may result in our existing net operating losses or tax credits expiring or otherwise being unavailable to offset future income tax liabilities.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Adverse events or perceptions affecting the financial services industry could adversely affect our operating results, liquidity, financial condition and prospects.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on March 10, 2023, Silicon Valley Bank, or SVB was closed and placed in receivership. Subsequently, additional financial institutions have been placed into receivership. We did not hold cash deposits or other accounts with SVB and did not, and as of the date of this Report do not, otherwise have a direct business relationship with SVB or similarly situation financial institutions. The bulk of our financial assets, including our cash and investments in U.S. government securities, are held and managed within Bank of America and its affiliates (including Merrill Lynch). However, companies that did have a business relationship with SVB faced:</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delayed access to deposits or other financial assets or the uninsured loss of deposits or other financial assets;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loss of access to existing revolving credit facilities or other working capital sources or the inability to refund, roll over or extend the maturity of, or enter into new credit facilities or other working capital resources;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potential or actual breach of obligations, including U.S. federal and state wage laws and contracts that required them to maintain letters of credit or other credit support arrangements; and</w:t>
      </w:r>
    </w:p>
    <w:p>
      <w:pPr>
        <w:pStyle w:val="TextBody"/>
        <w:bidi w:val="0"/>
        <w:spacing w:before="200" w:after="0"/>
        <w:jc w:val="both"/>
        <w:rPr/>
      </w:pPr>
      <w:r>
        <w:rPr/>
        <w:t>•</w:t>
      </w:r>
    </w:p>
    <w:p>
      <w:pPr>
        <w:pStyle w:val="TextBody"/>
        <w:bidi w:val="0"/>
        <w:spacing w:before="200" w:after="283"/>
        <w:jc w:val="both"/>
        <w:rPr>
          <w:rFonts w:ascii="Times New Roman;serif" w:hAnsi="Times New Roman;serif"/>
          <w:b w:val="false"/>
          <w:sz w:val="20"/>
        </w:rPr>
      </w:pPr>
      <w:r>
        <w:rPr>
          <w:rFonts w:ascii="Times New Roman;serif" w:hAnsi="Times New Roman;serif"/>
          <w:b w:val="false"/>
          <w:sz w:val="20"/>
        </w:rPr>
        <w:t>termination of cash management arrangements or delays in accessing or actual loss of funds subject to cash management arrangements.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may be unable to access such sources of liquidity. There is no guarantee that the U.S. government will intervene to provide access to uninsured funds in the future in the event of failure of other financial institutions, or that they would do so in a timely fashion. In such an event, parties with which we have commercial agreements, including customers and suppliers, may be unable to satisfy their obligations to us or enter into new commercial arrangements with us.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Any of these risks could materially impact our operating results, liquidity, financial condition and prospects.</w:t>
      </w:r>
    </w:p>
    <w:p>
      <w:pPr>
        <w:pStyle w:val="TextBody"/>
        <w:bidi w:val="0"/>
        <w:spacing w:before="0" w:after="0"/>
        <w:jc w:val="both"/>
        <w:rPr>
          <w:rFonts w:ascii="Times New Roman;serif" w:hAnsi="Times New Roman;serif"/>
          <w:b/>
          <w:sz w:val="20"/>
        </w:rPr>
      </w:pPr>
      <w:r>
        <w:rPr>
          <w:rFonts w:ascii="Times New Roman;serif" w:hAnsi="Times New Roman;serif"/>
          <w:b/>
          <w:sz w:val="20"/>
        </w:rPr>
        <w:t>Risks Related to Claims, Legal and Regulatory Compliance</w:t>
      </w:r>
    </w:p>
    <w:p>
      <w:pPr>
        <w:pStyle w:val="TextBody"/>
        <w:bidi w:val="0"/>
        <w:spacing w:before="0" w:after="0"/>
        <w:jc w:val="both"/>
        <w:rPr>
          <w:rFonts w:ascii="Times New Roman;serif" w:hAnsi="Times New Roman;serif"/>
          <w:b/>
          <w:i/>
          <w:sz w:val="20"/>
        </w:rPr>
      </w:pPr>
      <w:r>
        <w:rPr>
          <w:rFonts w:ascii="Times New Roman;serif" w:hAnsi="Times New Roman;serif"/>
          <w:b/>
          <w:i/>
          <w:sz w:val="20"/>
        </w:rPr>
        <w:t>As a result of prior material weaknesses, the Restatement, the change in accounting for the Private Placement Warrants and other matters raised or that may in the future be raised by the SEC, we face the potential for litigation or other disputes, which may include claims invoking U.S. federal and state securities laws, contractual claims or other claims.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accounting principles generally accepted in the United States (“GAAP”). Our management is likewise required, on a quarterly basis, to evaluate the effectiveness of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Old Sarcos identified certain accounting errors related to its financial statements. As a result, Old Sarcos management concluded that a material weakness existed in its internal control over financial reporting related to the identification and review of technical issues associated with certain unique, unusual and nonstandard transactions within Old Sarcos’ equity process. As a result of this material weakness, management concluded that its internal control over financial reporting was not effective as of December 31, 2020 and 2021. Management implemented new measures designed to remediate the previously identified material weakness and completed the testing necessary to conclude that the material weakness was remediated as of June 30, 2022.</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Statement”). Following the issuance of the SEC Statement, after consultation with its independent registered public accounting firm, Rotor’s management and its audit committee concluded that, in light of the SEC Statement, it was appropriate to restate the previously issued audited balance sheet as of January 20, 2021 (the “Restatement”). As part of such process, Rotor identified a material weakness in its internal control over financial reporting. As of December 31, 2021, management determined that this material weakness was remediated as the previously issued financial statements were restated and management is now accounting for the Private Placement Warrants in accordance with the SEC Statement.</w:t>
      </w:r>
    </w:p>
    <w:p>
      <w:pPr>
        <w:pStyle w:val="TextBody"/>
        <w:bidi w:val="0"/>
        <w:spacing w:before="0" w:after="0"/>
        <w:jc w:val="both"/>
        <w:rPr>
          <w:rFonts w:ascii="Times New Roman" w:hAnsi="Times New Roman"/>
          <w:sz w:val="20"/>
        </w:rPr>
      </w:pPr>
      <w:r>
        <w:rPr>
          <w:rFonts w:ascii="Times New Roman;serif" w:hAnsi="Times New Roman;serif"/>
          <w:b w:val="false"/>
          <w:sz w:val="20"/>
        </w:rPr>
        <w:t>To mitigate the potential for any future material weaknesses, we continue to devote significant effort and resources to the improvement of our internal control over financial reporting. Any failure to maintain effective internal control over financial reporting could adversely impact our ability to report our financial condition and results of operations on a timely and accurate basis. If our financial statements are not accurate, investors may not have a complete understanding of our operations and could lose confidence in our reported financial information, which could negatively affect the trading price of our Common Stock.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r>
        <w:rPr>
          <w:rFonts w:ascii="Times New Roman" w:hAnsi="Times New Roman"/>
          <w:sz w:val="20"/>
        </w:rPr>
        <w:t xml:space="preserve"> </w:t>
      </w:r>
    </w:p>
    <w:p>
      <w:pPr>
        <w:pStyle w:val="TextBody"/>
        <w:bidi w:val="0"/>
        <w:spacing w:before="0" w:after="0"/>
        <w:jc w:val="both"/>
        <w:rPr>
          <w:rFonts w:ascii="Times New Roman;serif" w:hAnsi="Times New Roman;serif"/>
          <w:b/>
          <w:i/>
          <w:sz w:val="20"/>
        </w:rPr>
      </w:pPr>
      <w:r>
        <w:rPr>
          <w:rFonts w:ascii="Times New Roman;serif" w:hAnsi="Times New Roman;serif"/>
          <w:b/>
          <w:i/>
          <w:sz w:val="20"/>
        </w:rPr>
        <w:t>Changes in tax laws could have a material adverse effect on our business, cash flows, results of operations or financial condition.</w:t>
      </w:r>
    </w:p>
    <w:p>
      <w:pPr>
        <w:pStyle w:val="TextBody"/>
        <w:bidi w:val="0"/>
        <w:spacing w:before="0" w:after="0"/>
        <w:jc w:val="both"/>
        <w:rPr>
          <w:rFonts w:ascii="Times New Roman" w:hAnsi="Times New Roman"/>
          <w:sz w:val="20"/>
        </w:rPr>
      </w:pPr>
      <w:r>
        <w:rPr>
          <w:rFonts w:ascii="Times New Roman;serif" w:hAnsi="Times New Roman;serif"/>
          <w:b w:val="false"/>
          <w:sz w:val="20"/>
        </w:rPr>
        <w:t>We are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The Tax Act has eliminated the option to deduct research and development expenditures currently and instead required taxpayers to capitalize and amortize them over five or fifteen years beginning in 2022. The Inflation Reduction Act of 2022 has imposed a 1% excise tax on certain repurchases of stock. Any new tax laws or changes to existing tax laws could adversely affect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effective tax rate, operating results, tax credits or incentives or tax payments, which could have a material adverse effect on our business, cash flows, results of operations or financial condition.</w:t>
      </w:r>
    </w:p>
    <w:p>
      <w:pPr>
        <w:pStyle w:val="TextBody"/>
        <w:bidi w:val="0"/>
        <w:spacing w:before="0" w:after="0"/>
        <w:jc w:val="both"/>
        <w:rPr>
          <w:rFonts w:ascii="Times New Roman" w:hAnsi="Times New Roman"/>
          <w:sz w:val="20"/>
        </w:rPr>
      </w:pPr>
      <w:r>
        <w:rPr>
          <w:rFonts w:ascii="Times New Roman;serif" w:hAnsi="Times New Roman;serif"/>
          <w:b/>
          <w:i/>
          <w:sz w:val="20"/>
        </w:rPr>
        <w:t>We may become subject to new or changing governmental regulations relating to the design, manufacturing, marketing, distribution, servicing or use of our products, and a failure to comply with such regulations could lead to withdrawal or recall of our products from the market</w:t>
      </w:r>
      <w:r>
        <w:rPr>
          <w:rFonts w:ascii="Times New Roman;serif" w:hAnsi="Times New Roman;serif"/>
          <w:b w:val="false"/>
          <w:sz w:val="20"/>
        </w:rPr>
        <w:t xml:space="preserve">, </w:t>
      </w:r>
      <w:r>
        <w:rPr>
          <w:rFonts w:ascii="Times New Roman;serif" w:hAnsi="Times New Roman;serif"/>
          <w:b/>
          <w:i/>
          <w:sz w:val="20"/>
        </w:rPr>
        <w:t>delay our projected revenue, increase costs or make our business unviable if we are unable to modify our products to comply.</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may become subject to new or changing international, national, state and local regulations, including laws relating to the design, manufacturing, marketing, distribution, servicing or use of our products. Such laws and regulations may require us to pause sales and modify our products, which would likely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do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spacing w:before="0" w:after="0"/>
        <w:jc w:val="both"/>
        <w:rPr>
          <w:rFonts w:ascii="Times New Roman" w:hAnsi="Times New Roman"/>
          <w:sz w:val="20"/>
        </w:rPr>
      </w:pPr>
      <w:r>
        <w:rPr>
          <w:rFonts w:ascii="Times New Roman;serif" w:hAnsi="Times New Roman;serif"/>
          <w:b/>
          <w:i/>
          <w:sz w:val="20"/>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pStyle w:val="TextBody"/>
        <w:bidi w:val="0"/>
        <w:spacing w:before="0" w:after="0"/>
        <w:jc w:val="both"/>
        <w:rPr>
          <w:rFonts w:ascii="Times New Roman" w:hAnsi="Times New Roman"/>
          <w:sz w:val="20"/>
        </w:rPr>
      </w:pPr>
      <w:r>
        <w:rPr>
          <w:rFonts w:ascii="Times New Roman;serif" w:hAnsi="Times New Roman;serif"/>
          <w:b w:val="false"/>
          <w:sz w:val="20"/>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California residents. The CCPA includes a framework with potentially severe statutory damages and private rights of action. Additionally, a new privacy law, the California Privacy Rights Act (“CPRA”), was approved by California voters on November 3, 2020. The CPRA created obligations relating to consumer data beginning on January 1, 2022, and the CPRA went into effect on January 1, 2023. The CPRA significantly modifies the CCPA, potentially resulting in further uncertainty. Numerous other states have proposed, and in many cases have enacted, laws addressing data privacy and security. For example, Virginia, Colorado, Connecticut, Utah, Iowa, Indiana, Texas, Montana, Oregon, Florida, and Tennessee have enacted laws similar to the CCPA and CPRA that have taken or will take effect between 2023 and 2026.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bidi w:val="0"/>
        <w:spacing w:before="0" w:after="0"/>
        <w:jc w:val="left"/>
        <w:rPr>
          <w:rFonts w:ascii="Times New Roman;serif" w:hAnsi="Times New Roman;serif"/>
          <w:b/>
          <w:i/>
          <w:sz w:val="20"/>
        </w:rPr>
      </w:pPr>
      <w:r>
        <w:rPr>
          <w:rFonts w:ascii="Times New Roman;serif" w:hAnsi="Times New Roman;serif"/>
          <w:b/>
          <w:i/>
          <w:sz w:val="20"/>
        </w:rPr>
        <w:t>Issues in the development and use of artificial intelligence, combined with an uncertain regulatory environment, may result in reputational harm, liability or other adverse consequences to our business operations.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implementing machine learning and artificial intelligence technologies in our products, and we are making investments in expanding the artificial intelligence capabilities of our products. AI technologies are complex and rapidly evolving, and we face significant competition from other companies as well as an evolving regulatory landscape. The introduction of AI technologies into new or existing products may result in new or enhanced governmental or regulatory scrutiny, litigation, confidentiality or security risks, ethical concerns or other complications that could adversely affect our business, reputation or financial results or limit the functionality of our products or our ability to sell our products. The intellectual property ownership and license rights, including copyright, surrounding AI technologies has not been fully addressed by U.S. courts or other federal or state laws or regulations, and the use or adoption of third-party AI technologies into our products and services may result in exposure to claims of copyright infringement or other intellectual property misappropriation or infringement.</w:t>
      </w:r>
    </w:p>
    <w:p>
      <w:pPr>
        <w:pStyle w:val="TextBody"/>
        <w:bidi w:val="0"/>
        <w:spacing w:before="0" w:after="0"/>
        <w:jc w:val="both"/>
        <w:rPr>
          <w:rFonts w:ascii="Times New Roman" w:hAnsi="Times New Roman"/>
          <w:sz w:val="20"/>
        </w:rPr>
      </w:pPr>
      <w:r>
        <w:rPr>
          <w:rFonts w:ascii="Times New Roman;serif" w:hAnsi="Times New Roman;serif"/>
          <w:b w:val="false"/>
          <w:sz w:val="20"/>
        </w:rPr>
        <w:t>Uncertainty around new and emerging AI technologies, may require additional investment in the development and maintenance of proprietary datasets and machine learning models, development of new approaches and processes to provide attribution or remuneration to creators of training data, and development of appropriate protections and safeguards for handling the use of data with AI technologies, which may be costly and could impact our expenses if we decide to expand AI within product offerings. AI technologies may create content that appears correct but is factually inaccurate or flawed. Our customers or others may rely on or use this flawed content to their detriment, which may expose us to brand or reputational harm, competitive harm and/or legal liability. The use of AI technologies presents emerging ethical and social issues, and if we enable or offer solutions that draw scrutiny or controversy due to their perceived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or actual impact on customers or on society as a whole, we may experience brand or reputational harm, competitive harm and/or legal liability.</w:t>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are subject to cybersecurity risks to our operational systems, security systems, infrastructure, integrated software in our products and data processed by us or third-party vendors.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Many of our employees work remotely which has increased security risks. In addition, the risk of state-supported and geopolitical-related cybersecurity attacks is believed to be heightened in connection with the war in Ukraine and any related political or economic responses and counter-responses. Further, attackers have used artificial intelligence and machine learning to launch more automated, targeted and coordinated attacks against their targets.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systems; and (e) customer data that we process or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intend to use our product services and functionality to log information about each system’s use in order to aid us in diagnostics and servicing. Our customers may object to the use of this data, which may require us to implement new or modified data handling policies and mechanisms, increase our system maintenance costs and costs associated with data processing and handling, and harm our business prospects.</w:t>
      </w:r>
    </w:p>
    <w:p>
      <w:pPr>
        <w:pStyle w:val="TextBody"/>
        <w:bidi w:val="0"/>
        <w:spacing w:before="0" w:after="0"/>
        <w:jc w:val="both"/>
        <w:rPr>
          <w:rFonts w:ascii="Times New Roman" w:hAnsi="Times New Roman"/>
          <w:sz w:val="20"/>
        </w:rPr>
      </w:pPr>
      <w:r>
        <w:rPr>
          <w:rFonts w:ascii="Times New Roman;serif" w:hAnsi="Times New Roman;serif"/>
          <w:b w:val="false"/>
          <w:sz w:val="20"/>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systems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p>
    <w:p>
      <w:pPr>
        <w:pStyle w:val="TextBody"/>
        <w:bidi w:val="0"/>
        <w:spacing w:before="0" w:after="0"/>
        <w:jc w:val="both"/>
        <w:rPr>
          <w:rFonts w:ascii="Times New Roman" w:hAnsi="Times New Roman"/>
          <w:sz w:val="20"/>
        </w:rPr>
      </w:pPr>
      <w:r>
        <w:rPr>
          <w:rFonts w:ascii="Times New Roman;serif" w:hAnsi="Times New Roman;serif"/>
          <w:b w:val="false"/>
          <w:sz w:val="20"/>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i/>
          <w:sz w:val="20"/>
        </w:rPr>
        <w:t>We are subject to U.S. and foreign anti-corruption and anti-money laundering laws and regulations. We can face criminal liability and other serious consequences for violations of these laws, which can harm our business, prospects, financial condition and operating results.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 responsible. Our exposure for violating these laws increases as our international presence expands and as we increase sales and operations in foreign jurisdictions.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are subject to governmental export and import controls and laws that could subject us to liability if we are not in compliance with such laws.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products and technology are subject to compliance with any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robotic systems and solutions, software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pStyle w:val="TextBody"/>
        <w:bidi w:val="0"/>
        <w:spacing w:before="0" w:after="0"/>
        <w:jc w:val="both"/>
        <w:rPr>
          <w:rFonts w:ascii="Times New Roman" w:hAnsi="Times New Roman"/>
          <w:sz w:val="20"/>
        </w:rPr>
      </w:pPr>
      <w:r>
        <w:rPr>
          <w:rFonts w:ascii="Times New Roman;serif" w:hAnsi="Times New Roman;serif"/>
          <w:b w:val="false"/>
          <w:sz w:val="20"/>
        </w:rPr>
        <w:t>Moreover, international sales of certain of our products may be subject to first obtaining licenses, clearances or authorizations from various regulatory entities. If we are not allowed to export our products or the clearance process is burdensome and costly, our ability to generate revenue would be adversely affected.</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changes to our products, or changes in applicable export control, import or economic sanctions laws and regulations may create delays in the introduction and sale of our products, constrain collaboration with suppliers or other business partners or, in some cases, prevent the export or import of our products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robotic systems and solutions, as well as our decreased ability to export or market our robotic systems and solutions to potential customers. Any decreased use of products or limitation on our ability to export or market our products would likely adversely affect our business, prospects, financial condition and operating results.</w:t>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Environmental costs and regulation, including in relation to climate change, could adversely affect our future earnings as well as the affordability of our products and services.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subject to federal, state, local and foreign requirements for the protection of the environment, including those for discharge of hazardous materials and remediation of contaminated sites. We may become subject to various lawsuits, proceedings and remediation obligations. These types of matters could result in fines, penalties, cost reimbursements or contributions, compensatory or treble damages or non-monetary sanctions or relief. These costs may increase significantly because of future acquisitions, the regulation of new substances, stricter remediation standards for existing regulated substances, changes in the interpretation or enforcement of existing laws and regulations or the discovery of previously unknown or more extensive contamination or new contaminants, which could adversely affect our business, results of operations or financial results.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future regulations in response to global climate change may affect us, our suppliers, and our customers. Such regulations could cause us to incur additional direct costs for compliance, as well as increased indirect costs resulting from our customers, suppliers or both incurring additional compliance costs that are passed on to us. Future environmental regulations could result in decreased demand for our products. If we fail to comply with current and future regulations, or are required to perform site remediation, we could be subject to future liabilities or cost, including penalties or the suspension of production. Current and future regulations may also:</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restrict our ability to expand facilities;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restrict our ability to ship certain products;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require us to modify our operations logistics;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require us to acquire costly equipment; or</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require us to incur other significant costs and expenses.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to incurring direct costs to implement any climate-change related laws, regulations or policies, we may see indirect costs rise, such as increased energy or material costs, as a result of policies affecting other sectors of the economy. Although most of these increased costs likely would be recoverable through pricing, to the extent that the increase in our costs as a result of these policies are greater than our competitors we may be less competitive on future bids or the total increased cost in our products and services could result in lower demand from our customers. We cannot accurately predict the materiality of any potential costs associated with such developments. In addition, climate change-related litigation and investigations have increased in recent years and any claims or investigations against us could be costly to defend and our business could be adversely affected by the outcome.</w:t>
      </w:r>
    </w:p>
    <w:p>
      <w:pPr>
        <w:pStyle w:val="TextBody"/>
        <w:bidi w:val="0"/>
        <w:spacing w:before="0" w:after="0"/>
        <w:jc w:val="both"/>
        <w:rPr>
          <w:rFonts w:ascii="Times New Roman;serif" w:hAnsi="Times New Roman;serif"/>
          <w:b/>
          <w:sz w:val="20"/>
        </w:rPr>
      </w:pPr>
      <w:r>
        <w:rPr>
          <w:rFonts w:ascii="Times New Roman;serif" w:hAnsi="Times New Roman;serif"/>
          <w:b/>
          <w:sz w:val="20"/>
        </w:rPr>
        <w:t>Risks Related to Our Intellectual Property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success depends in part on our ability to obtain and maintain protection for the intellectual property relating to or incorporated into our products.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success depends in part on our ability to obtain and maintain protection for the intellectual property relating to or incorporated into our products. We seek to protect our intellectual property through a combination of patents, trademarks and other intellectual property rights, as well as confidentiality and/or intellectual property assignment agreements with our employees and certain of our contractors, consultants, third-party manufacturers, scientific advisors and other vendors and third-parties. In addition, we rely on trade secret law to protect our proprietary software and product candidates/products in development.</w:t>
      </w:r>
    </w:p>
    <w:p>
      <w:pPr>
        <w:pStyle w:val="TextBody"/>
        <w:bidi w:val="0"/>
        <w:spacing w:before="0" w:after="0"/>
        <w:jc w:val="both"/>
        <w:rPr>
          <w:rFonts w:ascii="Times New Roman" w:hAnsi="Times New Roman"/>
          <w:sz w:val="20"/>
        </w:rPr>
      </w:pPr>
      <w:r>
        <w:rPr>
          <w:rFonts w:ascii="Times New Roman;serif" w:hAnsi="Times New Roman;serif"/>
          <w:b w:val="false"/>
          <w:sz w:val="20"/>
        </w:rPr>
        <w:t>Patent positions covering robotic systems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in the future, we may invest fewer resources in filing and prosecuting new patents and on maintaining and enforcing various patents, especially in regions where we currently do not focus our market growth strategy.</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our inability to use them could adversely affect our business and profitability.</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also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 Further, unauthorized use of our intellectual property may have occurred, or may occur in the future, without our knowledge.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also have made efforts to register and enforce our trademark rights and copyrights.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 Copyrights, in particular in the software space, are also complex and may be difficult to enforce.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we are unable to obtain or maintain adequate protection for our intellectual property, or if any protection is reduced or eliminated, competitors may be able to use our technologies, resulting in harm to our competitive position and our business.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may not be able to protect our intellectual property rights in all countries.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Filing, prosecuting, maintaining and defending patents and trademarks and seeking to enforce copyrights on our products and intellectual property in all countries throughout the world would be prohibitively expensive and time consuming, and thus our intellectual property rights outside the United States are limited. In addition, the laws of some foreign countries,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may be subject to intellectual property infringement claims or misappropriation claims, which may be time consuming and expensive and, if adversely determined, could limit our ability to commercialize our products.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Companies operating in the robotics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pStyle w:val="TextBody"/>
        <w:bidi w:val="0"/>
        <w:spacing w:before="0" w:after="0"/>
        <w:jc w:val="both"/>
        <w:rPr>
          <w:rFonts w:ascii="Times New Roman" w:hAnsi="Times New Roman"/>
          <w:sz w:val="20"/>
        </w:rPr>
      </w:pPr>
      <w:r>
        <w:rPr>
          <w:rFonts w:ascii="Times New Roman;serif" w:hAnsi="Times New Roman;serif"/>
          <w:b w:val="false"/>
          <w:sz w:val="20"/>
        </w:rPr>
        <w:t>Determining whether a product infringes a patent involves complex legal and factual issues and the outcome of patent litigation is often uncertain. No assurance can be given that patents containing claims covering our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products, technology or methods. Moreover, there may be pending, published or allowed applications that may disclose, but not claim, subject matter covering our products, technology or methods, where such pending or published applications may be amended, or one or more continuation or divisional applications may be filed, in an attempt to capture, to the extent possible, such products, technology or methods that are in the public domain, and which may result in issued patents that our current or future products infringe.</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not be available on commercially reasonable terms or at all, and we may not be able to redesign our products to avoid infringement. In these circumstances, we may not be able to sell our products at competitive prices or at all, and our business, prospects, financial condition and operating results could be harmed.</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may be subject to damages resulting from claims that we or our employees have wrongfully used or disclosed alleged trade secrets of our employees’ former employers.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may be subject to claims that we or our employees have inadvertently or otherwise used or disclosed trade secrets or other proprietary information of an employee’s former employers. Litigation may be necessary to defend against these claims. If we fail to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pStyle w:val="TextBody"/>
        <w:bidi w:val="0"/>
        <w:spacing w:before="0" w:after="0"/>
        <w:jc w:val="both"/>
        <w:rPr>
          <w:rFonts w:ascii="Times New Roman;serif" w:hAnsi="Times New Roman;serif"/>
          <w:b/>
          <w:sz w:val="20"/>
        </w:rPr>
      </w:pPr>
      <w:r>
        <w:rPr>
          <w:rFonts w:ascii="Times New Roman;serif" w:hAnsi="Times New Roman;serif"/>
          <w:b/>
          <w:sz w:val="20"/>
        </w:rPr>
        <w:t>Risks Related to Ownership of our Securities</w:t>
      </w:r>
    </w:p>
    <w:p>
      <w:pPr>
        <w:pStyle w:val="TextBody"/>
        <w:bidi w:val="0"/>
        <w:spacing w:before="0" w:after="0"/>
        <w:jc w:val="both"/>
        <w:rPr>
          <w:rFonts w:ascii="Times New Roman" w:hAnsi="Times New Roman"/>
          <w:sz w:val="20"/>
        </w:rPr>
      </w:pPr>
      <w:r>
        <w:rPr>
          <w:rFonts w:ascii="Times New Roman;serif" w:hAnsi="Times New Roman;serif"/>
          <w:b/>
          <w:i/>
          <w:sz w:val="20"/>
        </w:rPr>
        <w:t>Resales of the shares of Common Stock issued in connection with the Business Combination and our acquisition of RE2 could depress the market price of our Common Stock.</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Sales of a substantial number of shares of our Common Stock or Warrants could occur at any time. These sales, or the perception in the market that the holders of a large number of shares intend to sell shares, could reduce the market price of our Common Stock or Warrants.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Common Stock issued to the former securityholders of Old Sarcos (“Old Sarcos Security Holders”) represented approximately 71.1% of our Common Stock outstanding as of June 30, 2023, a portion of which remains subject to lock-up obligations under our Bylaws and under lock-up agreements entered into with us (the “Old Sarcos Lock-up Agreements”).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In connection with the entry by us into the RE2 Lock-up Agreements (as described below), a special committee of our board of directors, consisting solely of independent directors who did not hold, and whose affiliates did not hold, shares of capital stock of Sarcos subject to the applicable terms of the Old Sarcos Lock-up Agreements, recommended to the board of directors that the release provisions in the Old Sarcos Lock-up Agreements be reconciled to the release provisions in the RE2 Lock-up Agreements. On April 25, 2022, the board of directors approved an amendment to the Bylaws and to the Old Sarcos Lock-up Agreements to conform the release provisions to the RE2 Lock-up Agreements.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Following the amendment described above, Common Stock issued from the exchange or conversion of Old Sarcos common stock, options, RSAs or RSUs is currently subject to the following remaining lock-up periods under the Bylaws and the Old Sarcos Lock-up Agreements: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twenty percent (20%) of the Common Stock became transferable at the close of business on March 23, 2022; and</w:t>
      </w:r>
    </w:p>
    <w:p>
      <w:pPr>
        <w:pStyle w:val="TextBody"/>
        <w:bidi w:val="0"/>
        <w:spacing w:before="120" w:after="0"/>
        <w:jc w:val="both"/>
        <w:rPr>
          <w:rFonts w:ascii="Times New Roman" w:hAnsi="Times New Roman"/>
          <w:b w:val="false"/>
          <w:sz w:val="20"/>
        </w:rPr>
      </w:pPr>
      <w:r>
        <w:rPr>
          <w:rFonts w:ascii="Times New Roman" w:hAnsi="Times New Roman"/>
          <w:b w:val="false"/>
          <w:sz w:val="20"/>
        </w:rPr>
        <w:t>2.</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remaining eighty percent (80%) of the Common Stock may only be transferred beginning upon the earlier to occur of (a) such time as we or any of our subsidiaries have delivered to one or more customers at least 20 Guardian XO and/or Guardian XT and/or Sapien (Sapien products were acquired in the RE2 acquisition and have generally been rebranded as Guardian products) commercial systems, but in no event prior to the close of business on September 24, 2022 and (b) the close of business on September 24, 2023.</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of September 24, 2022, the lock-up periods under the Old Sarcos Lock-up Agreements and the Bylaws applicable to Common Stock issued from the exchange or conversion of shares of Old Sarcos preferred stock or warrants have fully expired.</w:t>
      </w:r>
    </w:p>
    <w:p>
      <w:pPr>
        <w:pStyle w:val="TextBody"/>
        <w:bidi w:val="0"/>
        <w:spacing w:before="0" w:after="0"/>
        <w:jc w:val="both"/>
        <w:rPr>
          <w:rFonts w:ascii="Times New Roman" w:hAnsi="Times New Roman"/>
          <w:sz w:val="20"/>
        </w:rPr>
      </w:pPr>
      <w:r>
        <w:rPr>
          <w:rFonts w:ascii="Times New Roman;serif" w:hAnsi="Times New Roman;serif"/>
          <w:b w:val="false"/>
          <w:sz w:val="20"/>
        </w:rPr>
        <w:t>The Common Stock issued upon conversion of the shares of Rotor Class B Common Stock held by certain stockholders, including the Sponsor (the “Founder Shares”), represented approximately 4.1% of our Common Stock outstanding as of June 30, 2023. The applicable lock-up periods for the Common Stock held by the Rotor Restricted Stockholders have expired and such Common Stock is freely tradable.</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April 25, 2022, we issued 1.8 million shares of our Common Stock (the “Consideration Shares”), which represented approximately 6.9% of our Common Stock outstanding as of June 30, 2023, and assumed certain outstanding options to acquire RE2 common stock which, following such assumption, represent rights to acquire 0.6 million shares of our Common Stock (the “Assumed Options” and together with the Consideration Shares, the “RE2 Lock-up Shares”) in connection with our acquisition of RE2. RE2 securityholders who were RE2 employees and became our employees on such date received in the aggregate 1.2 million Consideration Shares, in addition to the Assumed Options, and entered into lock-up agreements (the “RE2 Lock-up Agreements”), pursuant to which, among other things, they agreed to the following transfer restrictions:</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with respect to twenty percent (20%) of such holder’s RE2 Lock-up Shares, such shares became transferable on the trading day following May 23, 2022, the date on which the registration statement on Form S-1 for the resale of Consideration Shares was declared effective by the Securities and Exchange Commission; and</w:t>
      </w:r>
    </w:p>
    <w:p>
      <w:pPr>
        <w:pStyle w:val="TextBody"/>
        <w:bidi w:val="0"/>
        <w:spacing w:before="120" w:after="0"/>
        <w:jc w:val="both"/>
        <w:rPr>
          <w:rFonts w:ascii="Times New Roman" w:hAnsi="Times New Roman"/>
          <w:b w:val="false"/>
          <w:sz w:val="20"/>
        </w:rPr>
      </w:pPr>
      <w:r>
        <w:rPr>
          <w:rFonts w:ascii="Times New Roman" w:hAnsi="Times New Roman"/>
          <w:b w:val="false"/>
          <w:sz w:val="20"/>
        </w:rPr>
        <w:t>2.</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with respect to the remaining eighty percent (80%) of such holder’s RE2 Lock-up Shares, such shares may be transferred beginning upon the earlier to occur of (a) such time as we or any of our subsidiaries have delivered to one or more customers at least twenty (20) Guardian XO and/or Guardian XT and/or Sapien commercial units (but in no event prior to the close of business on September 24, 2022) and (b) the close of business on September 24, 2023.</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Shares originally issued to PIPE Investors (as defined in Note 1 to our condensed consolidated financial statements included in this Report) represented approximately 14.2% of our Common Stock outstanding as of June 30, 2023. These shares are not subject to any lock-up or transfer restrictions.</w:t>
      </w:r>
    </w:p>
    <w:p>
      <w:pPr>
        <w:pStyle w:val="TextBody"/>
        <w:bidi w:val="0"/>
        <w:spacing w:before="0" w:after="0"/>
        <w:jc w:val="both"/>
        <w:rPr>
          <w:rFonts w:ascii="Times New Roman;serif" w:hAnsi="Times New Roman;serif"/>
          <w:b/>
          <w:i/>
          <w:sz w:val="20"/>
        </w:rPr>
      </w:pPr>
      <w:r>
        <w:rPr>
          <w:rFonts w:ascii="Times New Roman;serif" w:hAnsi="Times New Roman;serif"/>
          <w:b/>
          <w:i/>
          <w:sz w:val="20"/>
        </w:rPr>
        <w:t>The price of our Common Stock could decline due to the large number of shares of our Common Stock subject to employee equity awards.</w:t>
      </w:r>
    </w:p>
    <w:p>
      <w:pPr>
        <w:pStyle w:val="TextBody"/>
        <w:bidi w:val="0"/>
        <w:spacing w:before="0" w:after="0"/>
        <w:jc w:val="both"/>
        <w:rPr>
          <w:rFonts w:ascii="Times New Roman" w:hAnsi="Times New Roman"/>
          <w:sz w:val="20"/>
        </w:rPr>
      </w:pPr>
      <w:r>
        <w:rPr>
          <w:rFonts w:ascii="Times New Roman;serif" w:hAnsi="Times New Roman;serif"/>
          <w:b w:val="false"/>
          <w:sz w:val="20"/>
        </w:rPr>
        <w:t>We have granted and expect to continue to grant equity awards to our directors and employees as additional compensation in an effort to align their interests with those of our stockholders. Because awards granted to certain executive officers and directors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r>
        <w:rPr>
          <w:rFonts w:ascii="Times New Roman" w:hAnsi="Times New Roman"/>
          <w:sz w:val="20"/>
        </w:rPr>
        <w:t xml:space="preserve"> </w:t>
      </w:r>
    </w:p>
    <w:p>
      <w:pPr>
        <w:pStyle w:val="TextBody"/>
        <w:bidi w:val="0"/>
        <w:spacing w:before="0" w:after="0"/>
        <w:jc w:val="both"/>
        <w:rPr/>
      </w:pPr>
      <w:r>
        <w:rPr/>
        <w:t>“</w:t>
      </w:r>
      <w:r>
        <w:rPr>
          <w:rFonts w:ascii="Times New Roman;serif" w:hAnsi="Times New Roman;serif"/>
          <w:b w:val="false"/>
          <w:sz w:val="20"/>
        </w:rPr>
        <w:t>Sell-to-cover” transactions can be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pStyle w:val="TextBody"/>
        <w:bidi w:val="0"/>
        <w:spacing w:before="0" w:after="0"/>
        <w:jc w:val="both"/>
        <w:rPr>
          <w:rFonts w:ascii="Times New Roman;serif" w:hAnsi="Times New Roman;serif"/>
          <w:b/>
          <w:i/>
          <w:sz w:val="20"/>
        </w:rPr>
      </w:pPr>
      <w:r>
        <w:rPr>
          <w:rFonts w:ascii="Times New Roman;serif" w:hAnsi="Times New Roman;serif"/>
          <w:b/>
          <w:i/>
          <w:sz w:val="20"/>
        </w:rPr>
        <w:t>The markets for our Common Stock and Warrants have been volatile and may not continue at all.</w:t>
      </w:r>
    </w:p>
    <w:p>
      <w:pPr>
        <w:pStyle w:val="TextBody"/>
        <w:bidi w:val="0"/>
        <w:spacing w:before="0" w:after="0"/>
        <w:jc w:val="both"/>
        <w:rPr>
          <w:rFonts w:ascii="Times New Roman" w:hAnsi="Times New Roman"/>
          <w:sz w:val="20"/>
        </w:rPr>
      </w:pPr>
      <w:r>
        <w:rPr>
          <w:rFonts w:ascii="Times New Roman;serif" w:hAnsi="Times New Roman;serif"/>
          <w:b w:val="false"/>
          <w:sz w:val="20"/>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Factors affecting the trading price of our securities may include:</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actual or anticipated fluctuations in our quarterly financial results or the quarterly financial results of companies perceived to be similar to us;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changes in the market’s expectations about our operating results;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the public’s reaction to our press releases, our other public announcements and our filings with the SEC;</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speculation in the press or investment community;</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success of competitors;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our operating results failing to meet the expectation of securities analysts or investors in a particular period;</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changes in financial estimates and recommendations by securities analysts concerning our company or the market in general;</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operating and stock price performance of other companies that investors deem comparable to us;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our ability to market, sell, manufacture and deliver our products on a timely basis;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changes in laws and regulations affecting our business;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commencement of, or involvement in, litigation;</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changes in our capital structure, such as future issuances of securities or the incurrence of additional debt;</w:t>
      </w:r>
    </w:p>
    <w:p>
      <w:pPr>
        <w:pStyle w:val="TextBody"/>
        <w:bidi w:val="0"/>
        <w:spacing w:before="0" w:after="0"/>
        <w:jc w:val="both"/>
        <w:rPr/>
      </w:pPr>
      <w:r>
        <w:rPr/>
        <w:t>•</w:t>
      </w:r>
    </w:p>
    <w:p>
      <w:pPr>
        <w:pStyle w:val="TextBody"/>
        <w:bidi w:val="0"/>
        <w:jc w:val="both"/>
        <w:rPr/>
      </w:pPr>
      <w:r>
        <w:rPr>
          <w:rFonts w:ascii="Times New Roman;serif" w:hAnsi="Times New Roman;serif"/>
          <w:b w:val="false"/>
          <w:sz w:val="20"/>
        </w:rPr>
        <w:t>the volume of shares of the Common Stock and Public Warrants available for public sale, including as a result of the release of shares of our Common Stock from lock-up provisions (see "</w:t>
      </w:r>
      <w:r>
        <w:rPr>
          <w:rFonts w:ascii="Times New Roman;serif" w:hAnsi="Times New Roman;serif"/>
          <w:b w:val="false"/>
          <w:i/>
          <w:sz w:val="20"/>
        </w:rPr>
        <w:t>Resales of the shares of Common Stock issued in connection with the Business Combination and our acquisition of RE2 could depress the market price of our Common Stock.</w:t>
      </w:r>
      <w:r>
        <w:rPr>
          <w:rFonts w:ascii="Times New Roman;serif" w:hAnsi="Times New Roman;serif"/>
          <w:b w:val="false"/>
          <w:sz w:val="20"/>
        </w:rPr>
        <w:t>") or after exercise of any of our Warrants or the exercise or vesting of employee equity awards;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any major change in our board of directors or management;</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sales of substantial amounts of Common Stock by our directors, officers or significant stockholders or the perception that such sales could occur;</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the realization of any of the risk factors discussed herein;</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additions or departures of key personnel;</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failure to comply with Nasdaq listing requirements;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failure to comply with the Sarbanes-Oxley Act of 2002 or other laws or regulations;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actual, potential or perceived control, accounting or reporting problems;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changes in accounting principles, policies and guidelines; and</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general economic and political conditions such as recessions, interest rates, fuel prices, international currency fluctuations and acts of war or terrorism.</w:t>
      </w:r>
    </w:p>
    <w:p>
      <w:pPr>
        <w:pStyle w:val="TextBody"/>
        <w:bidi w:val="0"/>
        <w:spacing w:before="0" w:after="0"/>
        <w:jc w:val="both"/>
        <w:rPr>
          <w:rFonts w:ascii="Times New Roman" w:hAnsi="Times New Roman"/>
          <w:sz w:val="20"/>
        </w:rPr>
      </w:pPr>
      <w:r>
        <w:rPr>
          <w:rFonts w:ascii="Times New Roman;serif" w:hAnsi="Times New Roman;serif"/>
          <w:b w:val="false"/>
          <w:sz w:val="20"/>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Additionally, an active trading market for our securities may not be sustained. If our Common Stock or Warrants become delisted from Nasdaq for any reason and are quoted on the OTC Bulletin Board or OTC Pink, an inter-dealer automated quotation system for equity securities that is not a national securities exchange, the liquidity of our Common Stock or Warrants may be more limited and the price of the securities may be lower than if we were quoted or listed on Nasdaq or another national securities exchange. If an active trading market for our securities is not sustained with sufficient trading volume, you may have limited or no ability to sell your securities.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reverse stock split to regain compliance with the Nasdaq Global Market Minimum Bid Price Requirement may not result in a lasting proportional increase in the per share price of our common stock and may decrease the liquidity of our common stock.</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business days. On January 23, 2023, we received written notice from the Listing Qualifications Department of Nasdaq notifying us that, based on the closing bid price of our Common Stock for the previous 30 consecutive business days, we did not comply with the Minimum Bid Price Requirement for continued listing on The Nasdaq Global Market, and that we had until July 22, 2023 to regain such compliance. To do so, our Board of Directors and stockholders approved a 1-for-6 reverse stock split. Although we have regained compliance with the Nasdaq’s listing standards, the long-term effect of the reverse stock split, if any, on the market price for our common stock cannot be accurately predicted. Since the effective date of the reverse stock split on July 5, 2023 the trading price of our common stock increased. However, it has generally traded below the proportionately-adjusted closing price on July 5, 2023. Because some investors may view a reverse stock split negatively, the decline may be the result, at least in part, of the reverse stock split. Further, the liquidity of the shares of our common stock may be affected adversely by the reverse stock split given the reduced number of shares that are outstanding following the reverse stock split.</w:t>
      </w:r>
    </w:p>
    <w:p>
      <w:pPr>
        <w:pStyle w:val="TextBody"/>
        <w:bidi w:val="0"/>
        <w:spacing w:before="0" w:after="0"/>
        <w:jc w:val="both"/>
        <w:rPr>
          <w:rFonts w:ascii="Times New Roman" w:hAnsi="Times New Roman"/>
          <w:sz w:val="20"/>
        </w:rPr>
      </w:pPr>
      <w:r>
        <w:rPr>
          <w:rFonts w:ascii="Times New Roman;serif" w:hAnsi="Times New Roman;serif"/>
          <w:b/>
          <w:i/>
          <w:sz w:val="20"/>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serif" w:hAnsi="Times New Roman;serif"/>
          <w:b w:val="false"/>
          <w:i/>
          <w:sz w:val="20"/>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trading markets for our Common Stock and Warrants will be influenced by the research and reports that industry or securities analysts may publish about us, our business, our market or our competitors. If any of the analysts who cover us now or in the future change their recommendation regarding our stock adversely, or provide more favorable relative recommendations about our competitors, the price of our Common Stock and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Public Warrants to decline.</w:t>
      </w:r>
    </w:p>
    <w:p>
      <w:pPr>
        <w:pStyle w:val="TextBody"/>
        <w:bidi w:val="0"/>
        <w:spacing w:before="0" w:after="0"/>
        <w:jc w:val="both"/>
        <w:rPr>
          <w:rFonts w:ascii="Times New Roman" w:hAnsi="Times New Roman"/>
          <w:sz w:val="20"/>
        </w:rPr>
      </w:pPr>
      <w:r>
        <w:rPr>
          <w:rFonts w:ascii="Times New Roman;serif" w:hAnsi="Times New Roman;serif"/>
          <w:b/>
          <w:i/>
          <w:sz w:val="20"/>
        </w:rPr>
        <w:t>There is no guarantee that the Public Warrants or Private Placement Warrants will ever be in the money, and they may expire worthless.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$69.00 per share of Common Stock. There is no guarantee that the Warrants will ever be in the money prior to their expiration, and as such, the Warrants may expire worthless.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i/>
          <w:sz w:val="20"/>
        </w:rPr>
        <w:t>We may redeem unexpired Warrants prior to their exercise at a time that is disadvantageous to Warrant holders, thereby making their Warrants worthless</w:t>
      </w:r>
      <w:r>
        <w:rPr>
          <w:rFonts w:ascii="Times New Roman;serif" w:hAnsi="Times New Roman;serif"/>
          <w:b w:val="false"/>
          <w:i/>
          <w:sz w:val="20"/>
        </w:rPr>
        <w:t>.</w:t>
      </w:r>
    </w:p>
    <w:p>
      <w:pPr>
        <w:pStyle w:val="TextBody"/>
        <w:bidi w:val="0"/>
        <w:spacing w:before="0" w:after="0"/>
        <w:jc w:val="both"/>
        <w:rPr>
          <w:rFonts w:ascii="Times New Roman" w:hAnsi="Times New Roman"/>
          <w:sz w:val="20"/>
        </w:rPr>
      </w:pPr>
      <w:r>
        <w:rPr>
          <w:rFonts w:ascii="Times New Roman;serif" w:hAnsi="Times New Roman;serif"/>
          <w:b w:val="false"/>
          <w:sz w:val="20"/>
        </w:rPr>
        <w:t>We have the ability to redeem outstanding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see "</w:t>
      </w:r>
      <w:r>
        <w:rPr>
          <w:rFonts w:ascii="Times New Roman;serif" w:hAnsi="Times New Roman;serif"/>
          <w:b w:val="false"/>
          <w:i/>
          <w:sz w:val="20"/>
        </w:rPr>
        <w:t>Description of Securities—Warrants—Public Stockholders’ Warrants</w:t>
      </w:r>
      <w:r>
        <w:rPr>
          <w:rFonts w:ascii="Times New Roman;serif" w:hAnsi="Times New Roman;serif"/>
          <w:b w:val="false"/>
          <w:sz w:val="20"/>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pStyle w:val="TextBody"/>
        <w:bidi w:val="0"/>
        <w:spacing w:before="0" w:after="0"/>
        <w:jc w:val="both"/>
        <w:rPr>
          <w:rFonts w:ascii="Times New Roman" w:hAnsi="Times New Roman"/>
          <w:sz w:val="20"/>
        </w:rPr>
      </w:pPr>
      <w:r>
        <w:rPr>
          <w:rFonts w:ascii="Times New Roman;serif" w:hAnsi="Times New Roman;serif"/>
          <w:b/>
          <w:i/>
          <w:sz w:val="20"/>
        </w:rPr>
        <w:t>Warrants are exercisable for Common Stock, and their exercise would increase the number of shares eligible for future resale in the public market and result in dilution to our stockholders</w:t>
      </w:r>
      <w:r>
        <w:rPr>
          <w:rFonts w:ascii="Times New Roman;serif" w:hAnsi="Times New Roman;serif"/>
          <w:b w:val="false"/>
          <w:i/>
          <w:sz w:val="20"/>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of June 30, 2023, we had outstanding Public Warrants to purchase approximately 2,441,495 shares of Common Stock at $11.50 per warrant and Private Placement Warrants to purchase 983,413 shares at $11.50 per warrant. Upon exercise, the exercise price of the Public Warrants and Private Placement Warrants and the number of shares of Common Stock issuable shall be adjusted in the same ratio as the reverse stock split that was effective as of July 5, 2023, or 1-for-6.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Private Placement Warrants are identical to the Public Warrants except that, so long as they are held by the initial purchasers or their permitted transferees, (i) they will not be redeemable by us subject to certain exceptions, (ii) they may be exercised by the holders on a cashless basis and (iii) they are subject to registration rights.</w:t>
      </w:r>
    </w:p>
    <w:p>
      <w:pPr>
        <w:pStyle w:val="TextBody"/>
        <w:bidi w:val="0"/>
        <w:spacing w:before="0" w:after="0"/>
        <w:jc w:val="both"/>
        <w:rPr>
          <w:rFonts w:ascii="Times New Roman" w:hAnsi="Times New Roman"/>
          <w:sz w:val="20"/>
        </w:rPr>
      </w:pPr>
      <w:r>
        <w:rPr>
          <w:rFonts w:ascii="Times New Roman;serif" w:hAnsi="Times New Roman;serif"/>
          <w:b/>
          <w:i/>
          <w:sz w:val="20"/>
        </w:rPr>
        <w:t>Anti-takeover provisions contained in our Charter and Bylaws, as well as provisions of Delaware law, could impair a takeover attempt, which could limit the price investors might be willing to pay in the future for our Common Stock</w:t>
      </w:r>
      <w:r>
        <w:rPr>
          <w:rFonts w:ascii="Times New Roman;serif" w:hAnsi="Times New Roman;serif"/>
          <w:b w:val="false"/>
          <w:i/>
          <w:sz w:val="20"/>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a prohibition on stockholder action by written consent, which forces stockholder action to be taken at an annual or special meeting of our stockholders;</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only the board of directors (pursuant to a majority vote of the whole board), the chairperson of the board of directors, or the Chief Executive Officer may call a special meeting;</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stockholder vote of at least 66-2/3% required to remove a director for “cause”;</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stockholder vote of at least 66-2/3% required to approve certain amendments to the Charter and Bylaws; and</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the designation of Delaware and federal courts as the exclusive forums for certain disputes.</w:t>
      </w:r>
    </w:p>
    <w:p>
      <w:pPr>
        <w:pStyle w:val="TextBody"/>
        <w:bidi w:val="0"/>
        <w:spacing w:before="0" w:after="0"/>
        <w:jc w:val="both"/>
        <w:rPr>
          <w:rFonts w:ascii="Times New Roman;serif" w:hAnsi="Times New Roman;serif"/>
          <w:b/>
          <w:i/>
          <w:sz w:val="20"/>
        </w:rPr>
      </w:pPr>
      <w:r>
        <w:rPr>
          <w:rFonts w:ascii="Times New Roman;serif" w:hAnsi="Times New Roman;serif"/>
          <w:b/>
          <w:i/>
          <w:sz w:val="20"/>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pStyle w:val="TextBody"/>
        <w:bidi w:val="0"/>
        <w:spacing w:before="0" w:after="0"/>
        <w:jc w:val="both"/>
        <w:rPr>
          <w:rFonts w:ascii="Times New Roman" w:hAnsi="Times New Roman"/>
          <w:sz w:val="20"/>
        </w:rPr>
      </w:pPr>
      <w:r>
        <w:rPr>
          <w:rFonts w:ascii="Times New Roman;serif" w:hAnsi="Times New Roman;serif"/>
          <w:b w:val="false"/>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laws and the rules and regulations thereunder. Accordingly, there is uncertainty as to whether a court would enforce such a forum selection provision as written in connection with claims arising under the Securities Act.</w:t>
      </w:r>
    </w:p>
    <w:p>
      <w:pPr>
        <w:pStyle w:val="TextBody"/>
        <w:bidi w:val="0"/>
        <w:spacing w:before="0" w:after="0"/>
        <w:jc w:val="both"/>
        <w:rPr>
          <w:rFonts w:ascii="Times New Roman" w:hAnsi="Times New Roman"/>
          <w:sz w:val="20"/>
        </w:rPr>
      </w:pPr>
      <w:r>
        <w:rPr>
          <w:rFonts w:ascii="Times New Roman;serif" w:hAnsi="Times New Roman;serif"/>
          <w:b/>
          <w:i/>
          <w:sz w:val="20"/>
        </w:rPr>
        <w:t>The JOBS Act permits “emerging growth companies” like us to take advantage of certain exemptions from various reporting requirements applicable to other public companies that are not emerging growth companies</w:t>
      </w:r>
      <w:r>
        <w:rPr>
          <w:rFonts w:ascii="Times New Roman;serif" w:hAnsi="Times New Roman;serif"/>
          <w:b w:val="false"/>
          <w:i/>
          <w:sz w:val="20"/>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Investors may find our Common Stock or Public Warrants less attractive because we rely on these exemptions and may continue to rely on them to the extent they remain available to us. If some investors find our Common Stock or Public Warrants less attractive as a result of these exemptions and reduced disclosure as an emerging growth company, there may be a less active trading market for and/or more price volatility with respect to our Common Stock or Public Warrants.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6" w:name="item_2_unregistered_sales_of_equity"/>
      <w:bookmarkEnd w:id="16"/>
      <w:r>
        <w:rPr>
          <w:rFonts w:ascii="Times New Roman;serif" w:hAnsi="Times New Roman;serif"/>
          <w:b/>
          <w:sz w:val="20"/>
        </w:rPr>
        <w:t>Item 2. Unregistered Sales of Equity Securities and Use of Proceeds.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7" w:name="item_3_defaults_upon_senior"/>
      <w:bookmarkEnd w:id="17"/>
      <w:r>
        <w:rPr>
          <w:rFonts w:ascii="Times New Roman;serif" w:hAnsi="Times New Roman;serif"/>
          <w:b/>
          <w:sz w:val="20"/>
        </w:rPr>
        <w:t>Item 3. Defaults Upon Senior Securities.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serif" w:hAnsi="Times New Roman;serif"/>
          <w:b/>
          <w:sz w:val="20"/>
        </w:rPr>
      </w:pPr>
      <w:bookmarkStart w:id="18" w:name="item_4_mine_safety_disclosures"/>
      <w:bookmarkEnd w:id="18"/>
      <w:r>
        <w:rPr>
          <w:rFonts w:ascii="Times New Roman;serif" w:hAnsi="Times New Roman;serif"/>
          <w:b/>
          <w:sz w:val="20"/>
        </w:rPr>
        <w:t>Item 4. Mine Safety Disclosures.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 w:hAnsi="Times New Roman"/>
          <w:sz w:val="20"/>
        </w:rPr>
      </w:pPr>
      <w:bookmarkStart w:id="19" w:name="item_5_other_information"/>
      <w:bookmarkEnd w:id="19"/>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our last fiscal quarter, no director or officer, as defined in Rule 16a-1(f), adopted or terminated a “Rule 10b5-1 trading arrangement” or a “non-Rule 10b5-1 trading arrangement,” each as defined in Regulation S-K Item 408.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20" w:name="item_6_exhibits"/>
      <w:bookmarkEnd w:id="20"/>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9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Second Amended and Restated Certificate of Incorporation of Sarcos Technology and Robotics Corporation (incorporated by reference to Exhibit 3.1 to the Company’s Current Report on Form 8-K, filed with the SEC on September 30, 2021).</w:t>
              </w:r>
            </w:hyperlink>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Sarcos Technology and Robotics Corporation (incorporated by reference to Exhibit 3.1 to the Company’s Current Report on Form 8-K filed with the SEC on November 8, 2022).</w:t>
              </w:r>
            </w:hyperlink>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Certificate of Amendment of Amended and Restated Certificate of Incorporation of Sarcos Technology and Robotics Corporation (incorporated by reference to Exhibit 3.1 to the Company’s Current Report on Form 8-K filed with the SEC on June 20, 2023).</w:t>
              </w:r>
            </w:hyperlink>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Separation Agreement, effective as of June 15, 2023, by and between Kiva Allgood, Sarcos Technology and Robotics Corporation and Sarcos Corp. (incorporated by reference to Exhibit 10.1 to the Company’s Current Report on Form 8-K filed with the SEC on June 16, 2023)</w:t>
              </w:r>
            </w:hyperlink>
            <w:r>
              <w:rPr>
                <w:rFonts w:ascii="Times New Roman;serif" w:hAnsi="Times New Roman;serif"/>
                <w:b w:val="false"/>
                <w:sz w:val="20"/>
              </w:rPr>
              <w:t>.</w:t>
            </w:r>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Employment Agreement, entered into as of June 12, 2023, by and between Denis Garagić, Sarcos Technology and Robotics Corporation and Sarcos Corp. (incorporated by reference to Exhibit 10.2 to the Company’s Current Report on Form 8-K filed with the SEC on June 16, 2023).</w:t>
              </w:r>
            </w:hyperlink>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rc-ex10_3.htm">
              <w:r>
                <w:rPr>
                  <w:rStyle w:val="InternetLink"/>
                  <w:rFonts w:ascii="Times New Roman;serif" w:hAnsi="Times New Roman;serif"/>
                  <w:b w:val="false"/>
                  <w:sz w:val="20"/>
                  <w:u w:val="single"/>
                </w:rPr>
                <w:t>Amendment dated May 15, 2023 to the Employment Agreement by and between the Company and Kristi Martindale, effective as of September 24, 2021</w:t>
              </w:r>
            </w:hyperlink>
            <w:r>
              <w:rPr>
                <w:rFonts w:ascii="Times New Roman;serif" w:hAnsi="Times New Roman;serif"/>
                <w:b w:val="false"/>
                <w:sz w:val="20"/>
              </w:rPr>
              <w:t>.</w:t>
            </w:r>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rc-ex10_4.htm">
              <w:r>
                <w:rPr>
                  <w:rStyle w:val="InternetLink"/>
                  <w:rFonts w:ascii="Times New Roman;serif" w:hAnsi="Times New Roman;serif"/>
                  <w:b w:val="false"/>
                  <w:sz w:val="20"/>
                  <w:u w:val="single"/>
                </w:rPr>
                <w:t>Amended and Restated Sarcos Technology and Robotics Corporation Outside Director Compensation Policy.</w:t>
              </w:r>
            </w:hyperlink>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rc-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rc-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rc-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rc-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9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pBdr>
          <w:bottom w:val="single" w:sz="4" w:space="1" w:color="000000"/>
        </w:pBdr>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The Certifications attached as Exhibits 32.1 and 32.2 that accompany this Quarterly Report on Form 10-Q are not deemed filed with the Securities and Exchange Commission and are not to be incorporated by reference into any filing of Sarcos Technology and Robotics Corporation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1" w:name="signatures"/>
      <w:bookmarkEnd w:id="21"/>
      <w:r>
        <w:rPr>
          <w:rFonts w:ascii="Times New Roman;serif" w:hAnsi="Times New Roman;serif"/>
          <w:b/>
          <w:sz w:val="20"/>
        </w:rPr>
        <w:t>SIGNATURES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its behalf by the undersigned thereunto duly authorized.</w:t>
      </w:r>
    </w:p>
    <w:p>
      <w:pPr>
        <w:pStyle w:val="TextBody"/>
        <w:bidi w:val="0"/>
        <w:spacing w:before="0" w:after="0"/>
        <w:jc w:val="left"/>
        <w:rPr/>
      </w:pPr>
      <w:r>
        <w:rPr/>
        <w:t> </w:t>
      </w:r>
    </w:p>
    <w:tbl>
      <w:tblPr>
        <w:tblW w:w="8812" w:type="dxa"/>
        <w:jc w:val="left"/>
        <w:tblInd w:w="0" w:type="dxa"/>
        <w:tblLayout w:type="fixed"/>
        <w:tblCellMar>
          <w:top w:w="28" w:type="dxa"/>
          <w:left w:w="28" w:type="dxa"/>
          <w:bottom w:w="28" w:type="dxa"/>
          <w:right w:w="28" w:type="dxa"/>
        </w:tblCellMar>
      </w:tblPr>
      <w:tblGrid>
        <w:gridCol w:w="1846"/>
        <w:gridCol w:w="109"/>
        <w:gridCol w:w="406"/>
        <w:gridCol w:w="645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5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SARCOS TECHNOLOGY AND ROBOTICS CORPORATION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645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Laura J. Peterson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Laura J. Peterson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Interim President and Chief Executive Officer (</w:t>
            </w:r>
            <w:r>
              <w:rPr>
                <w:rFonts w:ascii="Times New Roman;serif" w:hAnsi="Times New Roman;serif"/>
                <w:b/>
                <w:i/>
                <w:sz w:val="20"/>
              </w:rPr>
              <w:t>Principal Executive Officer</w:t>
            </w:r>
            <w:r>
              <w:rPr>
                <w:rFonts w:ascii="Times New Roman;serif" w:hAnsi="Times New Roman;serif"/>
                <w:b/>
                <w:sz w:val="20"/>
              </w:rPr>
              <w:t>)</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645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Andrew Hamer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Andrew Hamer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Chief Financial Officer (Principal Financial and Accounting Officer)</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120"/>
        <w:jc w:val="right"/>
        <w:rPr/>
      </w:pPr>
      <w:bookmarkStart w:id="22" w:name="strc-ex10_3.htm"/>
      <w:bookmarkStart w:id="23" w:name="ksstrcex10_3"/>
      <w:bookmarkEnd w:id="22"/>
      <w:bookmarkEnd w:id="23"/>
      <w:r>
        <w:rPr/>
        <w:drawing>
          <wp:inline distT="0" distB="0" distL="0" distR="0">
            <wp:extent cx="159067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1590675" cy="323850"/>
                    </a:xfrm>
                    <a:prstGeom prst="rect">
                      <a:avLst/>
                    </a:prstGeom>
                  </pic:spPr>
                </pic:pic>
              </a:graphicData>
            </a:graphic>
          </wp:inline>
        </w:drawing>
      </w:r>
      <w:r>
        <w:rPr/>
        <w:t xml:space="preserve"> </w:t>
      </w:r>
      <w:r>
        <w:rPr>
          <w:rFonts w:ascii="Arial;sans-serif" w:hAnsi="Arial;sans-serif"/>
          <w:b w:val="false"/>
          <w:sz w:val="20"/>
        </w:rPr>
        <w:t>Sarcos Technology and Robotics Corporation</w:t>
        <w:br/>
        <w:t>650 S 500 W, Salt Lake City, UT 84101</w:t>
      </w:r>
      <w:r>
        <w:br w:type="page"/>
      </w:r>
    </w:p>
    <w:p>
      <w:pPr>
        <w:pStyle w:val="TextBody"/>
        <w:pBdr>
          <w:bottom w:val="single" w:sz="6" w:space="1" w:color="000000"/>
        </w:pBdr>
        <w:bidi w:val="0"/>
        <w:spacing w:before="120" w:after="60"/>
        <w:jc w:val="both"/>
        <w:rPr/>
      </w:pPr>
      <w:r>
        <w:rPr/>
        <w:t> </w:t>
      </w:r>
    </w:p>
    <w:p>
      <w:pPr>
        <w:pStyle w:val="TextBody"/>
        <w:bidi w:val="0"/>
        <w:spacing w:before="0" w:after="120"/>
        <w:jc w:val="left"/>
        <w:rPr/>
      </w:pPr>
      <w:r>
        <w:rPr/>
        <w:t> </w:t>
      </w:r>
    </w:p>
    <w:p>
      <w:pPr>
        <w:pStyle w:val="TextBody"/>
        <w:bidi w:val="0"/>
        <w:spacing w:before="0" w:after="0"/>
        <w:jc w:val="right"/>
        <w:rPr>
          <w:rFonts w:ascii="Times New Roman;serif" w:hAnsi="Times New Roman;serif"/>
          <w:b/>
          <w:sz w:val="20"/>
        </w:rPr>
      </w:pPr>
      <w:r>
        <w:rPr>
          <w:rFonts w:ascii="Times New Roman;serif" w:hAnsi="Times New Roman;serif"/>
          <w:b/>
          <w:sz w:val="20"/>
        </w:rPr>
        <w:t>Exhibit 10.3</w:t>
      </w:r>
    </w:p>
    <w:p>
      <w:pPr>
        <w:pStyle w:val="TextBody"/>
        <w:bidi w:val="0"/>
        <w:spacing w:before="0" w:after="0"/>
        <w:jc w:val="both"/>
        <w:rPr>
          <w:rFonts w:ascii="Arial;sans-serif" w:hAnsi="Arial;sans-serif"/>
          <w:b w:val="false"/>
          <w:sz w:val="20"/>
        </w:rPr>
      </w:pPr>
      <w:r>
        <w:rPr>
          <w:rFonts w:ascii="Arial;sans-serif" w:hAnsi="Arial;sans-serif"/>
          <w:b w:val="false"/>
          <w:sz w:val="20"/>
        </w:rPr>
        <w:t>To: Kristi Martindale</w:t>
      </w:r>
    </w:p>
    <w:p>
      <w:pPr>
        <w:pStyle w:val="TextBody"/>
        <w:bidi w:val="0"/>
        <w:spacing w:before="0" w:after="0"/>
        <w:jc w:val="both"/>
        <w:rPr>
          <w:rFonts w:ascii="Arial;sans-serif" w:hAnsi="Arial;sans-serif"/>
          <w:b w:val="false"/>
          <w:sz w:val="20"/>
        </w:rPr>
      </w:pPr>
      <w:r>
        <w:rPr>
          <w:rFonts w:ascii="Arial;sans-serif" w:hAnsi="Arial;sans-serif"/>
          <w:b w:val="false"/>
          <w:sz w:val="20"/>
        </w:rPr>
        <w:t>3224 Dove Hollow Road</w:t>
      </w:r>
    </w:p>
    <w:p>
      <w:pPr>
        <w:pStyle w:val="TextBody"/>
        <w:bidi w:val="0"/>
        <w:spacing w:before="0" w:after="0"/>
        <w:jc w:val="both"/>
        <w:rPr>
          <w:rFonts w:ascii="Arial;sans-serif" w:hAnsi="Arial;sans-serif"/>
          <w:b w:val="false"/>
          <w:sz w:val="20"/>
        </w:rPr>
      </w:pPr>
      <w:r>
        <w:rPr>
          <w:rFonts w:ascii="Arial;sans-serif" w:hAnsi="Arial;sans-serif"/>
          <w:b w:val="false"/>
          <w:sz w:val="20"/>
        </w:rPr>
        <w:t>Encinitas, CA 92024</w:t>
      </w:r>
    </w:p>
    <w:p>
      <w:pPr>
        <w:pStyle w:val="TextBody"/>
        <w:bidi w:val="0"/>
        <w:spacing w:before="0" w:after="0"/>
        <w:jc w:val="both"/>
        <w:rPr>
          <w:rFonts w:ascii="Arial;sans-serif" w:hAnsi="Arial;sans-serif"/>
          <w:b w:val="false"/>
          <w:sz w:val="20"/>
        </w:rPr>
      </w:pPr>
      <w:r>
        <w:rPr>
          <w:rFonts w:ascii="Arial;sans-serif" w:hAnsi="Arial;sans-serif"/>
          <w:b w:val="false"/>
          <w:sz w:val="20"/>
        </w:rPr>
        <w:t>May 15, 2023</w:t>
      </w:r>
    </w:p>
    <w:p>
      <w:pPr>
        <w:pStyle w:val="TextBody"/>
        <w:bidi w:val="0"/>
        <w:spacing w:before="0" w:after="220"/>
        <w:jc w:val="both"/>
        <w:rPr/>
      </w:pPr>
      <w:r>
        <w:rPr/>
        <w:t> </w:t>
      </w:r>
    </w:p>
    <w:p>
      <w:pPr>
        <w:pStyle w:val="TextBody"/>
        <w:bidi w:val="0"/>
        <w:spacing w:before="0" w:after="220"/>
        <w:jc w:val="both"/>
        <w:rPr>
          <w:rFonts w:ascii="Arial;sans-serif" w:hAnsi="Arial;sans-serif"/>
          <w:b w:val="false"/>
          <w:sz w:val="20"/>
        </w:rPr>
      </w:pPr>
      <w:r>
        <w:rPr>
          <w:rFonts w:ascii="Arial;sans-serif" w:hAnsi="Arial;sans-serif"/>
          <w:b w:val="false"/>
          <w:sz w:val="20"/>
        </w:rPr>
        <w:t>Dear Kristi,</w:t>
      </w:r>
    </w:p>
    <w:p>
      <w:pPr>
        <w:pStyle w:val="TextBody"/>
        <w:bidi w:val="0"/>
        <w:spacing w:before="0" w:after="220"/>
        <w:jc w:val="both"/>
        <w:rPr>
          <w:rFonts w:ascii="Times New Roman" w:hAnsi="Times New Roman"/>
          <w:sz w:val="20"/>
        </w:rPr>
      </w:pPr>
      <w:r>
        <w:rPr>
          <w:rFonts w:ascii="Arial;sans-serif" w:hAnsi="Arial;sans-serif"/>
          <w:b w:val="false"/>
          <w:sz w:val="20"/>
        </w:rPr>
        <w:t>We write to amend the Employment Agreement entered into as of September 24, 2021 by and between Sarcos, Corp. and you (the “</w:t>
      </w:r>
      <w:r>
        <w:rPr>
          <w:rFonts w:ascii="Arial;sans-serif" w:hAnsi="Arial;sans-serif"/>
          <w:b/>
          <w:sz w:val="20"/>
        </w:rPr>
        <w:t>Agreement</w:t>
      </w:r>
      <w:r>
        <w:rPr>
          <w:rFonts w:ascii="Times New Roman" w:hAnsi="Times New Roman"/>
          <w:sz w:val="20"/>
        </w:rPr>
        <w:t>”</w:t>
      </w:r>
      <w:r>
        <w:rPr>
          <w:rFonts w:ascii="Arial;sans-serif" w:hAnsi="Arial;sans-serif"/>
          <w:b w:val="false"/>
          <w:sz w:val="20"/>
        </w:rPr>
        <w:t>), as follows:</w:t>
      </w:r>
    </w:p>
    <w:p>
      <w:pPr>
        <w:pStyle w:val="TextBody"/>
        <w:bidi w:val="0"/>
        <w:spacing w:before="0" w:after="220"/>
        <w:jc w:val="both"/>
        <w:rPr>
          <w:rFonts w:ascii="Times New Roman" w:hAnsi="Times New Roman"/>
          <w:sz w:val="20"/>
        </w:rPr>
      </w:pPr>
      <w:r>
        <w:rPr>
          <w:rFonts w:ascii="Arial;sans-serif" w:hAnsi="Arial;sans-serif"/>
          <w:b w:val="false"/>
          <w:sz w:val="20"/>
        </w:rPr>
        <w:t>The definition of “</w:t>
      </w:r>
      <w:r>
        <w:rPr>
          <w:rFonts w:ascii="Arial;sans-serif" w:hAnsi="Arial;sans-serif"/>
          <w:b/>
          <w:sz w:val="20"/>
        </w:rPr>
        <w:t>Good Reason</w:t>
      </w:r>
      <w:r>
        <w:rPr>
          <w:rFonts w:ascii="Times New Roman" w:hAnsi="Times New Roman"/>
          <w:sz w:val="20"/>
        </w:rPr>
        <w:t xml:space="preserve">” </w:t>
      </w:r>
      <w:r>
        <w:rPr>
          <w:rFonts w:ascii="Arial;sans-serif" w:hAnsi="Arial;sans-serif"/>
          <w:b w:val="false"/>
          <w:sz w:val="20"/>
        </w:rPr>
        <w:t>in Section 9(i) of the Agreement is hereby amended to replace the last sentence thereof with the following sentence:</w:t>
      </w:r>
    </w:p>
    <w:p>
      <w:pPr>
        <w:pStyle w:val="TextBody"/>
        <w:bidi w:val="0"/>
        <w:spacing w:before="0" w:after="220"/>
        <w:jc w:val="both"/>
        <w:rPr/>
      </w:pPr>
      <w:r>
        <w:rPr/>
        <w:t>“</w:t>
      </w:r>
      <w:r>
        <w:rPr>
          <w:rFonts w:ascii="Arial;sans-serif" w:hAnsi="Arial;sans-serif"/>
          <w:b w:val="false"/>
          <w:sz w:val="20"/>
        </w:rPr>
        <w:t xml:space="preserve">In order for the termination to be for Good Reason, Executive must not terminate Executive’s employment with the Company without first providing written notice to the Company of the acts or omissions constituting the grounds for “Good Reason” within </w:t>
      </w:r>
      <w:r>
        <w:rPr>
          <w:rFonts w:ascii="Arial;sans-serif" w:hAnsi="Arial;sans-serif"/>
          <w:b w:val="false"/>
          <w:sz w:val="20"/>
          <w:u w:val="single"/>
        </w:rPr>
        <w:t>120 days</w:t>
      </w:r>
      <w:r>
        <w:rPr>
          <w:rFonts w:ascii="Times New Roman" w:hAnsi="Times New Roman"/>
          <w:sz w:val="20"/>
        </w:rPr>
        <w:t xml:space="preserve"> </w:t>
      </w:r>
      <w:r>
        <w:rPr>
          <w:rFonts w:ascii="Arial;sans-serif" w:hAnsi="Arial;sans-serif"/>
          <w:b w:val="false"/>
          <w:sz w:val="20"/>
        </w:rPr>
        <w:t>of the initial existence of the grounds for “Good Reason” and a cure period of 30 days following the date of written notice (the “</w:t>
      </w:r>
      <w:r>
        <w:rPr>
          <w:rFonts w:ascii="Arial;sans-serif" w:hAnsi="Arial;sans-serif"/>
          <w:b/>
          <w:sz w:val="20"/>
        </w:rPr>
        <w:t>Cure Period</w:t>
      </w:r>
      <w:r>
        <w:rPr>
          <w:rFonts w:ascii="Times New Roman" w:hAnsi="Times New Roman"/>
          <w:sz w:val="20"/>
        </w:rPr>
        <w:t>”</w:t>
      </w:r>
      <w:r>
        <w:rPr>
          <w:rFonts w:ascii="Arial;sans-serif" w:hAnsi="Arial;sans-serif"/>
          <w:b w:val="false"/>
          <w:sz w:val="20"/>
        </w:rPr>
        <w:t>), the grounds must not have been cured during that time, and Executive must terminate Executive’s employment within 30 days following the Cure Period.”</w:t>
      </w:r>
    </w:p>
    <w:p>
      <w:pPr>
        <w:pStyle w:val="TextBody"/>
        <w:bidi w:val="0"/>
        <w:spacing w:before="0" w:after="220"/>
        <w:jc w:val="both"/>
        <w:rPr>
          <w:rFonts w:ascii="Arial;sans-serif" w:hAnsi="Arial;sans-serif"/>
          <w:b w:val="false"/>
          <w:sz w:val="20"/>
        </w:rPr>
      </w:pPr>
      <w:r>
        <w:rPr>
          <w:rFonts w:ascii="Arial;sans-serif" w:hAnsi="Arial;sans-serif"/>
          <w:b w:val="false"/>
          <w:sz w:val="20"/>
        </w:rPr>
        <w:t>Please indicate your acknowledgement of and agreement to the amendment to the Agreement as set forth herein by signing in the space indicated below.</w:t>
      </w:r>
    </w:p>
    <w:p>
      <w:pPr>
        <w:pStyle w:val="TextBody"/>
        <w:bidi w:val="0"/>
        <w:spacing w:before="0" w:after="400"/>
        <w:jc w:val="both"/>
        <w:rPr>
          <w:rFonts w:ascii="Arial;sans-serif" w:hAnsi="Arial;sans-serif"/>
          <w:b w:val="false"/>
          <w:sz w:val="20"/>
        </w:rPr>
      </w:pPr>
      <w:r>
        <w:rPr>
          <w:rFonts w:ascii="Arial;sans-serif" w:hAnsi="Arial;sans-serif"/>
          <w:b w:val="false"/>
          <w:sz w:val="20"/>
        </w:rPr>
        <w:t>SARCOS CORP.</w:t>
      </w:r>
    </w:p>
    <w:p>
      <w:pPr>
        <w:pStyle w:val="TextBody"/>
        <w:bidi w:val="0"/>
        <w:spacing w:before="0" w:after="0"/>
        <w:jc w:val="both"/>
        <w:rPr>
          <w:rFonts w:ascii="Times New Roman" w:hAnsi="Times New Roman"/>
          <w:sz w:val="20"/>
        </w:rPr>
      </w:pPr>
      <w:r>
        <w:rPr>
          <w:rFonts w:ascii="Arial;sans-serif" w:hAnsi="Arial;sans-serif"/>
          <w:b w:val="false"/>
          <w:sz w:val="20"/>
        </w:rPr>
        <w:t xml:space="preserve">By: </w:t>
      </w:r>
      <w:r>
        <w:rPr>
          <w:rFonts w:ascii="Arial;sans-serif" w:hAnsi="Arial;sans-serif"/>
          <w:b w:val="false"/>
          <w:sz w:val="20"/>
          <w:u w:val="single"/>
        </w:rPr>
        <w:t xml:space="preserve">/s/ Stephen Sonne </w:t>
      </w:r>
      <w:r>
        <w:rPr>
          <w:rFonts w:ascii="Arial;sans-serif" w:hAnsi="Arial;sans-serif"/>
          <w:b w:val="false"/>
          <w:sz w:val="20"/>
        </w:rPr>
        <w:br/>
        <w:t>Stephen Sonne, Chief Legal Officer</w:t>
      </w:r>
    </w:p>
    <w:p>
      <w:pPr>
        <w:pStyle w:val="TextBody"/>
        <w:bidi w:val="0"/>
        <w:spacing w:before="0" w:after="0"/>
        <w:jc w:val="both"/>
        <w:rPr>
          <w:rFonts w:ascii="Arial;sans-serif" w:hAnsi="Arial;sans-serif"/>
          <w:b w:val="false"/>
          <w:sz w:val="20"/>
        </w:rPr>
      </w:pPr>
      <w:r>
        <w:rPr>
          <w:rFonts w:ascii="Arial;sans-serif" w:hAnsi="Arial;sans-serif"/>
          <w:b w:val="false"/>
          <w:sz w:val="20"/>
        </w:rPr>
        <w:t>Sarcos Technology and Robotics Corp.</w:t>
      </w:r>
    </w:p>
    <w:p>
      <w:pPr>
        <w:pStyle w:val="TextBody"/>
        <w:bidi w:val="0"/>
        <w:spacing w:before="0" w:after="0"/>
        <w:jc w:val="both"/>
        <w:rPr/>
      </w:pPr>
      <w:r>
        <w:rPr/>
        <w:t> </w:t>
      </w:r>
    </w:p>
    <w:p>
      <w:pPr>
        <w:pStyle w:val="TextBody"/>
        <w:bidi w:val="0"/>
        <w:spacing w:before="0" w:after="240"/>
        <w:jc w:val="both"/>
        <w:rPr>
          <w:rFonts w:ascii="Arial;sans-serif" w:hAnsi="Arial;sans-serif"/>
          <w:b w:val="false"/>
          <w:sz w:val="20"/>
        </w:rPr>
      </w:pPr>
      <w:r>
        <w:rPr>
          <w:rFonts w:ascii="Arial;sans-serif" w:hAnsi="Arial;sans-serif"/>
          <w:b w:val="false"/>
          <w:sz w:val="20"/>
        </w:rPr>
        <w:t>Acknowledged and agreed.</w:t>
      </w:r>
    </w:p>
    <w:p>
      <w:pPr>
        <w:pStyle w:val="TextBody"/>
        <w:bidi w:val="0"/>
        <w:spacing w:before="0" w:after="240"/>
        <w:jc w:val="both"/>
        <w:rPr>
          <w:rFonts w:ascii="Times New Roman" w:hAnsi="Times New Roman"/>
          <w:sz w:val="20"/>
        </w:rPr>
      </w:pPr>
      <w:r>
        <w:rPr>
          <w:rFonts w:ascii="Arial;sans-serif" w:hAnsi="Arial;sans-serif"/>
          <w:b w:val="false"/>
          <w:sz w:val="20"/>
          <w:u w:val="single"/>
        </w:rPr>
        <w:t xml:space="preserve">/s/ Kristi Martindale </w:t>
      </w:r>
      <w:r>
        <w:rPr>
          <w:rFonts w:ascii="Arial;sans-serif" w:hAnsi="Arial;sans-serif"/>
          <w:b w:val="false"/>
          <w:sz w:val="20"/>
        </w:rPr>
        <w:br/>
        <w:t>Kristi Martindale</w:t>
      </w:r>
    </w:p>
    <w:p>
      <w:pPr>
        <w:pStyle w:val="TextBody"/>
        <w:bidi w:val="0"/>
        <w:spacing w:before="0" w:after="0"/>
        <w:jc w:val="both"/>
        <w:rPr>
          <w:rFonts w:ascii="Times New Roman" w:hAnsi="Times New Roman"/>
          <w:sz w:val="20"/>
        </w:rPr>
      </w:pPr>
      <w:r>
        <w:rPr>
          <w:rFonts w:ascii="Arial;sans-serif" w:hAnsi="Arial;sans-serif"/>
          <w:b w:val="false"/>
          <w:sz w:val="20"/>
        </w:rPr>
        <w:t xml:space="preserve">Date: </w:t>
      </w:r>
      <w:r>
        <w:rPr>
          <w:rFonts w:ascii="Arial;sans-serif" w:hAnsi="Arial;sans-serif"/>
          <w:b w:val="false"/>
          <w:sz w:val="20"/>
          <w:u w:val="single"/>
        </w:rPr>
        <w:t xml:space="preserve">May 15, 2023 </w:t>
      </w:r>
    </w:p>
    <w:p>
      <w:pPr>
        <w:pStyle w:val="TextBody"/>
        <w:bidi w:val="0"/>
        <w:spacing w:before="0" w:after="0"/>
        <w:jc w:val="left"/>
        <w:rPr/>
      </w:pPr>
      <w:r>
        <w:rPr/>
        <w:t> </w:t>
      </w:r>
    </w:p>
    <w:tbl>
      <w:tblPr>
        <w:tblW w:w="1776" w:type="dxa"/>
        <w:jc w:val="left"/>
        <w:tblInd w:w="0" w:type="dxa"/>
        <w:tblLayout w:type="fixed"/>
        <w:tblCellMar>
          <w:top w:w="28" w:type="dxa"/>
          <w:left w:w="28" w:type="dxa"/>
          <w:bottom w:w="28" w:type="dxa"/>
          <w:right w:w="28" w:type="dxa"/>
        </w:tblCellMar>
      </w:tblPr>
      <w:tblGrid>
        <w:gridCol w:w="607"/>
        <w:gridCol w:w="592"/>
        <w:gridCol w:w="577"/>
      </w:tblGrid>
      <w:tr>
        <w:trPr/>
        <w:tc>
          <w:tcPr>
            <w:tcW w:w="6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ind w:left="0" w:right="0" w:firstLine="446"/>
              <w:jc w:val="left"/>
              <w:rPr>
                <w:sz w:val="4"/>
                <w:szCs w:val="4"/>
              </w:rPr>
            </w:pPr>
            <w:r>
              <w:rPr>
                <w:sz w:val="4"/>
                <w:szCs w:val="4"/>
              </w:rPr>
            </w:r>
          </w:p>
        </w:tc>
      </w:tr>
      <w:tr>
        <w:trPr/>
        <w:tc>
          <w:tcPr>
            <w:tcW w:w="607" w:type="dxa"/>
            <w:tcBorders/>
            <w:tcMar>
              <w:top w:w="0" w:type="dxa"/>
              <w:left w:w="0" w:type="dxa"/>
              <w:bottom w:w="0" w:type="dxa"/>
              <w:right w:w="0" w:type="dxa"/>
            </w:tcMar>
            <w:vAlign w:val="center"/>
          </w:tcPr>
          <w:p>
            <w:pPr>
              <w:pStyle w:val="TableContents"/>
              <w:bidi w:val="0"/>
              <w:spacing w:before="0" w:after="0"/>
              <w:ind w:left="0" w:right="0" w:firstLine="446"/>
              <w:jc w:val="left"/>
              <w:rPr/>
            </w:pPr>
            <w:r>
              <w:rPr/>
              <w:t> </w:t>
            </w:r>
          </w:p>
        </w:tc>
        <w:tc>
          <w:tcPr>
            <w:tcW w:w="592" w:type="dxa"/>
            <w:tcBorders/>
            <w:tcMar>
              <w:top w:w="0" w:type="dxa"/>
              <w:left w:w="0" w:type="dxa"/>
              <w:bottom w:w="0" w:type="dxa"/>
              <w:right w:w="0" w:type="dxa"/>
            </w:tcMar>
            <w:vAlign w:val="center"/>
          </w:tcPr>
          <w:p>
            <w:pPr>
              <w:pStyle w:val="TableContents"/>
              <w:bidi w:val="0"/>
              <w:spacing w:before="0" w:after="0"/>
              <w:ind w:left="0" w:right="0" w:firstLine="446"/>
              <w:jc w:val="center"/>
              <w:rPr/>
            </w:pPr>
            <w:r>
              <w:rPr/>
              <w:t> </w:t>
            </w:r>
          </w:p>
        </w:tc>
        <w:tc>
          <w:tcPr>
            <w:tcW w:w="577" w:type="dxa"/>
            <w:tcBorders/>
            <w:tcMar>
              <w:top w:w="0" w:type="dxa"/>
              <w:left w:w="0" w:type="dxa"/>
              <w:bottom w:w="0" w:type="dxa"/>
              <w:right w:w="0" w:type="dxa"/>
            </w:tcMar>
            <w:vAlign w:val="center"/>
          </w:tcPr>
          <w:p>
            <w:pPr>
              <w:pStyle w:val="TableContents"/>
              <w:bidi w:val="0"/>
              <w:spacing w:before="0" w:after="0"/>
              <w:ind w:left="446" w:right="0" w:hanging="0"/>
              <w:jc w:val="right"/>
              <w:rPr/>
            </w:pPr>
            <w:r>
              <w:rPr/>
              <w:t> </w:t>
            </w:r>
          </w:p>
        </w:tc>
      </w:tr>
    </w:tbl>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4" w:name="strc-ex10_4.htm"/>
      <w:bookmarkStart w:id="25" w:name="ksstrcex10_4"/>
      <w:bookmarkEnd w:id="24"/>
      <w:bookmarkEnd w:id="25"/>
      <w:r>
        <w:rPr>
          <w:rFonts w:ascii="Times New Roman;serif" w:hAnsi="Times New Roman;serif"/>
          <w:b/>
          <w:sz w:val="20"/>
        </w:rPr>
        <w:t>Exhibit 31.1</w:t>
      </w:r>
      <w:r>
        <w:br w:type="page"/>
      </w:r>
    </w:p>
    <w:p>
      <w:pPr>
        <w:pStyle w:val="TextBody"/>
        <w:bidi w:val="0"/>
        <w:spacing w:before="0" w:after="0"/>
        <w:jc w:val="right"/>
        <w:rPr/>
      </w:pPr>
      <w:r>
        <w:rPr/>
        <w:t> </w:t>
      </w:r>
    </w:p>
    <w:p>
      <w:pPr>
        <w:pStyle w:val="TextBody"/>
        <w:bidi w:val="0"/>
        <w:spacing w:before="0" w:after="0"/>
        <w:jc w:val="center"/>
        <w:rPr>
          <w:rFonts w:ascii="Calibri;sans-serif" w:hAnsi="Calibri;sans-serif"/>
          <w:b/>
          <w:sz w:val="24"/>
        </w:rPr>
      </w:pPr>
      <w:r>
        <w:rPr>
          <w:rFonts w:ascii="Calibri;sans-serif" w:hAnsi="Calibri;sans-serif"/>
          <w:b/>
          <w:sz w:val="24"/>
        </w:rPr>
        <w:t>SARCOS TECHNOLOGIES AND ROBOTICS CORPORATION</w:t>
      </w:r>
    </w:p>
    <w:p>
      <w:pPr>
        <w:pStyle w:val="TextBody"/>
        <w:bidi w:val="0"/>
        <w:spacing w:before="240" w:after="0"/>
        <w:jc w:val="center"/>
        <w:rPr>
          <w:rFonts w:ascii="Calibri;sans-serif" w:hAnsi="Calibri;sans-serif"/>
          <w:b/>
          <w:sz w:val="24"/>
        </w:rPr>
      </w:pPr>
      <w:r>
        <w:rPr>
          <w:rFonts w:ascii="Calibri;sans-serif" w:hAnsi="Calibri;sans-serif"/>
          <w:b/>
          <w:sz w:val="24"/>
        </w:rPr>
        <w:t>AMENDED AND RESTATED OUTSIDE DIRECTOR COMPENSATION POLICY</w:t>
      </w:r>
    </w:p>
    <w:p>
      <w:pPr>
        <w:pStyle w:val="TextBody"/>
        <w:bidi w:val="0"/>
        <w:spacing w:before="240" w:after="0"/>
        <w:jc w:val="center"/>
        <w:rPr>
          <w:rFonts w:ascii="Times New Roman" w:hAnsi="Times New Roman"/>
          <w:sz w:val="20"/>
        </w:rPr>
      </w:pPr>
      <w:r>
        <w:rPr>
          <w:rFonts w:ascii="Calibri;sans-serif" w:hAnsi="Calibri;sans-serif"/>
          <w:b w:val="false"/>
          <w:sz w:val="24"/>
        </w:rPr>
        <w:t>Adopted and approved by the Compensation Committee of the Company’s Board of Directors on April 13, 2023 (the “</w:t>
      </w:r>
      <w:r>
        <w:rPr>
          <w:rFonts w:ascii="Calibri;sans-serif" w:hAnsi="Calibri;sans-serif"/>
          <w:b w:val="false"/>
          <w:sz w:val="24"/>
          <w:u w:val="single"/>
        </w:rPr>
        <w:t>Effective Date</w:t>
      </w:r>
      <w:r>
        <w:rPr>
          <w:rFonts w:ascii="Times New Roman" w:hAnsi="Times New Roman"/>
          <w:sz w:val="20"/>
        </w:rPr>
        <w:t>”</w:t>
      </w:r>
      <w:r>
        <w:rPr>
          <w:rFonts w:ascii="Calibri;sans-serif" w:hAnsi="Calibri;sans-serif"/>
          <w:b w:val="false"/>
          <w:sz w:val="24"/>
        </w:rPr>
        <w:t>)</w:t>
      </w:r>
    </w:p>
    <w:p>
      <w:pPr>
        <w:pStyle w:val="TextBody"/>
        <w:bidi w:val="0"/>
        <w:spacing w:before="240" w:after="0"/>
        <w:jc w:val="both"/>
        <w:rPr>
          <w:rFonts w:ascii="Times New Roman" w:hAnsi="Times New Roman"/>
          <w:sz w:val="20"/>
        </w:rPr>
      </w:pPr>
      <w:r>
        <w:rPr>
          <w:rFonts w:ascii="Calibri;sans-serif" w:hAnsi="Calibri;sans-serif"/>
          <w:b w:val="false"/>
          <w:sz w:val="24"/>
        </w:rPr>
        <w:t>Sarcos Technologies and Robotics Corporation (the “</w:t>
      </w:r>
      <w:r>
        <w:rPr>
          <w:rFonts w:ascii="Calibri;sans-serif" w:hAnsi="Calibri;sans-serif"/>
          <w:b w:val="false"/>
          <w:sz w:val="24"/>
          <w:u w:val="single"/>
        </w:rPr>
        <w:t>Company</w:t>
      </w:r>
      <w:r>
        <w:rPr>
          <w:rFonts w:ascii="Times New Roman" w:hAnsi="Times New Roman"/>
          <w:sz w:val="20"/>
        </w:rPr>
        <w:t>”</w:t>
      </w:r>
      <w:r>
        <w:rPr>
          <w:rFonts w:ascii="Calibri;sans-serif" w:hAnsi="Calibri;sans-serif"/>
          <w:b w:val="false"/>
          <w:sz w:val="24"/>
        </w:rPr>
        <w:t>) believes that providing cash and equity compensation to members of its Board of Directors (the “</w:t>
      </w:r>
      <w:r>
        <w:rPr>
          <w:rFonts w:ascii="Calibri;sans-serif" w:hAnsi="Calibri;sans-serif"/>
          <w:b w:val="false"/>
          <w:sz w:val="24"/>
          <w:u w:val="single"/>
        </w:rPr>
        <w:t>Board</w:t>
      </w:r>
      <w:r>
        <w:rPr>
          <w:rFonts w:ascii="Calibri;sans-serif" w:hAnsi="Calibri;sans-serif"/>
          <w:b w:val="false"/>
          <w:sz w:val="24"/>
        </w:rPr>
        <w:t>,” and members of the Board, the “</w:t>
      </w:r>
      <w:r>
        <w:rPr>
          <w:rFonts w:ascii="Calibri;sans-serif" w:hAnsi="Calibri;sans-serif"/>
          <w:b w:val="false"/>
          <w:sz w:val="24"/>
          <w:u w:val="single"/>
        </w:rPr>
        <w:t>Directors</w:t>
      </w:r>
      <w:r>
        <w:rPr>
          <w:rFonts w:ascii="Times New Roman" w:hAnsi="Times New Roman"/>
          <w:sz w:val="20"/>
        </w:rPr>
        <w:t>”</w:t>
      </w:r>
      <w:r>
        <w:rPr>
          <w:rFonts w:ascii="Calibri;sans-serif" w:hAnsi="Calibri;sans-serif"/>
          <w:b w:val="false"/>
          <w:sz w:val="24"/>
        </w:rPr>
        <w:t>) represents an effective tool to attract, retain and reward Directors who are not employees of the Company (the “</w:t>
      </w:r>
      <w:r>
        <w:rPr>
          <w:rFonts w:ascii="Calibri;sans-serif" w:hAnsi="Calibri;sans-serif"/>
          <w:b w:val="false"/>
          <w:sz w:val="24"/>
          <w:u w:val="single"/>
        </w:rPr>
        <w:t>Outside Directors</w:t>
      </w:r>
      <w:r>
        <w:rPr>
          <w:rFonts w:ascii="Times New Roman" w:hAnsi="Times New Roman"/>
          <w:sz w:val="20"/>
        </w:rPr>
        <w:t>”</w:t>
      </w:r>
      <w:r>
        <w:rPr>
          <w:rFonts w:ascii="Calibri;sans-serif" w:hAnsi="Calibri;sans-serif"/>
          <w:b w:val="false"/>
          <w:sz w:val="24"/>
        </w:rPr>
        <w:t>). This Outside Director Compensation Policy (the “</w:t>
      </w:r>
      <w:r>
        <w:rPr>
          <w:rFonts w:ascii="Calibri;sans-serif" w:hAnsi="Calibri;sans-serif"/>
          <w:b w:val="false"/>
          <w:sz w:val="24"/>
          <w:u w:val="single"/>
        </w:rPr>
        <w:t>Policy</w:t>
      </w:r>
      <w:r>
        <w:rPr>
          <w:rFonts w:ascii="Times New Roman" w:hAnsi="Times New Roman"/>
          <w:sz w:val="20"/>
        </w:rPr>
        <w:t>”</w:t>
      </w:r>
      <w:r>
        <w:rPr>
          <w:rFonts w:ascii="Calibri;sans-serif" w:hAnsi="Calibri;sans-serif"/>
          <w:b w:val="false"/>
          <w:sz w:val="24"/>
        </w:rPr>
        <w:t>) is intended to formalize the Company’s policy regarding the compensation to its Outside Directors. Unless defined in this Policy, capitalized terms used in this Policy will have the meaning given to such terms in the Company’s 2021 Equity Incentive Plan (the “</w:t>
      </w:r>
      <w:r>
        <w:rPr>
          <w:rFonts w:ascii="Calibri;sans-serif" w:hAnsi="Calibri;sans-serif"/>
          <w:b w:val="false"/>
          <w:sz w:val="24"/>
          <w:u w:val="single"/>
        </w:rPr>
        <w:t>Plan</w:t>
      </w:r>
      <w:r>
        <w:rPr>
          <w:rFonts w:ascii="Times New Roman" w:hAnsi="Times New Roman"/>
          <w:sz w:val="20"/>
        </w:rPr>
        <w:t>”</w:t>
      </w:r>
      <w:r>
        <w:rPr>
          <w:rFonts w:ascii="Calibri;sans-serif" w:hAnsi="Calibri;sans-serif"/>
          <w:b w:val="false"/>
          <w:sz w:val="24"/>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 No compensation will be paid under this Policy if it exceeds any limits under the Plan.</w:t>
      </w:r>
    </w:p>
    <w:p>
      <w:pPr>
        <w:pStyle w:val="TextBody"/>
        <w:bidi w:val="0"/>
        <w:spacing w:before="240" w:after="0"/>
        <w:jc w:val="both"/>
        <w:rPr>
          <w:rFonts w:ascii="Calibri" w:hAnsi="Calibri"/>
          <w:b w:val="false"/>
          <w:sz w:val="24"/>
        </w:rPr>
      </w:pPr>
      <w:r>
        <w:rPr>
          <w:rFonts w:ascii="Calibri" w:hAnsi="Calibri"/>
          <w:b w:val="false"/>
          <w:sz w:val="24"/>
        </w:rPr>
        <w:t>1.</w:t>
      </w:r>
    </w:p>
    <w:p>
      <w:pPr>
        <w:pStyle w:val="TextBody"/>
        <w:bidi w:val="0"/>
        <w:spacing w:before="240" w:after="283"/>
        <w:jc w:val="both"/>
        <w:rPr/>
      </w:pPr>
      <w:r>
        <w:rPr>
          <w:rFonts w:ascii="Calibri;sans-serif" w:hAnsi="Calibri;sans-serif"/>
          <w:b w:val="false"/>
          <w:sz w:val="24"/>
          <w:u w:val="single"/>
        </w:rPr>
        <w:t>Cash Compensation</w:t>
      </w:r>
      <w:r>
        <w:rPr>
          <w:rFonts w:ascii="Calibri;sans-serif" w:hAnsi="Calibri;sans-serif"/>
          <w:b w:val="false"/>
          <w:sz w:val="24"/>
        </w:rPr>
        <w:t>.</w:t>
      </w:r>
    </w:p>
    <w:p>
      <w:pPr>
        <w:pStyle w:val="TextBody"/>
        <w:bidi w:val="0"/>
        <w:spacing w:before="240" w:after="0"/>
        <w:jc w:val="both"/>
        <w:rPr>
          <w:rFonts w:ascii="Calibri;sans-serif" w:hAnsi="Calibri;sans-serif"/>
          <w:b w:val="false"/>
          <w:i/>
          <w:sz w:val="24"/>
        </w:rPr>
      </w:pPr>
      <w:r>
        <w:rPr>
          <w:rFonts w:ascii="Calibri;sans-serif" w:hAnsi="Calibri;sans-serif"/>
          <w:b w:val="false"/>
          <w:i/>
          <w:sz w:val="24"/>
        </w:rPr>
        <w:t>Annual Cash Retainer</w:t>
      </w:r>
    </w:p>
    <w:p>
      <w:pPr>
        <w:pStyle w:val="TextBody"/>
        <w:bidi w:val="0"/>
        <w:spacing w:before="240" w:after="0"/>
        <w:jc w:val="both"/>
        <w:rPr>
          <w:rFonts w:ascii="Times New Roman" w:hAnsi="Times New Roman"/>
          <w:sz w:val="20"/>
        </w:rPr>
      </w:pPr>
      <w:r>
        <w:rPr>
          <w:rFonts w:ascii="Calibri;sans-serif" w:hAnsi="Calibri;sans-serif"/>
          <w:b w:val="false"/>
          <w:sz w:val="24"/>
        </w:rPr>
        <w:t>Each Outside Director will be paid an annual cash retainer of $50,000. There are no per</w:t>
        <w:noBreakHyphen/>
        <w:t>meeting attendance fees for attending Board meetings.</w:t>
      </w:r>
      <w:r>
        <w:rPr>
          <w:rFonts w:ascii="Times New Roman" w:hAnsi="Times New Roman"/>
          <w:sz w:val="20"/>
        </w:rPr>
        <w:t xml:space="preserve"> </w:t>
      </w:r>
    </w:p>
    <w:p>
      <w:pPr>
        <w:pStyle w:val="TextBody"/>
        <w:bidi w:val="0"/>
        <w:spacing w:before="240" w:after="0"/>
        <w:jc w:val="both"/>
        <w:rPr>
          <w:rFonts w:ascii="Calibri;sans-serif" w:hAnsi="Calibri;sans-serif"/>
          <w:b w:val="false"/>
          <w:i/>
          <w:sz w:val="24"/>
        </w:rPr>
      </w:pPr>
      <w:r>
        <w:rPr>
          <w:rFonts w:ascii="Calibri;sans-serif" w:hAnsi="Calibri;sans-serif"/>
          <w:b w:val="false"/>
          <w:i/>
          <w:sz w:val="24"/>
        </w:rPr>
        <w:t>Chair and Committee Annual Cash Retainer</w:t>
      </w:r>
    </w:p>
    <w:p>
      <w:pPr>
        <w:pStyle w:val="TextBody"/>
        <w:bidi w:val="0"/>
        <w:spacing w:before="240" w:after="0"/>
        <w:jc w:val="both"/>
        <w:rPr>
          <w:rFonts w:ascii="Times New Roman" w:hAnsi="Times New Roman"/>
          <w:sz w:val="20"/>
        </w:rPr>
      </w:pPr>
      <w:r>
        <w:rPr>
          <w:rFonts w:ascii="Calibri;sans-serif" w:hAnsi="Calibri;sans-serif"/>
          <w:b w:val="false"/>
          <w:sz w:val="24"/>
        </w:rPr>
        <w:t>Effective as of the Effective Date, each Outside Director who serves as the chair of the Board, or the chair or a member of a committee of the Board listed below will be eligible to earn additional annual cash retainers as follows:</w:t>
      </w:r>
      <w:r>
        <w:rPr>
          <w:rFonts w:ascii="Times New Roman" w:hAnsi="Times New Roman"/>
          <w:sz w:val="20"/>
        </w:rPr>
        <w:t xml:space="preserve"> </w:t>
      </w:r>
    </w:p>
    <w:p>
      <w:pPr>
        <w:pStyle w:val="TextBody"/>
        <w:bidi w:val="0"/>
        <w:spacing w:before="240" w:after="0"/>
        <w:jc w:val="both"/>
        <w:rPr>
          <w:rFonts w:ascii="Calibri;sans-serif" w:hAnsi="Calibri;sans-serif"/>
          <w:b w:val="false"/>
          <w:sz w:val="24"/>
        </w:rPr>
      </w:pPr>
      <w:r>
        <w:rPr>
          <w:rFonts w:ascii="Calibri;sans-serif" w:hAnsi="Calibri;sans-serif"/>
          <w:b w:val="false"/>
          <w:sz w:val="24"/>
        </w:rPr>
        <w:t>Chair of the Board $50,000</w:t>
      </w:r>
    </w:p>
    <w:p>
      <w:pPr>
        <w:pStyle w:val="TextBody"/>
        <w:bidi w:val="0"/>
        <w:spacing w:before="240" w:after="0"/>
        <w:jc w:val="both"/>
        <w:rPr>
          <w:rFonts w:ascii="Calibri;sans-serif" w:hAnsi="Calibri;sans-serif"/>
          <w:b w:val="false"/>
          <w:sz w:val="24"/>
        </w:rPr>
      </w:pPr>
      <w:r>
        <w:rPr>
          <w:rFonts w:ascii="Calibri;sans-serif" w:hAnsi="Calibri;sans-serif"/>
          <w:b w:val="false"/>
          <w:sz w:val="24"/>
        </w:rPr>
        <w:t>Chair of Audit Committee: $15,000</w:t>
      </w:r>
    </w:p>
    <w:p>
      <w:pPr>
        <w:pStyle w:val="TextBody"/>
        <w:bidi w:val="0"/>
        <w:spacing w:before="240" w:after="0"/>
        <w:jc w:val="both"/>
        <w:rPr>
          <w:rFonts w:ascii="Calibri;sans-serif" w:hAnsi="Calibri;sans-serif"/>
          <w:b w:val="false"/>
          <w:sz w:val="24"/>
        </w:rPr>
      </w:pPr>
      <w:r>
        <w:rPr>
          <w:rFonts w:ascii="Calibri;sans-serif" w:hAnsi="Calibri;sans-serif"/>
          <w:b w:val="false"/>
          <w:sz w:val="24"/>
        </w:rPr>
        <w:t>Member of Audit Committee: $7,500</w:t>
      </w:r>
    </w:p>
    <w:p>
      <w:pPr>
        <w:pStyle w:val="TextBody"/>
        <w:bidi w:val="0"/>
        <w:spacing w:before="240" w:after="0"/>
        <w:jc w:val="both"/>
        <w:rPr>
          <w:rFonts w:ascii="Calibri;sans-serif" w:hAnsi="Calibri;sans-serif"/>
          <w:b w:val="false"/>
          <w:sz w:val="24"/>
        </w:rPr>
      </w:pPr>
      <w:r>
        <w:rPr>
          <w:rFonts w:ascii="Calibri;sans-serif" w:hAnsi="Calibri;sans-serif"/>
          <w:b w:val="false"/>
          <w:sz w:val="24"/>
        </w:rPr>
        <w:t>Chair of Compensation Committee: $7,500</w:t>
      </w:r>
    </w:p>
    <w:p>
      <w:pPr>
        <w:pStyle w:val="TextBody"/>
        <w:bidi w:val="0"/>
        <w:spacing w:before="240" w:after="0"/>
        <w:jc w:val="both"/>
        <w:rPr>
          <w:rFonts w:ascii="Calibri;sans-serif" w:hAnsi="Calibri;sans-serif"/>
          <w:b w:val="false"/>
          <w:sz w:val="24"/>
        </w:rPr>
      </w:pPr>
      <w:r>
        <w:rPr>
          <w:rFonts w:ascii="Calibri;sans-serif" w:hAnsi="Calibri;sans-serif"/>
          <w:b w:val="false"/>
          <w:sz w:val="24"/>
        </w:rPr>
        <w:t>Member of Compensation Committee: $3,750</w:t>
      </w:r>
    </w:p>
    <w:p>
      <w:pPr>
        <w:pStyle w:val="TextBody"/>
        <w:bidi w:val="0"/>
        <w:spacing w:before="240" w:after="0"/>
        <w:jc w:val="both"/>
        <w:rPr>
          <w:rFonts w:ascii="Calibri;sans-serif" w:hAnsi="Calibri;sans-serif"/>
          <w:b w:val="false"/>
          <w:sz w:val="24"/>
        </w:rPr>
      </w:pPr>
      <w:r>
        <w:rPr>
          <w:rFonts w:ascii="Calibri;sans-serif" w:hAnsi="Calibri;sans-serif"/>
          <w:b w:val="false"/>
          <w:sz w:val="24"/>
        </w:rPr>
        <w:t>Chair of Nominating and Corporate Governance Committee: $3,000</w:t>
      </w:r>
    </w:p>
    <w:p>
      <w:pPr>
        <w:pStyle w:val="TextBody"/>
        <w:bidi w:val="0"/>
        <w:spacing w:before="240" w:after="0"/>
        <w:jc w:val="both"/>
        <w:rPr>
          <w:rFonts w:ascii="Calibri;sans-serif" w:hAnsi="Calibri;sans-serif"/>
          <w:b w:val="false"/>
          <w:sz w:val="24"/>
        </w:rPr>
      </w:pPr>
      <w:r>
        <w:rPr>
          <w:rFonts w:ascii="Calibri;sans-serif" w:hAnsi="Calibri;sans-serif"/>
          <w:b w:val="false"/>
          <w:sz w:val="24"/>
        </w:rPr>
        <w:t>Member of Nominating and Corporate Governance Committee: $1,500</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0"/>
        <w:jc w:val="both"/>
        <w:rPr>
          <w:rFonts w:ascii="Calibri;sans-serif" w:hAnsi="Calibri;sans-serif"/>
          <w:b w:val="false"/>
          <w:sz w:val="24"/>
        </w:rPr>
      </w:pPr>
      <w:r>
        <w:rPr>
          <w:rFonts w:ascii="Calibri;sans-serif" w:hAnsi="Calibri;sans-serif"/>
          <w:b w:val="false"/>
          <w:sz w:val="24"/>
        </w:rPr>
        <w:t>For clarity, each Outside Director who serves as the chair of a committee will receive only the annual cash retainer as the chair of the committee, and not the additional annual cash retainer as a member of the committee.</w:t>
      </w:r>
    </w:p>
    <w:p>
      <w:pPr>
        <w:pStyle w:val="TextBody"/>
        <w:bidi w:val="0"/>
        <w:spacing w:before="240" w:after="0"/>
        <w:jc w:val="both"/>
        <w:rPr>
          <w:rFonts w:ascii="Calibri;sans-serif" w:hAnsi="Calibri;sans-serif"/>
          <w:b w:val="false"/>
          <w:i/>
          <w:sz w:val="24"/>
        </w:rPr>
      </w:pPr>
      <w:r>
        <w:rPr>
          <w:rFonts w:ascii="Calibri;sans-serif" w:hAnsi="Calibri;sans-serif"/>
          <w:b w:val="false"/>
          <w:i/>
          <w:sz w:val="24"/>
        </w:rPr>
        <w:t>Payment</w:t>
      </w:r>
    </w:p>
    <w:p>
      <w:pPr>
        <w:pStyle w:val="TextBody"/>
        <w:bidi w:val="0"/>
        <w:spacing w:before="240" w:after="0"/>
        <w:jc w:val="both"/>
        <w:rPr>
          <w:rFonts w:ascii="Times New Roman" w:hAnsi="Times New Roman"/>
          <w:sz w:val="20"/>
        </w:rPr>
      </w:pPr>
      <w:r>
        <w:rPr>
          <w:rFonts w:ascii="Calibri;sans-serif" w:hAnsi="Calibri;sans-serif"/>
          <w:b w:val="false"/>
          <w:sz w:val="24"/>
        </w:rPr>
        <w:t>Each annual cash retainer payable under this Policy for service on the Board, chair of the Board, or the chair or a member of a committee of the Board (an “</w:t>
      </w:r>
      <w:r>
        <w:rPr>
          <w:rFonts w:ascii="Calibri;sans-serif" w:hAnsi="Calibri;sans-serif"/>
          <w:b w:val="false"/>
          <w:sz w:val="24"/>
          <w:u w:val="single"/>
        </w:rPr>
        <w:t>Annual Cash Retainer</w:t>
      </w:r>
      <w:r>
        <w:rPr>
          <w:rFonts w:ascii="Times New Roman" w:hAnsi="Times New Roman"/>
          <w:sz w:val="20"/>
        </w:rPr>
        <w:t>”</w:t>
      </w:r>
      <w:r>
        <w:rPr>
          <w:rFonts w:ascii="Calibri;sans-serif" w:hAnsi="Calibri;sans-serif"/>
          <w:b w:val="false"/>
          <w:sz w:val="24"/>
        </w:rPr>
        <w:t>) will be paid quarterly in arrears on a prorated basis to each Outside Director who has served in the relevant capacity at any point during the fiscal quarter, and such payment will be made on the last business day of such fiscal quarter (or as soon thereafter as practical, but in no event later than 30 days following the end of such fiscal quarter). For purposes of clarification, an Outside Director who has served as an Outside Director and/or as a member of an applicable committee (or chair thereof) during only a portion of the relevant Company fiscal quarter will receive a pro-rated payment of the quarterly payment of the applicable annual cash retainer(s), calculated based on the number of days during such fiscal quarter such Outside Director has served in the relevant capacities.</w:t>
      </w:r>
      <w:r>
        <w:rPr>
          <w:rFonts w:ascii="Times New Roman" w:hAnsi="Times New Roman"/>
          <w:sz w:val="20"/>
        </w:rPr>
        <w:t xml:space="preserve"> </w:t>
      </w:r>
    </w:p>
    <w:p>
      <w:pPr>
        <w:pStyle w:val="TextBody"/>
        <w:bidi w:val="0"/>
        <w:spacing w:before="240" w:after="0"/>
        <w:jc w:val="both"/>
        <w:rPr>
          <w:rFonts w:ascii="Calibri" w:hAnsi="Calibri"/>
          <w:b w:val="false"/>
          <w:sz w:val="24"/>
        </w:rPr>
      </w:pPr>
      <w:r>
        <w:rPr>
          <w:rFonts w:ascii="Calibri" w:hAnsi="Calibri"/>
          <w:b w:val="false"/>
          <w:sz w:val="24"/>
        </w:rPr>
        <w:t>2.</w:t>
      </w:r>
    </w:p>
    <w:p>
      <w:pPr>
        <w:pStyle w:val="TextBody"/>
        <w:bidi w:val="0"/>
        <w:spacing w:before="240" w:after="283"/>
        <w:jc w:val="both"/>
        <w:rPr/>
      </w:pPr>
      <w:r>
        <w:rPr>
          <w:rFonts w:ascii="Calibri;sans-serif" w:hAnsi="Calibri;sans-serif"/>
          <w:b w:val="false"/>
          <w:sz w:val="24"/>
          <w:u w:val="single"/>
        </w:rPr>
        <w:t>Equity Compensation</w:t>
      </w:r>
      <w:r>
        <w:rPr>
          <w:rFonts w:ascii="Calibri;sans-serif" w:hAnsi="Calibri;sans-serif"/>
          <w:b w:val="false"/>
          <w:sz w:val="24"/>
        </w:rPr>
        <w:t>.</w:t>
      </w:r>
    </w:p>
    <w:p>
      <w:pPr>
        <w:pStyle w:val="TextBody"/>
        <w:bidi w:val="0"/>
        <w:spacing w:before="240" w:after="0"/>
        <w:jc w:val="both"/>
        <w:rPr>
          <w:rFonts w:ascii="Calibri;sans-serif" w:hAnsi="Calibri;sans-serif"/>
          <w:b w:val="false"/>
          <w:sz w:val="24"/>
        </w:rPr>
      </w:pPr>
      <w:r>
        <w:rPr>
          <w:rFonts w:ascii="Calibri;sans-serif" w:hAnsi="Calibri;sans-serif"/>
          <w:b w:val="false"/>
          <w:sz w:val="24"/>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 No Awards will be made if they would exceed any limitations in the Plan.</w:t>
      </w:r>
    </w:p>
    <w:p>
      <w:pPr>
        <w:pStyle w:val="TextBody"/>
        <w:bidi w:val="0"/>
        <w:spacing w:before="240" w:after="0"/>
        <w:jc w:val="both"/>
        <w:rPr>
          <w:rFonts w:ascii="Times New Roman" w:hAnsi="Times New Roman"/>
          <w:sz w:val="20"/>
        </w:rPr>
      </w:pPr>
      <w:r>
        <w:rPr>
          <w:rFonts w:ascii="Calibri;sans-serif" w:hAnsi="Calibri;sans-serif"/>
          <w:b w:val="false"/>
          <w:sz w:val="24"/>
        </w:rPr>
        <w:t xml:space="preserve">(a) </w:t>
      </w:r>
      <w:r>
        <w:rPr>
          <w:rFonts w:ascii="Calibri;sans-serif" w:hAnsi="Calibri;sans-serif"/>
          <w:b w:val="false"/>
          <w:sz w:val="24"/>
          <w:u w:val="single"/>
        </w:rPr>
        <w:t>No Discretion</w:t>
      </w:r>
      <w:r>
        <w:rPr>
          <w:rFonts w:ascii="Calibri;sans-serif" w:hAnsi="Calibri;sans-serif"/>
          <w:b w:val="false"/>
          <w:sz w:val="24"/>
        </w:rPr>
        <w:t>. No person will have any discretion to select which Outside Directors will be granted any Awards under this Policy or to determine the number of Shares to be covered by such Awards. Notwithstanding the foregoing, any individual Outside Director may refuse to receive all or any part of an Award otherwise due to such Outside Director pursuant to this policy, and a majority of all Outside Directors may determine to reduce the amount (including in full) of any Annual Awards otherwise due to all Outside Directors on behalf of all Outside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4"/>
        </w:rPr>
        <w:t xml:space="preserve">(b) </w:t>
      </w:r>
      <w:r>
        <w:rPr>
          <w:rFonts w:ascii="Calibri;sans-serif" w:hAnsi="Calibri;sans-serif"/>
          <w:b w:val="false"/>
          <w:sz w:val="24"/>
          <w:u w:val="single"/>
        </w:rPr>
        <w:t>New Director Award</w:t>
      </w:r>
      <w:r>
        <w:rPr>
          <w:rFonts w:ascii="Calibri;sans-serif" w:hAnsi="Calibri;sans-serif"/>
          <w:b w:val="false"/>
          <w:sz w:val="24"/>
        </w:rPr>
        <w:t>. Subject to the following paragraph, upon an Outside Director’s initial appointment to the Board (other than by appointment on an Annual Meeting), such Outside Director automatically will be granted an Award of Restricted Stock Units with a grant date fair value (determined in accordance with U.S. generally accepted accounting principles) of $150,000 multiplied by a fraction (A) the numerator of which is (x) 12 minus (y) the number of months between the date of the last Annual Meeting and the date the Outside Director becomes a member of the Board and (B) the denominator of which is 12 (a “</w:t>
      </w:r>
      <w:r>
        <w:rPr>
          <w:rFonts w:ascii="Calibri;sans-serif" w:hAnsi="Calibri;sans-serif"/>
          <w:b w:val="false"/>
          <w:sz w:val="24"/>
          <w:u w:val="single"/>
        </w:rPr>
        <w:t>New Director Award</w:t>
      </w:r>
      <w:r>
        <w:rPr>
          <w:rFonts w:ascii="Times New Roman" w:hAnsi="Times New Roman"/>
          <w:sz w:val="20"/>
        </w:rPr>
        <w:t>”</w:t>
      </w:r>
      <w:r>
        <w:rPr>
          <w:rFonts w:ascii="Calibri;sans-serif" w:hAnsi="Calibri;sans-serif"/>
          <w:b w:val="false"/>
          <w:sz w:val="24"/>
        </w:rPr>
        <w: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4"/>
        </w:rPr>
        <w:t>Subject to Section 3, each New Director Award will fully vest upon the earlier of: (i) the first anniversary of the grant date and (ii) the day prior to date of the next Annual Meeting, in each case subject to the Outside Director continuing to be a Service Provider through the vesting date. For the</w:t>
      </w:r>
      <w:r>
        <w:rPr>
          <w:rFonts w:ascii="Times New Roman" w:hAnsi="Times New Roman"/>
          <w:sz w:val="20"/>
        </w:rPr>
        <w:t xml:space="preserve"> </w:t>
      </w:r>
    </w:p>
    <w:p>
      <w:pPr>
        <w:pStyle w:val="TextBody"/>
        <w:bidi w:val="0"/>
        <w:spacing w:before="0" w:after="0"/>
        <w:jc w:val="center"/>
        <w:rPr>
          <w:rFonts w:ascii="Calibri;sans-serif" w:hAnsi="Calibri;sans-serif"/>
          <w:b w:val="false"/>
          <w:sz w:val="24"/>
        </w:rPr>
      </w:pPr>
      <w:r>
        <w:rPr>
          <w:rFonts w:ascii="Calibri;sans-serif" w:hAnsi="Calibri;sans-serif"/>
          <w:b w:val="false"/>
          <w:sz w:val="24"/>
        </w:rPr>
        <w:t>-2-</w:t>
      </w:r>
    </w:p>
    <w:p>
      <w:pPr>
        <w:pStyle w:val="HorizontalLine"/>
        <w:pBdr>
          <w:bottom w:val="double" w:sz="2" w:space="0" w:color="808080"/>
        </w:pBdr>
        <w:bidi w:val="0"/>
        <w:spacing w:before="0" w:after="283"/>
        <w:jc w:val="left"/>
        <w:rPr/>
      </w:pPr>
      <w:r>
        <w:rPr/>
      </w:r>
    </w:p>
    <w:p>
      <w:pPr>
        <w:pStyle w:val="TextBody"/>
        <w:bidi w:val="0"/>
        <w:spacing w:before="240" w:after="0"/>
        <w:jc w:val="both"/>
        <w:rPr>
          <w:rFonts w:ascii="Calibri;sans-serif" w:hAnsi="Calibri;sans-serif"/>
          <w:b w:val="false"/>
          <w:sz w:val="24"/>
        </w:rPr>
      </w:pPr>
      <w:r>
        <w:rPr>
          <w:rFonts w:ascii="Calibri;sans-serif" w:hAnsi="Calibri;sans-serif"/>
          <w:b w:val="false"/>
          <w:sz w:val="24"/>
        </w:rPr>
        <w:t>avoidance of doubt, should the appointment date be the same as the date of an Annual Meeting, then such Outside Director will only be granted an Annual Award.</w:t>
      </w:r>
    </w:p>
    <w:p>
      <w:pPr>
        <w:pStyle w:val="TextBody"/>
        <w:bidi w:val="0"/>
        <w:spacing w:before="240" w:after="0"/>
        <w:jc w:val="both"/>
        <w:rPr>
          <w:rFonts w:ascii="Times New Roman" w:hAnsi="Times New Roman"/>
          <w:sz w:val="20"/>
        </w:rPr>
      </w:pPr>
      <w:r>
        <w:rPr>
          <w:rFonts w:ascii="Calibri;sans-serif" w:hAnsi="Calibri;sans-serif"/>
          <w:b w:val="false"/>
          <w:sz w:val="24"/>
        </w:rPr>
        <w:t xml:space="preserve">(c) </w:t>
      </w:r>
      <w:r>
        <w:rPr>
          <w:rFonts w:ascii="Calibri;sans-serif" w:hAnsi="Calibri;sans-serif"/>
          <w:b w:val="false"/>
          <w:sz w:val="24"/>
          <w:u w:val="single"/>
        </w:rPr>
        <w:t>Annual Award</w:t>
      </w:r>
      <w:r>
        <w:rPr>
          <w:rFonts w:ascii="Calibri;sans-serif" w:hAnsi="Calibri;sans-serif"/>
          <w:b w:val="false"/>
          <w:sz w:val="24"/>
        </w:rPr>
        <w:t>. Subject to the following paragraph, on the date of each Annual Meeting, each Outside Director will be automatically granted an Award of Restricted Stock Units (an “</w:t>
      </w:r>
      <w:r>
        <w:rPr>
          <w:rFonts w:ascii="Calibri;sans-serif" w:hAnsi="Calibri;sans-serif"/>
          <w:b w:val="false"/>
          <w:sz w:val="24"/>
          <w:u w:val="single"/>
        </w:rPr>
        <w:t>Annual Award</w:t>
      </w:r>
      <w:r>
        <w:rPr>
          <w:rFonts w:ascii="Times New Roman" w:hAnsi="Times New Roman"/>
          <w:sz w:val="20"/>
        </w:rPr>
        <w:t>”</w:t>
      </w:r>
      <w:r>
        <w:rPr>
          <w:rFonts w:ascii="Calibri;sans-serif" w:hAnsi="Calibri;sans-serif"/>
          <w:b w:val="false"/>
          <w:sz w:val="24"/>
        </w:rPr>
        <w:t>) with a grant date fair value (determined in accordance with U.S. generally accepted accounting principles) of $150,000, rounded to the nearest whole Share.</w:t>
      </w:r>
    </w:p>
    <w:p>
      <w:pPr>
        <w:pStyle w:val="TextBody"/>
        <w:bidi w:val="0"/>
        <w:spacing w:before="240" w:after="0"/>
        <w:jc w:val="both"/>
        <w:rPr>
          <w:rFonts w:ascii="Times New Roman" w:hAnsi="Times New Roman"/>
          <w:sz w:val="20"/>
        </w:rPr>
      </w:pPr>
      <w:r>
        <w:rPr>
          <w:rFonts w:ascii="Calibri;sans-serif" w:hAnsi="Calibri;sans-serif"/>
          <w:b w:val="false"/>
          <w:sz w:val="24"/>
        </w:rPr>
        <w:t>Subject to Section 3 of this Policy, each Annual Award will vest on the earlier of (i) the first anniversary of the date the Annual Award is granted and (ii) the day prior to the date of the Annual Meeting next following the date the Annual Award was granted, in each case, subject to the Outside Director continuing to be a Service Provider through the applicable vesting 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Calibri;sans-serif" w:hAnsi="Calibri;sans-serif"/>
          <w:b w:val="false"/>
          <w:sz w:val="24"/>
        </w:rPr>
        <w:t xml:space="preserve">(d) </w:t>
      </w:r>
      <w:r>
        <w:rPr>
          <w:rFonts w:ascii="Calibri;sans-serif" w:hAnsi="Calibri;sans-serif"/>
          <w:b w:val="false"/>
          <w:sz w:val="24"/>
          <w:u w:val="single"/>
        </w:rPr>
        <w:t>Chair Award</w:t>
      </w:r>
      <w:r>
        <w:rPr>
          <w:rFonts w:ascii="Calibri;sans-serif" w:hAnsi="Calibri;sans-serif"/>
          <w:b w:val="false"/>
          <w:sz w:val="24"/>
        </w:rPr>
        <w:t>. Subject to the following paragraph, on the date of each Annual Meeting, if an Outside Director is serving as Chair of the Board immediately following the Annual Meeting, the grant date fair value of such Outside Director’s Annual Award shall be increased by $50,000. Subject to the following paragraph, if an Outside Director is elected or appointed to serve as the Chair of the Board not in connection with the Annual Meeting, then upon such initial election or appointment such Outside Director automatically will be granted an Award of Restricted Stock Units with a grant date fair value (determined in accordance with U.S. generally accepted accounting principles) of $25,000 multiplied by a fraction (A) the numerator of which is (x) 12 minus (y) the number of months between the date of the last Annual Meeting and the date the Outside Director is so elected or appointed and (B) the denominator of which is 12.</w:t>
      </w:r>
    </w:p>
    <w:p>
      <w:pPr>
        <w:pStyle w:val="TextBody"/>
        <w:bidi w:val="0"/>
        <w:spacing w:before="240" w:after="0"/>
        <w:jc w:val="both"/>
        <w:rPr>
          <w:rFonts w:ascii="Calibri;sans-serif" w:hAnsi="Calibri;sans-serif"/>
          <w:b w:val="false"/>
          <w:sz w:val="24"/>
        </w:rPr>
      </w:pPr>
      <w:r>
        <w:rPr>
          <w:rFonts w:ascii="Calibri;sans-serif" w:hAnsi="Calibri;sans-serif"/>
          <w:b w:val="false"/>
          <w:sz w:val="24"/>
        </w:rPr>
        <w:t>Subject to Section 3, each Chair Award will fully vest upon the earlier of: (i) the first anniversary of the grant date and (ii) the day prior to the date of the next Annual Meeting, in each case subject to the Outside Director continuing to be a Service Provider through the vesting date.</w:t>
      </w:r>
    </w:p>
    <w:p>
      <w:pPr>
        <w:pStyle w:val="TextBody"/>
        <w:bidi w:val="0"/>
        <w:spacing w:before="240" w:after="0"/>
        <w:jc w:val="both"/>
        <w:rPr>
          <w:rFonts w:ascii="Times New Roman" w:hAnsi="Times New Roman"/>
          <w:sz w:val="20"/>
        </w:rPr>
      </w:pPr>
      <w:r>
        <w:rPr>
          <w:rFonts w:ascii="Calibri;sans-serif" w:hAnsi="Calibri;sans-serif"/>
          <w:b w:val="false"/>
          <w:sz w:val="24"/>
        </w:rPr>
        <w:t xml:space="preserve">(e) </w:t>
      </w:r>
      <w:r>
        <w:rPr>
          <w:rFonts w:ascii="Calibri;sans-serif" w:hAnsi="Calibri;sans-serif"/>
          <w:b w:val="false"/>
          <w:sz w:val="24"/>
          <w:u w:val="single"/>
        </w:rPr>
        <w:t>Additional Terms of New Director Awards, Annual Awards and Chair Awards</w:t>
      </w:r>
      <w:r>
        <w:rPr>
          <w:rFonts w:ascii="Calibri;sans-serif" w:hAnsi="Calibri;sans-serif"/>
          <w:b w:val="false"/>
          <w:sz w:val="24"/>
        </w:rPr>
        <w:t>. Each New Director Award, Annual Award and Chair Award will be granted under and subject to the terms and conditions of the Plan and the applicable form of Award Agreement previously approved by the Board or its Committee, as applicable, for use thereunder.</w:t>
      </w:r>
    </w:p>
    <w:p>
      <w:pPr>
        <w:pStyle w:val="TextBody"/>
        <w:bidi w:val="0"/>
        <w:spacing w:before="240" w:after="0"/>
        <w:jc w:val="both"/>
        <w:rPr>
          <w:rFonts w:ascii="Calibri" w:hAnsi="Calibri"/>
          <w:b w:val="false"/>
          <w:sz w:val="24"/>
        </w:rPr>
      </w:pPr>
      <w:r>
        <w:rPr>
          <w:rFonts w:ascii="Calibri" w:hAnsi="Calibri"/>
          <w:b w:val="false"/>
          <w:sz w:val="24"/>
        </w:rPr>
        <w:t>3.</w:t>
      </w:r>
    </w:p>
    <w:p>
      <w:pPr>
        <w:pStyle w:val="TextBody"/>
        <w:bidi w:val="0"/>
        <w:spacing w:before="240" w:after="283"/>
        <w:jc w:val="both"/>
        <w:rPr/>
      </w:pPr>
      <w:r>
        <w:rPr>
          <w:rFonts w:ascii="Calibri;sans-serif" w:hAnsi="Calibri;sans-serif"/>
          <w:b w:val="false"/>
          <w:sz w:val="24"/>
          <w:u w:val="single"/>
        </w:rPr>
        <w:t>Change in Control</w:t>
      </w:r>
      <w:r>
        <w:rPr>
          <w:rFonts w:ascii="Calibri;sans-serif" w:hAnsi="Calibri;sans-serif"/>
          <w:b w:val="false"/>
          <w:sz w:val="24"/>
        </w:rPr>
        <w:t>.</w:t>
      </w:r>
    </w:p>
    <w:p>
      <w:pPr>
        <w:pStyle w:val="TextBody"/>
        <w:bidi w:val="0"/>
        <w:spacing w:before="240" w:after="0"/>
        <w:jc w:val="both"/>
        <w:rPr>
          <w:rFonts w:ascii="Calibri;sans-serif" w:hAnsi="Calibri;sans-serif"/>
          <w:b w:val="false"/>
          <w:sz w:val="24"/>
        </w:rPr>
      </w:pPr>
      <w:r>
        <w:rPr>
          <w:rFonts w:ascii="Calibri;sans-serif" w:hAnsi="Calibri;sans-serif"/>
          <w:b w:val="false"/>
          <w:sz w:val="24"/>
        </w:rPr>
        <w:t>Immediately prior to a Change in Control, each Outside Director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the Outside Director and the Company or any of its Subsidiaries or Parents, as applicable.</w:t>
      </w:r>
    </w:p>
    <w:p>
      <w:pPr>
        <w:pStyle w:val="TextBody"/>
        <w:bidi w:val="0"/>
        <w:spacing w:before="240" w:after="0"/>
        <w:jc w:val="both"/>
        <w:rPr>
          <w:rFonts w:ascii="Calibri" w:hAnsi="Calibri"/>
          <w:b w:val="false"/>
          <w:sz w:val="24"/>
        </w:rPr>
      </w:pPr>
      <w:r>
        <w:rPr>
          <w:rFonts w:ascii="Calibri" w:hAnsi="Calibri"/>
          <w:b w:val="false"/>
          <w:sz w:val="24"/>
        </w:rPr>
        <w:t>4.</w:t>
      </w:r>
    </w:p>
    <w:p>
      <w:pPr>
        <w:pStyle w:val="TextBody"/>
        <w:bidi w:val="0"/>
        <w:spacing w:before="240" w:after="283"/>
        <w:jc w:val="both"/>
        <w:rPr/>
      </w:pPr>
      <w:r>
        <w:rPr>
          <w:rFonts w:ascii="Calibri;sans-serif" w:hAnsi="Calibri;sans-serif"/>
          <w:b w:val="false"/>
          <w:sz w:val="24"/>
          <w:u w:val="single"/>
        </w:rPr>
        <w:t>Travel Expenses</w:t>
      </w:r>
      <w:r>
        <w:rPr>
          <w:rFonts w:ascii="Calibri;sans-serif" w:hAnsi="Calibri;sans-serif"/>
          <w:b w:val="false"/>
          <w:sz w:val="24"/>
        </w:rPr>
        <w:t>.</w:t>
      </w:r>
    </w:p>
    <w:p>
      <w:pPr>
        <w:pStyle w:val="TextBody"/>
        <w:bidi w:val="0"/>
        <w:spacing w:before="0" w:after="0"/>
        <w:jc w:val="center"/>
        <w:rPr>
          <w:rFonts w:ascii="Calibri;sans-serif" w:hAnsi="Calibri;sans-serif"/>
          <w:b w:val="false"/>
          <w:sz w:val="24"/>
        </w:rPr>
      </w:pPr>
      <w:r>
        <w:rPr>
          <w:rFonts w:ascii="Calibri;sans-serif" w:hAnsi="Calibri;sans-serif"/>
          <w:b w:val="false"/>
          <w:sz w:val="24"/>
        </w:rPr>
        <w:t>-3-</w:t>
      </w:r>
    </w:p>
    <w:p>
      <w:pPr>
        <w:pStyle w:val="HorizontalLine"/>
        <w:pBdr>
          <w:bottom w:val="double" w:sz="2" w:space="0" w:color="808080"/>
        </w:pBdr>
        <w:bidi w:val="0"/>
        <w:spacing w:before="0" w:after="283"/>
        <w:jc w:val="left"/>
        <w:rPr/>
      </w:pPr>
      <w:r>
        <w:rPr/>
      </w:r>
    </w:p>
    <w:p>
      <w:pPr>
        <w:pStyle w:val="TextBody"/>
        <w:bidi w:val="0"/>
        <w:spacing w:before="240" w:after="0"/>
        <w:jc w:val="both"/>
        <w:rPr>
          <w:rFonts w:ascii="Calibri;sans-serif" w:hAnsi="Calibri;sans-serif"/>
          <w:b w:val="false"/>
          <w:sz w:val="24"/>
        </w:rPr>
      </w:pPr>
      <w:r>
        <w:rPr>
          <w:rFonts w:ascii="Calibri;sans-serif" w:hAnsi="Calibri;sans-serif"/>
          <w:b w:val="false"/>
          <w:sz w:val="24"/>
        </w:rPr>
        <w:t>Each Outside Director’s reasonable, customary and documented travel expenses to Board or Board committee meetings or related to his or her Board service will be reimbursed by the Company.</w:t>
      </w:r>
    </w:p>
    <w:p>
      <w:pPr>
        <w:pStyle w:val="TextBody"/>
        <w:bidi w:val="0"/>
        <w:spacing w:before="240" w:after="0"/>
        <w:jc w:val="both"/>
        <w:rPr>
          <w:rFonts w:ascii="Calibri" w:hAnsi="Calibri"/>
          <w:b w:val="false"/>
          <w:sz w:val="24"/>
        </w:rPr>
      </w:pPr>
      <w:r>
        <w:rPr>
          <w:rFonts w:ascii="Calibri" w:hAnsi="Calibri"/>
          <w:b w:val="false"/>
          <w:sz w:val="24"/>
        </w:rPr>
        <w:t>5.</w:t>
      </w:r>
    </w:p>
    <w:p>
      <w:pPr>
        <w:pStyle w:val="TextBody"/>
        <w:bidi w:val="0"/>
        <w:spacing w:before="240" w:after="283"/>
        <w:jc w:val="both"/>
        <w:rPr/>
      </w:pPr>
      <w:r>
        <w:rPr>
          <w:rFonts w:ascii="Calibri;sans-serif" w:hAnsi="Calibri;sans-serif"/>
          <w:b w:val="false"/>
          <w:sz w:val="24"/>
          <w:u w:val="single"/>
        </w:rPr>
        <w:t>Additional Provisions</w:t>
      </w:r>
      <w:r>
        <w:rPr>
          <w:rFonts w:ascii="Calibri;sans-serif" w:hAnsi="Calibri;sans-serif"/>
          <w:b w:val="false"/>
          <w:sz w:val="24"/>
        </w:rPr>
        <w:t>.</w:t>
      </w:r>
    </w:p>
    <w:p>
      <w:pPr>
        <w:pStyle w:val="TextBody"/>
        <w:bidi w:val="0"/>
        <w:spacing w:before="240" w:after="0"/>
        <w:jc w:val="both"/>
        <w:rPr>
          <w:rFonts w:ascii="Calibri;sans-serif" w:hAnsi="Calibri;sans-serif"/>
          <w:b w:val="false"/>
          <w:sz w:val="24"/>
        </w:rPr>
      </w:pPr>
      <w:r>
        <w:rPr>
          <w:rFonts w:ascii="Calibri;sans-serif" w:hAnsi="Calibri;sans-serif"/>
          <w:b w:val="false"/>
          <w:sz w:val="24"/>
        </w:rPr>
        <w:t>All provisions of the Plan not inconsistent with this Policy will apply to Awards granted to Outside Directors.</w:t>
      </w:r>
    </w:p>
    <w:p>
      <w:pPr>
        <w:pStyle w:val="TextBody"/>
        <w:bidi w:val="0"/>
        <w:spacing w:before="240" w:after="0"/>
        <w:jc w:val="both"/>
        <w:rPr>
          <w:rFonts w:ascii="Calibri" w:hAnsi="Calibri"/>
          <w:b w:val="false"/>
          <w:sz w:val="24"/>
        </w:rPr>
      </w:pPr>
      <w:r>
        <w:rPr>
          <w:rFonts w:ascii="Calibri" w:hAnsi="Calibri"/>
          <w:b w:val="false"/>
          <w:sz w:val="24"/>
        </w:rPr>
        <w:t>6.</w:t>
      </w:r>
    </w:p>
    <w:p>
      <w:pPr>
        <w:pStyle w:val="TextBody"/>
        <w:bidi w:val="0"/>
        <w:spacing w:before="240" w:after="283"/>
        <w:jc w:val="both"/>
        <w:rPr/>
      </w:pPr>
      <w:r>
        <w:rPr>
          <w:rFonts w:ascii="Calibri;sans-serif" w:hAnsi="Calibri;sans-serif"/>
          <w:b w:val="false"/>
          <w:sz w:val="24"/>
          <w:u w:val="single"/>
        </w:rPr>
        <w:t>Section 409A</w:t>
      </w:r>
      <w:r>
        <w:rPr>
          <w:rFonts w:ascii="Calibri;sans-serif" w:hAnsi="Calibri;sans-serif"/>
          <w:b w:val="false"/>
          <w:sz w:val="24"/>
        </w:rPr>
        <w:t>.</w:t>
      </w:r>
    </w:p>
    <w:p>
      <w:pPr>
        <w:pStyle w:val="TextBody"/>
        <w:bidi w:val="0"/>
        <w:spacing w:before="240" w:after="0"/>
        <w:jc w:val="both"/>
        <w:rPr>
          <w:rFonts w:ascii="Times New Roman" w:hAnsi="Times New Roman"/>
          <w:sz w:val="20"/>
        </w:rPr>
      </w:pPr>
      <w:r>
        <w:rPr>
          <w:rFonts w:ascii="Calibri;sans-serif" w:hAnsi="Calibri;sans-serif"/>
          <w:b w:val="false"/>
          <w:sz w:val="24"/>
        </w:rPr>
        <w:t>In no event will cash compensation or expense reimbursement payments under this Policy be paid after the later of (i) 15</w:t>
      </w:r>
      <w:r>
        <w:rPr>
          <w:rFonts w:ascii="Calibri;sans-serif" w:hAnsi="Calibri;sans-serif"/>
          <w:b w:val="false"/>
          <w:sz w:val="16"/>
        </w:rPr>
        <w:t>th</w:t>
      </w:r>
      <w:r>
        <w:rPr>
          <w:rFonts w:ascii="Times New Roman" w:hAnsi="Times New Roman"/>
          <w:sz w:val="20"/>
        </w:rPr>
        <w:t xml:space="preserve"> </w:t>
      </w:r>
      <w:r>
        <w:rPr>
          <w:rFonts w:ascii="Calibri;sans-serif" w:hAnsi="Calibri;sans-serif"/>
          <w:b w:val="false"/>
          <w:sz w:val="24"/>
        </w:rPr>
        <w:t>day of the 3rd month following the end of the Fiscal Year in which the compensation is earned or expenses are incurred, as applicable, or (ii) 15</w:t>
      </w:r>
      <w:r>
        <w:rPr>
          <w:rFonts w:ascii="Calibri;sans-serif" w:hAnsi="Calibri;sans-serif"/>
          <w:b w:val="false"/>
          <w:sz w:val="16"/>
        </w:rPr>
        <w:t>th</w:t>
      </w:r>
      <w:r>
        <w:rPr>
          <w:rFonts w:ascii="Times New Roman" w:hAnsi="Times New Roman"/>
          <w:sz w:val="20"/>
        </w:rPr>
        <w:t xml:space="preserve"> </w:t>
      </w:r>
      <w:r>
        <w:rPr>
          <w:rFonts w:ascii="Calibri;sans-serif" w:hAnsi="Calibri;sans-serif"/>
          <w:b w:val="false"/>
          <w:sz w:val="24"/>
        </w:rPr>
        <w:t>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Calibri;sans-serif" w:hAnsi="Calibri;sans-serif"/>
          <w:b w:val="false"/>
          <w:sz w:val="24"/>
          <w:u w:val="single"/>
        </w:rPr>
        <w:t>Section 409A</w:t>
      </w:r>
      <w:r>
        <w:rPr>
          <w:rFonts w:ascii="Times New Roman" w:hAnsi="Times New Roman"/>
          <w:sz w:val="20"/>
        </w:rPr>
        <w:t>”</w:t>
      </w:r>
      <w:r>
        <w:rPr>
          <w:rFonts w:ascii="Calibri;sans-serif" w:hAnsi="Calibri;sans-serif"/>
          <w:b w:val="false"/>
          <w:sz w:val="24"/>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have any liability or obligation to reimburse, indemnify, or hold harmless an Outside Director (or any other person) for any taxes or costs that may be imposed on or incurred by an Outside Director (or any other person) as a result of Section 409A.</w:t>
      </w:r>
    </w:p>
    <w:p>
      <w:pPr>
        <w:pStyle w:val="TextBody"/>
        <w:bidi w:val="0"/>
        <w:spacing w:before="240" w:after="0"/>
        <w:jc w:val="both"/>
        <w:rPr>
          <w:rFonts w:ascii="Calibri" w:hAnsi="Calibri"/>
          <w:b w:val="false"/>
          <w:sz w:val="24"/>
        </w:rPr>
      </w:pPr>
      <w:r>
        <w:rPr>
          <w:rFonts w:ascii="Calibri" w:hAnsi="Calibri"/>
          <w:b w:val="false"/>
          <w:sz w:val="24"/>
        </w:rPr>
        <w:t>7.</w:t>
      </w:r>
    </w:p>
    <w:p>
      <w:pPr>
        <w:pStyle w:val="TextBody"/>
        <w:bidi w:val="0"/>
        <w:spacing w:before="240" w:after="283"/>
        <w:jc w:val="both"/>
        <w:rPr/>
      </w:pPr>
      <w:r>
        <w:rPr>
          <w:rFonts w:ascii="Calibri;sans-serif" w:hAnsi="Calibri;sans-serif"/>
          <w:b w:val="false"/>
          <w:sz w:val="24"/>
          <w:u w:val="single"/>
        </w:rPr>
        <w:t>Revisions</w:t>
      </w:r>
      <w:r>
        <w:rPr>
          <w:rFonts w:ascii="Calibri;sans-serif" w:hAnsi="Calibri;sans-serif"/>
          <w:b w:val="false"/>
          <w:sz w:val="24"/>
        </w:rPr>
        <w:t>.</w:t>
      </w:r>
    </w:p>
    <w:p>
      <w:pPr>
        <w:pStyle w:val="TextBody"/>
        <w:bidi w:val="0"/>
        <w:spacing w:before="240" w:after="0"/>
        <w:jc w:val="both"/>
        <w:rPr>
          <w:rFonts w:ascii="Calibri;sans-serif" w:hAnsi="Calibri;sans-serif"/>
          <w:b w:val="false"/>
          <w:sz w:val="24"/>
        </w:rPr>
      </w:pPr>
      <w:r>
        <w:rPr>
          <w:rFonts w:ascii="Calibri;sans-serif" w:hAnsi="Calibri;sans-serif"/>
          <w:b w:val="false"/>
          <w:sz w:val="24"/>
        </w:rPr>
        <w:t>The Board or Compensation Committee of 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pStyle w:val="TextBody"/>
        <w:bidi w:val="0"/>
        <w:spacing w:before="0" w:after="0"/>
        <w:jc w:val="center"/>
        <w:rPr>
          <w:rFonts w:ascii="Calibri;sans-serif" w:hAnsi="Calibri;sans-serif"/>
          <w:b w:val="false"/>
          <w:sz w:val="24"/>
        </w:rPr>
      </w:pPr>
      <w:r>
        <w:rPr>
          <w:rFonts w:ascii="Calibri;sans-serif" w:hAnsi="Calibri;sans-serif"/>
          <w:b w:val="false"/>
          <w:sz w:val="24"/>
        </w:rPr>
        <w:t>-4-</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strc-ex31_1.htm"/>
      <w:bookmarkStart w:id="27" w:name="ksstrcex31_1"/>
      <w:bookmarkEnd w:id="26"/>
      <w:bookmarkEnd w:id="27"/>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Laura J. Peterson, certify that:</w:t>
      </w:r>
    </w:p>
    <w:p>
      <w:pPr>
        <w:pStyle w:val="TextBody"/>
        <w:bidi w:val="0"/>
        <w:spacing w:before="240" w:after="0"/>
        <w:jc w:val="both"/>
        <w:rPr>
          <w:rFonts w:ascii="Times New Roman" w:hAnsi="Times New Roman"/>
          <w:b w:val="false"/>
          <w:sz w:val="20"/>
        </w:rPr>
      </w:pPr>
      <w:r>
        <w:rPr>
          <w:rFonts w:ascii="Times New Roman" w:hAnsi="Times New Roman"/>
          <w:b w:val="false"/>
          <w:sz w:val="20"/>
        </w:rPr>
        <w:t>1.</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have reviewed this Quarterly Report on Form 10-Q of Sarcos Technology and Robotics Corporation;</w:t>
      </w:r>
    </w:p>
    <w:p>
      <w:pPr>
        <w:pStyle w:val="TextBody"/>
        <w:bidi w:val="0"/>
        <w:spacing w:before="240" w:after="0"/>
        <w:jc w:val="both"/>
        <w:rPr>
          <w:rFonts w:ascii="Times New Roman" w:hAnsi="Times New Roman"/>
          <w:b w:val="false"/>
          <w:sz w:val="20"/>
        </w:rPr>
      </w:pPr>
      <w:r>
        <w:rPr>
          <w:rFonts w:ascii="Times New Roman" w:hAnsi="Times New Roman"/>
          <w:b w:val="false"/>
          <w:sz w:val="20"/>
        </w:rPr>
        <w:t>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4.</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both"/>
        <w:rPr>
          <w:rFonts w:ascii="Times New Roman" w:hAnsi="Times New Roman"/>
          <w:b w:val="false"/>
          <w:sz w:val="20"/>
        </w:rPr>
      </w:pPr>
      <w:r>
        <w:rPr>
          <w:rFonts w:ascii="Times New Roman" w:hAnsi="Times New Roman"/>
          <w:b w:val="false"/>
          <w:sz w:val="20"/>
        </w:rPr>
        <w:t>(b)</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both"/>
        <w:rPr>
          <w:rFonts w:ascii="Times New Roman" w:hAnsi="Times New Roman"/>
          <w:b w:val="false"/>
          <w:sz w:val="20"/>
        </w:rPr>
      </w:pPr>
      <w:r>
        <w:rPr>
          <w:rFonts w:ascii="Times New Roman" w:hAnsi="Times New Roman"/>
          <w:b w:val="false"/>
          <w:sz w:val="20"/>
        </w:rPr>
        <w:t>(c)</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both"/>
        <w:rPr>
          <w:rFonts w:ascii="Times New Roman" w:hAnsi="Times New Roman"/>
          <w:b w:val="false"/>
          <w:sz w:val="20"/>
        </w:rPr>
      </w:pPr>
      <w:r>
        <w:rPr>
          <w:rFonts w:ascii="Times New Roman" w:hAnsi="Times New Roman"/>
          <w:b w:val="false"/>
          <w:sz w:val="20"/>
        </w:rPr>
        <w:t>(d)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both"/>
        <w:rPr>
          <w:rFonts w:ascii="Times New Roman" w:hAnsi="Times New Roman"/>
          <w:b w:val="false"/>
          <w:sz w:val="20"/>
        </w:rPr>
      </w:pPr>
      <w:r>
        <w:rPr>
          <w:rFonts w:ascii="Times New Roman" w:hAnsi="Times New Roman"/>
          <w:b w:val="false"/>
          <w:sz w:val="20"/>
        </w:rPr>
        <w:t>5.</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t> </w:t>
      </w:r>
    </w:p>
    <w:tbl>
      <w:tblPr>
        <w:tblW w:w="6382" w:type="dxa"/>
        <w:jc w:val="left"/>
        <w:tblInd w:w="0" w:type="dxa"/>
        <w:tblLayout w:type="fixed"/>
        <w:tblCellMar>
          <w:top w:w="28" w:type="dxa"/>
          <w:left w:w="28" w:type="dxa"/>
          <w:bottom w:w="28" w:type="dxa"/>
          <w:right w:w="28" w:type="dxa"/>
        </w:tblCellMar>
      </w:tblPr>
      <w:tblGrid>
        <w:gridCol w:w="1846"/>
        <w:gridCol w:w="109"/>
        <w:gridCol w:w="406"/>
        <w:gridCol w:w="40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02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Laura J. Peterson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Laura J. Peterson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Interim President and Chief Executive Officer</w:t>
            </w:r>
          </w:p>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TextBody"/>
        <w:bidi w:val="0"/>
        <w:spacing w:before="24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strc-ex31_2.htm"/>
      <w:bookmarkStart w:id="29" w:name="ksstrcex31_2"/>
      <w:bookmarkEnd w:id="28"/>
      <w:bookmarkEnd w:id="29"/>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Andrew Hamer, certify that:</w:t>
      </w:r>
    </w:p>
    <w:p>
      <w:pPr>
        <w:pStyle w:val="TextBody"/>
        <w:bidi w:val="0"/>
        <w:spacing w:before="240" w:after="0"/>
        <w:jc w:val="both"/>
        <w:rPr>
          <w:rFonts w:ascii="Times New Roman" w:hAnsi="Times New Roman"/>
          <w:b w:val="false"/>
          <w:sz w:val="20"/>
        </w:rPr>
      </w:pPr>
      <w:r>
        <w:rPr>
          <w:rFonts w:ascii="Times New Roman" w:hAnsi="Times New Roman"/>
          <w:b w:val="false"/>
          <w:sz w:val="20"/>
        </w:rPr>
        <w:t>1.</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have reviewed this Quarterly Report on Form 10-Q of Sarcos Technology and Robotics Corporation;</w:t>
      </w:r>
    </w:p>
    <w:p>
      <w:pPr>
        <w:pStyle w:val="TextBody"/>
        <w:bidi w:val="0"/>
        <w:spacing w:before="240" w:after="0"/>
        <w:jc w:val="both"/>
        <w:rPr>
          <w:rFonts w:ascii="Times New Roman" w:hAnsi="Times New Roman"/>
          <w:b w:val="false"/>
          <w:sz w:val="20"/>
        </w:rPr>
      </w:pPr>
      <w:r>
        <w:rPr>
          <w:rFonts w:ascii="Times New Roman" w:hAnsi="Times New Roman"/>
          <w:b w:val="false"/>
          <w:sz w:val="20"/>
        </w:rPr>
        <w:t>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4.</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both"/>
        <w:rPr>
          <w:rFonts w:ascii="Times New Roman" w:hAnsi="Times New Roman"/>
          <w:b w:val="false"/>
          <w:sz w:val="20"/>
        </w:rPr>
      </w:pPr>
      <w:r>
        <w:rPr>
          <w:rFonts w:ascii="Times New Roman" w:hAnsi="Times New Roman"/>
          <w:b w:val="false"/>
          <w:sz w:val="20"/>
        </w:rPr>
        <w:t>(a)</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both"/>
        <w:rPr>
          <w:rFonts w:ascii="Times New Roman" w:hAnsi="Times New Roman"/>
          <w:b w:val="false"/>
          <w:sz w:val="20"/>
        </w:rPr>
      </w:pPr>
      <w:r>
        <w:rPr>
          <w:rFonts w:ascii="Times New Roman" w:hAnsi="Times New Roman"/>
          <w:b w:val="false"/>
          <w:sz w:val="20"/>
        </w:rPr>
        <w:t>(b)</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both"/>
        <w:rPr>
          <w:rFonts w:ascii="Times New Roman" w:hAnsi="Times New Roman"/>
          <w:b w:val="false"/>
          <w:sz w:val="20"/>
        </w:rPr>
      </w:pPr>
      <w:r>
        <w:rPr>
          <w:rFonts w:ascii="Times New Roman" w:hAnsi="Times New Roman"/>
          <w:b w:val="false"/>
          <w:sz w:val="20"/>
        </w:rPr>
        <w:t>(c)</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both"/>
        <w:rPr>
          <w:rFonts w:ascii="Times New Roman" w:hAnsi="Times New Roman"/>
          <w:b w:val="false"/>
          <w:sz w:val="20"/>
        </w:rPr>
      </w:pPr>
      <w:r>
        <w:rPr>
          <w:rFonts w:ascii="Times New Roman" w:hAnsi="Times New Roman"/>
          <w:b w:val="false"/>
          <w:sz w:val="20"/>
        </w:rPr>
        <w:t>(d)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both"/>
        <w:rPr>
          <w:rFonts w:ascii="Times New Roman" w:hAnsi="Times New Roman"/>
          <w:b w:val="false"/>
          <w:sz w:val="20"/>
        </w:rPr>
      </w:pPr>
      <w:r>
        <w:rPr>
          <w:rFonts w:ascii="Times New Roman" w:hAnsi="Times New Roman"/>
          <w:b w:val="false"/>
          <w:sz w:val="20"/>
        </w:rPr>
        <w:t>5.</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Andrew Hamer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Andrew Hamer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(Principal Financial and Accounting Officer)</w:t>
            </w:r>
          </w:p>
        </w:tc>
      </w:tr>
    </w:tbl>
    <w:p>
      <w:pPr>
        <w:pStyle w:val="TextBody"/>
        <w:bidi w:val="0"/>
        <w:spacing w:before="0" w:after="0"/>
        <w:jc w:val="left"/>
        <w:rPr/>
      </w:pPr>
      <w:r>
        <w:rPr/>
        <w:t> </w:t>
      </w:r>
    </w:p>
    <w:p>
      <w:pPr>
        <w:pStyle w:val="TextBody"/>
        <w:bidi w:val="0"/>
        <w:spacing w:before="24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0" w:name="strc-ex32_1.htm"/>
      <w:bookmarkStart w:id="31" w:name="ksstrcex32_1"/>
      <w:bookmarkEnd w:id="30"/>
      <w:bookmarkEnd w:id="3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connection with the Quarterly Report of Sarcos Technology and Robotics Corporation (the “Company”) on Form 10-Q for the period ending June 30, 2023 as filed with the Securities and Exchange Commission on the date hereof (the “Report”), I certify, pursuant to 18 U.S.C. § 1350, as adopted pursuant to § 906 of the Sarbanes-Oxley Act of 2002, that, to my knowledge: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(1) The Report fully complies with the requirements of section 13(a) or 15(d), as applicable, of the Securities Exchange Act of 1934; and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382" w:type="dxa"/>
        <w:jc w:val="left"/>
        <w:tblInd w:w="0" w:type="dxa"/>
        <w:tblLayout w:type="fixed"/>
        <w:tblCellMar>
          <w:top w:w="28" w:type="dxa"/>
          <w:left w:w="28" w:type="dxa"/>
          <w:bottom w:w="28" w:type="dxa"/>
          <w:right w:w="28" w:type="dxa"/>
        </w:tblCellMar>
      </w:tblPr>
      <w:tblGrid>
        <w:gridCol w:w="1846"/>
        <w:gridCol w:w="109"/>
        <w:gridCol w:w="406"/>
        <w:gridCol w:w="40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02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Laura J. Peterson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Laura J. Peterson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Interim President and Chief Executive Officer</w:t>
            </w:r>
          </w:p>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TextBody"/>
        <w:bidi w:val="0"/>
        <w:spacing w:before="24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2" w:name="strc-ex32_2.htm"/>
      <w:bookmarkStart w:id="33" w:name="ksstrcex32_2"/>
      <w:bookmarkEnd w:id="32"/>
      <w:bookmarkEnd w:id="33"/>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connection with the Quarterly Report of Sarcos Technology and Robotics Corporation (the “Company”) on Form 10-Q for the period ending June 30, 2023 as filed with the Securities and Exchange Commission on the date hereof (the “Report”), I certify, pursuant to 18 U.S.C. § 1350, as adopted pursuant to § 906 of the Sarbanes-Oxley Act of 2002, that, to my knowledge: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(1) The Report fully complies with the requirements of section 13(a) or 15(d), as applicable, of the Securities Exchange Act of 1934; and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Andrew Hamer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Andrew Hamer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(Principal Financial and Accounting Officer)</w:t>
            </w:r>
          </w:p>
        </w:tc>
      </w:tr>
    </w:tbl>
    <w:p>
      <w:pPr>
        <w:pStyle w:val="TextBody"/>
        <w:bidi w:val="0"/>
        <w:spacing w:before="0" w:after="0"/>
        <w:jc w:val="left"/>
        <w:rPr/>
      </w:pPr>
      <w:r>
        <w:rPr/>
        <w:t> </w:t>
      </w:r>
    </w:p>
    <w:p>
      <w:pPr>
        <w:pStyle w:val="TextBody"/>
        <w:bidi w:val="0"/>
        <w:spacing w:before="24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681/000156459021049662/strc-ex31_83.htm" TargetMode="External"/><Relationship Id="rId3" Type="http://schemas.openxmlformats.org/officeDocument/2006/relationships/hyperlink" Target="https://www.sec.gov/Archives/edgar/data/1826681/000095017022023251/strc-ex3_1.htm" TargetMode="External"/><Relationship Id="rId4" Type="http://schemas.openxmlformats.org/officeDocument/2006/relationships/hyperlink" Target="https://www.sec.gov/Archives/edgar/data/1826681/000095017023028943/strc-ex3_1.htm" TargetMode="External"/><Relationship Id="rId5" Type="http://schemas.openxmlformats.org/officeDocument/2006/relationships/hyperlink" Target="https://www.sec.gov/Archives/edgar/data/1826681/000095017023028608/strc-ex10_1.htm" TargetMode="External"/><Relationship Id="rId6" Type="http://schemas.openxmlformats.org/officeDocument/2006/relationships/hyperlink" Target="https://www.sec.gov/Archives/edgar/data/1826681/000095017023028608/strc-ex10_2.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51261</Words>
  <Characters>283109</Characters>
  <CharactersWithSpaces>334379</CharactersWithSpaces>
  <Paragraphs>5314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