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strc-20230331.htm"/>
      <w:bookmarkStart w:id="1" w:name="ksstrc20230331"/>
      <w:bookmarkEnd w:id="0"/>
      <w:bookmarkEnd w:id="1"/>
      <w:r>
        <w:rPr/>
        <w:t> </w:t>
      </w:r>
    </w:p>
    <w:p>
      <w:pPr>
        <w:pStyle w:val="TextBody"/>
        <w:spacing w:before="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40" w:after="40"/>
        <w:jc w:val="center"/>
        <w:rPr/>
      </w:pPr>
      <w:r>
        <w:rPr/>
        <w:t> </w:t>
      </w:r>
    </w:p>
    <w:p>
      <w:pPr>
        <w:pStyle w:val="TextBody"/>
        <w:spacing w:before="4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spacing w:before="40" w:after="40"/>
        <w:jc w:val="center"/>
        <w:rPr/>
      </w:pPr>
      <w:r>
        <w:rPr/>
        <w:t> </w:t>
      </w:r>
    </w:p>
    <w:p>
      <w:pPr>
        <w:pStyle w:val="TextBody"/>
        <w:spacing w:before="9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spacing w:before="12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4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12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spacing w:before="120" w:after="0"/>
        <w:jc w:val="center"/>
        <w:rPr>
          <w:rFonts w:ascii="Times New Roman;serif" w:hAnsi="Times New Roman;serif"/>
          <w:b/>
          <w:sz w:val="20"/>
        </w:rPr>
      </w:pPr>
      <w:r>
        <w:rPr>
          <w:rFonts w:ascii="Times New Roman;serif" w:hAnsi="Times New Roman;serif"/>
          <w:b/>
          <w:sz w:val="20"/>
        </w:rPr>
        <w:t>For the transition period from _______ to _______</w:t>
      </w:r>
    </w:p>
    <w:p>
      <w:pPr>
        <w:pStyle w:val="TextBody"/>
        <w:spacing w:before="120" w:after="0"/>
        <w:jc w:val="center"/>
        <w:rPr>
          <w:rFonts w:ascii="Times New Roman;serif" w:hAnsi="Times New Roman;serif"/>
          <w:b/>
          <w:sz w:val="20"/>
        </w:rPr>
      </w:pPr>
      <w:r>
        <w:rPr>
          <w:rFonts w:ascii="Times New Roman;serif" w:hAnsi="Times New Roman;serif"/>
          <w:b/>
          <w:sz w:val="20"/>
        </w:rPr>
        <w:t>Commission File Number: 001-39897</w:t>
      </w:r>
    </w:p>
    <w:p>
      <w:pPr>
        <w:pStyle w:val="TextBody"/>
        <w:pBdr>
          <w:bottom w:val="single" w:sz="4" w:space="1" w:color="000000"/>
        </w:pBdr>
        <w:spacing w:before="40" w:after="40"/>
        <w:jc w:val="center"/>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SARCOS TECHNOLOGY AND ROBOTICS CORPORATION</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spacing w:before="60" w:after="0"/>
        <w:jc w:val="center"/>
        <w:rPr/>
      </w:pPr>
      <w:r>
        <w:rPr/>
        <w:t> </w:t>
      </w:r>
    </w:p>
    <w:p>
      <w:pPr>
        <w:pStyle w:val="TextBody"/>
        <w:spacing w:before="0" w:after="0"/>
        <w:jc w:val="left"/>
        <w:rPr/>
      </w:pPr>
      <w:r>
        <w:rPr/>
        <w:t> </w:t>
      </w:r>
    </w:p>
    <w:tbl>
      <w:tblPr>
        <w:tblW w:w="3902" w:type="dxa"/>
        <w:jc w:val="left"/>
        <w:tblInd w:w="0" w:type="dxa"/>
        <w:tblCellMar>
          <w:top w:w="28" w:type="dxa"/>
          <w:left w:w="28" w:type="dxa"/>
          <w:bottom w:w="28" w:type="dxa"/>
          <w:right w:w="28" w:type="dxa"/>
        </w:tblCellMar>
      </w:tblPr>
      <w:tblGrid>
        <w:gridCol w:w="2656"/>
        <w:gridCol w:w="1246"/>
      </w:tblGrid>
      <w:tr>
        <w:trPr/>
        <w:tc>
          <w:tcPr>
            <w:tcW w:w="265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85-2838301</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2656" w:type="dxa"/>
            <w:tcBorders/>
            <w:shd w:fill="auto" w:val="clear"/>
            <w:tcMar>
              <w:top w:w="0" w:type="dxa"/>
              <w:left w:w="0" w:type="dxa"/>
              <w:bottom w:w="0" w:type="dxa"/>
              <w:right w:w="0" w:type="dxa"/>
            </w:tcMar>
            <w:vAlign w:val="center"/>
          </w:tcPr>
          <w:p>
            <w:pPr>
              <w:pStyle w:val="TableContents"/>
              <w:spacing w:before="0" w:after="15"/>
              <w:ind w:left="0" w:right="0" w:hanging="0"/>
              <w:jc w:val="center"/>
              <w:rPr>
                <w:rFonts w:ascii="Times New Roman;serif" w:hAnsi="Times New Roman;serif"/>
                <w:b/>
                <w:sz w:val="20"/>
              </w:rPr>
            </w:pPr>
            <w:r>
              <w:rPr>
                <w:rFonts w:ascii="Times New Roman;serif" w:hAnsi="Times New Roman;serif"/>
                <w:b/>
                <w:sz w:val="20"/>
              </w:rPr>
              <w:t>650 South 500 West, Suite 150</w:t>
            </w:r>
          </w:p>
          <w:p>
            <w:pPr>
              <w:pStyle w:val="TableContents"/>
              <w:spacing w:before="0" w:after="15"/>
              <w:ind w:left="0" w:right="0" w:hanging="0"/>
              <w:jc w:val="center"/>
              <w:rPr>
                <w:rFonts w:ascii="Times New Roman;serif" w:hAnsi="Times New Roman;serif"/>
                <w:b/>
                <w:sz w:val="20"/>
              </w:rPr>
            </w:pPr>
            <w:r>
              <w:rPr>
                <w:rFonts w:ascii="Times New Roman;serif" w:hAnsi="Times New Roman;serif"/>
                <w:b/>
                <w:sz w:val="20"/>
              </w:rPr>
              <w:t>Salt Lake City, Utah</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84101</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spacing w:before="80" w:after="0"/>
        <w:jc w:val="center"/>
        <w:rPr>
          <w:rFonts w:ascii="Times New Roman;serif" w:hAnsi="Times New Roman;serif"/>
          <w:b/>
          <w:sz w:val="20"/>
        </w:rPr>
      </w:pPr>
      <w:r>
        <w:rPr>
          <w:rFonts w:ascii="Times New Roman;serif" w:hAnsi="Times New Roman;serif"/>
          <w:b/>
          <w:sz w:val="20"/>
        </w:rPr>
        <w:t>Registrant’s telephone number, including area code: (888) 927-7296</w:t>
      </w:r>
    </w:p>
    <w:p>
      <w:pPr>
        <w:pStyle w:val="TextBody"/>
        <w:pBdr>
          <w:bottom w:val="single" w:sz="4" w:space="1" w:color="000000"/>
        </w:pBdr>
        <w:spacing w:before="60" w:after="0"/>
        <w:jc w:val="center"/>
        <w:rPr/>
      </w:pPr>
      <w:r>
        <w:rPr/>
        <w:t> </w:t>
      </w:r>
    </w:p>
    <w:p>
      <w:pPr>
        <w:pStyle w:val="TextBody"/>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7720" w:type="dxa"/>
        <w:jc w:val="left"/>
        <w:tblInd w:w="0" w:type="dxa"/>
        <w:tblCellMar>
          <w:top w:w="28" w:type="dxa"/>
          <w:left w:w="28" w:type="dxa"/>
          <w:bottom w:w="28" w:type="dxa"/>
          <w:right w:w="28" w:type="dxa"/>
        </w:tblCellMar>
      </w:tblPr>
      <w:tblGrid>
        <w:gridCol w:w="3286"/>
        <w:gridCol w:w="146"/>
        <w:gridCol w:w="826"/>
        <w:gridCol w:w="146"/>
        <w:gridCol w:w="3316"/>
      </w:tblGrid>
      <w:tr>
        <w:trPr/>
        <w:tc>
          <w:tcPr>
            <w:tcW w:w="3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28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$0.0001 par value per share</w:t>
            </w:r>
          </w:p>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Warrants to purchase Common Stock</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STRC</w:t>
            </w:r>
          </w:p>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STRCW</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Global Market</w:t>
            </w:r>
          </w:p>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Global Market</w:t>
            </w:r>
          </w:p>
        </w:tc>
      </w:tr>
    </w:tbl>
    <w:p>
      <w:pPr>
        <w:pStyle w:val="TextBody"/>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5197" w:type="dxa"/>
        <w:jc w:val="left"/>
        <w:tblInd w:w="0" w:type="dxa"/>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7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0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spacing w:before="80" w:after="0"/>
        <w:jc w:val="left"/>
        <w:rPr>
          <w:rFonts w:ascii="Times New Roman" w:hAnsi="Times New Roman"/>
          <w:sz w:val="20"/>
        </w:rPr>
      </w:pPr>
      <w:r>
        <w:rPr>
          <w:rFonts w:ascii="Times New Roman;serif" w:hAnsi="Times New Roman;serif"/>
          <w:b w:val="false"/>
          <w:sz w:val="18"/>
        </w:rPr>
        <w:t>As of April 28, 2023, the registrant had 154.3</w:t>
      </w:r>
      <w:r>
        <w:rPr>
          <w:rFonts w:ascii="Times New Roman" w:hAnsi="Times New Roman"/>
          <w:sz w:val="20"/>
        </w:rPr>
        <w:t xml:space="preserve"> </w:t>
      </w:r>
      <w:r>
        <w:rPr>
          <w:rFonts w:ascii="Times New Roman;serif" w:hAnsi="Times New Roman;serif"/>
          <w:b w:val="false"/>
          <w:sz w:val="18"/>
        </w:rPr>
        <w:t>million shares of Common Stock, $0.0001 par value per share, outstanding.</w:t>
      </w:r>
    </w:p>
    <w:p>
      <w:pPr>
        <w:pStyle w:val="TextBody"/>
        <w:pBdr>
          <w:bottom w:val="double" w:sz="6" w:space="1" w:color="000000"/>
        </w:pBdr>
        <w:spacing w:before="0" w:after="0"/>
        <w:jc w:val="left"/>
        <w:rPr/>
      </w:pPr>
      <w:r>
        <w:rPr/>
        <w:t> </w:t>
      </w:r>
    </w:p>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left"/>
        <w:rPr/>
      </w:pPr>
      <w:r>
        <w:rPr/>
        <w:t> </w:t>
      </w:r>
    </w:p>
    <w:tbl>
      <w:tblPr>
        <w:tblW w:w="8763" w:type="dxa"/>
        <w:jc w:val="left"/>
        <w:tblInd w:w="0" w:type="dxa"/>
        <w:tblCellMar>
          <w:top w:w="28" w:type="dxa"/>
          <w:left w:w="28" w:type="dxa"/>
          <w:bottom w:w="28" w:type="dxa"/>
          <w:right w:w="28" w:type="dxa"/>
        </w:tblCellMar>
      </w:tblPr>
      <w:tblGrid>
        <w:gridCol w:w="886"/>
        <w:gridCol w:w="7366"/>
        <w:gridCol w:w="511"/>
      </w:tblGrid>
      <w:tr>
        <w:trPr/>
        <w:tc>
          <w:tcPr>
            <w:tcW w:w="886"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511" w:type="dxa"/>
            <w:tcBorders>
              <w:bottom w:val="single" w:sz="2" w:space="0" w:color="000000"/>
            </w:tcBorders>
            <w:shd w:fill="auto" w:val="clear"/>
            <w:tcMar>
              <w:top w:w="0" w:type="dxa"/>
              <w:left w:w="0" w:type="dxa"/>
              <w:right w:w="0" w:type="dxa"/>
            </w:tcMar>
            <w:vAlign w:val="center"/>
          </w:tcPr>
          <w:p>
            <w:pPr>
              <w:pStyle w:val="TableContents"/>
              <w:spacing w:before="0" w:after="0"/>
              <w:ind w:left="137" w:right="0" w:hanging="0"/>
              <w:jc w:val="left"/>
              <w:rPr>
                <w:rFonts w:ascii="Times New Roman;serif" w:hAnsi="Times New Roman;serif"/>
                <w:b/>
                <w:sz w:val="16"/>
              </w:rPr>
            </w:pPr>
            <w:r>
              <w:rPr>
                <w:rFonts w:ascii="Times New Roman;serif" w:hAnsi="Times New Roman;serif"/>
                <w:b/>
                <w:sz w:val="16"/>
              </w:rPr>
              <w:t>Page</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_financial_information">
              <w:r>
                <w:rPr>
                  <w:rStyle w:val="InternetLink"/>
                  <w:rFonts w:ascii="Times New Roman;serif" w:hAnsi="Times New Roman;serif"/>
                  <w:b w:val="false"/>
                  <w:sz w:val="20"/>
                  <w:u w:val="single"/>
                </w:rPr>
                <w:t>FINANCIAL INFORMATION</w:t>
              </w:r>
            </w:hyperlink>
          </w:p>
        </w:tc>
        <w:tc>
          <w:tcPr>
            <w:tcW w:w="5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_statements_of_operations">
              <w:r>
                <w:rPr>
                  <w:rStyle w:val="InternetLink"/>
                  <w:rFonts w:ascii="Times New Roman;serif" w:hAnsi="Times New Roman;serif"/>
                  <w:b w:val="false"/>
                  <w:sz w:val="20"/>
                  <w:u w:val="single"/>
                </w:rPr>
                <w:t>Condensed Consolidated Statements of Operations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_statements_of_operations">
              <w:r>
                <w:rPr>
                  <w:rStyle w:val="InternetLink"/>
                  <w:rFonts w:ascii="Times New Roman;serif" w:hAnsi="Times New Roman;serif"/>
                  <w:b w:val="false"/>
                  <w:sz w:val="20"/>
                  <w:u w:val="single"/>
                </w:rPr>
                <w:t>Condensed Consolidated Statements of Comprehensive Loss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_statements_of_stockholders">
              <w:r>
                <w:rPr>
                  <w:rStyle w:val="InternetLink"/>
                  <w:rFonts w:ascii="Times New Roman;serif" w:hAnsi="Times New Roman;serif"/>
                  <w:b w:val="false"/>
                  <w:sz w:val="20"/>
                  <w:u w:val="single"/>
                </w:rPr>
                <w:t>Condensed Consolidated Statements of Stockholders' Equity</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8</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_statements_of_cash_flows">
              <w:r>
                <w:rPr>
                  <w:rStyle w:val="InternetLink"/>
                  <w:rFonts w:ascii="Times New Roman;serif" w:hAnsi="Times New Roman;serif"/>
                  <w:b w:val="false"/>
                  <w:sz w:val="20"/>
                  <w:u w:val="single"/>
                </w:rPr>
                <w:t>Condensed Consolidated Statements of Cash Flows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9</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_1_basis_of_presentation">
              <w:r>
                <w:rPr>
                  <w:rStyle w:val="InternetLink"/>
                  <w:rFonts w:ascii="Times New Roman;serif" w:hAnsi="Times New Roman;serif"/>
                  <w:b w:val="false"/>
                  <w:sz w:val="20"/>
                  <w:u w:val="single"/>
                </w:rPr>
                <w:t>Notes to Unaudited Condensed Consolidated Financial Statements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managements_discussion">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quantitative_and_qualitative">
              <w:r>
                <w:rPr>
                  <w:rStyle w:val="InternetLink"/>
                  <w:rFonts w:ascii="Times New Roman;serif" w:hAnsi="Times New Roman;serif"/>
                  <w:b w:val="false"/>
                  <w:sz w:val="20"/>
                  <w:u w:val="single"/>
                </w:rPr>
                <w:t>Quantitative and Qualitative Disclosures About Market Risk</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controls_and_procedures">
              <w:r>
                <w:rPr>
                  <w:rStyle w:val="InternetLink"/>
                  <w:rFonts w:ascii="Times New Roman;serif" w:hAnsi="Times New Roman;serif"/>
                  <w:b w:val="false"/>
                  <w:sz w:val="20"/>
                  <w:u w:val="single"/>
                </w:rPr>
                <w:t>Controls and Procedures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_other_information">
              <w:r>
                <w:rPr>
                  <w:rStyle w:val="InternetLink"/>
                  <w:rFonts w:ascii="Times New Roman;serif" w:hAnsi="Times New Roman;serif"/>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unregistered_sales_of_equity">
              <w:r>
                <w:rPr>
                  <w:rStyle w:val="InternetLink"/>
                  <w:rFonts w:ascii="Times New Roman;serif" w:hAnsi="Times New Roman;serif"/>
                  <w:b w:val="false"/>
                  <w:sz w:val="20"/>
                  <w:u w:val="single"/>
                </w:rPr>
                <w:t>Unregistered Sales of Equity Securities and Use of Proceeds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defaults_upon_senior">
              <w:r>
                <w:rPr>
                  <w:rStyle w:val="InternetLink"/>
                  <w:rFonts w:ascii="Times New Roman;serif" w:hAnsi="Times New Roman;serif"/>
                  <w:b w:val="false"/>
                  <w:sz w:val="20"/>
                  <w:u w:val="single"/>
                </w:rPr>
                <w:t>Defaults Upon Senior Securities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5_other_information">
              <w:r>
                <w:rPr>
                  <w:rStyle w:val="InternetLink"/>
                  <w:rFonts w:ascii="Times New Roman;serif" w:hAnsi="Times New Roman;serif"/>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r>
      <w:tr>
        <w:trPr/>
        <w:tc>
          <w:tcPr>
            <w:tcW w:w="825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r>
    </w:tbl>
    <w:p>
      <w:pPr>
        <w:pStyle w:val="TextBody"/>
        <w:spacing w:before="24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Summary Risk Factors</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business is subject to numerous risks and uncertainties, including those highlighted in Part II, Item 1A Risk Factors of this Report. The following is a summary of the principal risks we face:</w:t>
      </w:r>
    </w:p>
    <w:p>
      <w:pPr>
        <w:pStyle w:val="TextBody"/>
        <w:spacing w:before="160" w:after="0"/>
        <w:jc w:val="both"/>
        <w:rPr/>
      </w:pPr>
      <w:r>
        <w:rPr/>
        <w:t>•</w:t>
      </w:r>
    </w:p>
    <w:p>
      <w:pPr>
        <w:pStyle w:val="TextBody"/>
        <w:spacing w:before="160" w:after="0"/>
        <w:jc w:val="both"/>
        <w:rPr>
          <w:rFonts w:ascii="Times New Roman;serif" w:hAnsi="Times New Roman;serif"/>
          <w:b w:val="false"/>
          <w:sz w:val="20"/>
        </w:rPr>
      </w:pPr>
      <w:r>
        <w:rPr>
          <w:rFonts w:ascii="Times New Roman;serif" w:hAnsi="Times New Roman;serif"/>
          <w:b w:val="false"/>
          <w:sz w:val="20"/>
        </w:rPr>
        <w:t>We are an early stage company with a history of losses, and expect to incur significant expenses for the foreseeable future.</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have yet to achieve positive operating cash flow, and our ability to generate positive cash flow is uncertain.</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If we fail to effectively manage our growth, we may not be able to design, develop, manufacture, market and launch our robotic systems and solutions successfully.</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success of our acquisition of RE2, Inc. is subject to numerous risks and uncertainties, including integration risks.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operating and financial projections rely on management assumptions and analyses. If these assumptions or analyses prove to be incorrect, our actual operating results may be materially different from our forecasted results.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Commercialization of our core systems and solutions may be delayed beyond our current expectations and therefore initial delivery to customers and receipt of anticipated revenue could be delayed.</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are dependent on our suppliers, some of which are currently single, sole or limited source suppliers, and any inability of these suppliers to deliver necessary components of our products at the prices, volumes, performance, timing and specifications acceptable to us, could have a material adverse effect on our business, prospects, financial condition and operating results. We have not yet identified all of the suppliers that we are likely to rely on to support future commercialization of our products.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have very limited experience commercializing our products and may not be able to do so efficiently or effectively.</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business plans require a significant amount of capital. Our future capital needs may require us to sell additional equity or debt securities that may dilute our stockholders or introduce covenants that may restrict our operations or our ability to pay dividends.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core products represent a new product category, and important assumptions about market demand, pricing, adoption rates and sales cycles for our current and future products may be inaccurate.</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With many of our products still under development, we have limited current customers and no binding orders for the commercial versions of our core systems and solutions, and expected customer trials and discussions with respect to those products may not result in binding orders.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Even if we successfully market our products, the purchase or subscription, adoption and use of the products may be materially and negatively impacted if the employees of our customers resist the use and adoption of the products.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have decided to focus on a standard product sales model for our robotic systems and solutions.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If we are successful in commercializing our products, our revenue will be concentrated in a limited number of models for the foreseeable future.</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benefits to customers of our products could be supplanted by other technologies or solutions or competitors' products that utilize similar technology to ours in a more effective way or at a lower cost.</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Design flaws, defects, glitches or malfunctions in our products or the software that operates them, failure of our products to perform as expected, connectivity issues or user errors can result in product recalls, lower than expected return on investment for customers, harm to users and significant safety concerns, each of which could materially and adversely affect our results of operations, financial condition or reputation.</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have no experience maintaining or servicing our products at a large scale.</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ability to develop and manufacture products of sufficient quality on schedule and on a large scale is unproven, and delays in the design, production and launch of our products could harm our business, prospects, financial condition and operating results.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are highly dependent on the services of our senior management and other key employees and, if we are unable to attract and retain a sufficient number of qualified employees, our ability to design, manufacture and launch our products, operate our business and compete could be harmed.</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Our management as a group has limited experience in operating a publicly-traded company.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Ongoing impacts from COVID-19 or another pandemic, epidemic or outbreak of an infectious disease may materially and adversely impact our business, prospects, financial condition and operating results.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expected transition to an outsourced manufacturing business model may not be successful, which could harm our ability to deliver products and recognize revenue.</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business and prospects depend significantly on our ability to build our brand. We may not succeed in continuing to establish, maintain and strengthen our brand, and our brand and reputation could be harmed by negative publicity regarding us or our products.</w:t>
      </w:r>
    </w:p>
    <w:p>
      <w:pPr>
        <w:pStyle w:val="TextBody"/>
        <w:spacing w:before="120" w:after="0"/>
        <w:jc w:val="both"/>
        <w:rPr/>
      </w:pPr>
      <w:r>
        <w:rPr/>
        <w:t>•</w:t>
      </w:r>
    </w:p>
    <w:p>
      <w:pPr>
        <w:pStyle w:val="TextBody"/>
        <w:spacing w:before="120" w:after="0"/>
        <w:jc w:val="both"/>
        <w:rPr/>
      </w:pPr>
      <w:r>
        <w:rPr>
          <w:rFonts w:ascii="Times New Roman;serif" w:hAnsi="Times New Roman;serif"/>
          <w:b w:val="false"/>
          <w:sz w:val="20"/>
        </w:rPr>
        <w:t>We operate in a competitive industry that is subject to rapid technological change, and we expect competition to increase.</w:t>
      </w:r>
      <w:r>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financial results may vary significantly from period to period due to fluctuations in our operating costs, product demand and other factors.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as well as result in litigation, regulatory action or other risks.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expect to incur substantial research and development costs and devote significant resources to identifying and commercializing new products, which could significantly reduce our profitability and may never result in revenue.</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success depends in part on our ability to obtain and maintain protection for the intellectual property relating to or incorporated into our products.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may not be able to protect our intellectual property rights in all countries.</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We may be subject to intellectual property infringement claims or misappropriation claims, which may be time consuming and expensive and, if adversely determined, could limit our ability to commercialize our products.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 w:name="part_i_financial_information"/>
      <w:bookmarkEnd w:id="2"/>
      <w:r>
        <w:rPr>
          <w:rFonts w:ascii="Times New Roman;serif" w:hAnsi="Times New Roman;serif"/>
          <w:b/>
          <w:sz w:val="20"/>
        </w:rPr>
        <w:t>PART I—FINANCIAL</w:t>
      </w:r>
      <w:r>
        <w:rPr>
          <w:rFonts w:ascii="Times New Roman" w:hAnsi="Times New Roman"/>
          <w:sz w:val="20"/>
        </w:rPr>
        <w:t xml:space="preserve"> </w:t>
      </w:r>
      <w:r>
        <w:rPr>
          <w:rFonts w:ascii="Times New Roman;serif" w:hAnsi="Times New Roman;serif"/>
          <w:b/>
          <w:sz w:val="20"/>
        </w:rPr>
        <w:t>INFORMATION</w:t>
      </w:r>
    </w:p>
    <w:p>
      <w:pPr>
        <w:pStyle w:val="TextBody"/>
        <w:spacing w:before="36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w:t>
      </w:r>
    </w:p>
    <w:p>
      <w:pPr>
        <w:pStyle w:val="TextBody"/>
        <w:spacing w:before="12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SARCOS TECHNOLOGY AND ROBOTICS CORPORATION</w:t>
      </w:r>
    </w:p>
    <w:p>
      <w:pPr>
        <w:pStyle w:val="TextBody"/>
        <w:spacing w:before="0" w:after="0"/>
        <w:jc w:val="center"/>
        <w:rPr>
          <w:rFonts w:ascii="Times New Roman" w:hAnsi="Times New Roman"/>
          <w:sz w:val="20"/>
        </w:rPr>
      </w:pPr>
      <w:bookmarkStart w:id="4" w:name="condensed_consolidated_balance_sheets"/>
      <w:bookmarkEnd w:id="4"/>
      <w:r>
        <w:rPr>
          <w:rFonts w:ascii="Times New Roman;serif" w:hAnsi="Times New Roman;serif"/>
          <w:b/>
          <w:sz w:val="20"/>
        </w:rPr>
        <w:t>CONDENSED CONSOLIDATED</w:t>
      </w:r>
      <w:r>
        <w:rPr>
          <w:rFonts w:ascii="Times New Roman" w:hAnsi="Times New Roman"/>
          <w:sz w:val="20"/>
        </w:rPr>
        <w:t xml:space="preserve"> </w:t>
      </w:r>
      <w:r>
        <w:rPr>
          <w:rFonts w:ascii="Times New Roman;serif" w:hAnsi="Times New Roman;serif"/>
          <w:b/>
          <w:sz w:val="20"/>
        </w:rPr>
        <w:t>BALANCE SHEETS</w:t>
      </w:r>
    </w:p>
    <w:p>
      <w:pPr>
        <w:pStyle w:val="TextBody"/>
        <w:spacing w:before="0" w:after="0"/>
        <w:jc w:val="center"/>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in thousands, except share data</w:t>
      </w:r>
      <w:r>
        <w:rPr>
          <w:rFonts w:ascii="Times New Roman;serif" w:hAnsi="Times New Roman;serif"/>
          <w:b w:val="false"/>
          <w:sz w:val="20"/>
        </w:rPr>
        <w:t>)</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110"/>
        <w:gridCol w:w="146"/>
        <w:gridCol w:w="230"/>
        <w:gridCol w:w="850"/>
        <w:gridCol w:w="166"/>
        <w:gridCol w:w="146"/>
        <w:gridCol w:w="240"/>
        <w:gridCol w:w="924"/>
        <w:gridCol w:w="393"/>
      </w:tblGrid>
      <w:tr>
        <w:trPr/>
        <w:tc>
          <w:tcPr>
            <w:tcW w:w="71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r>
      <w:tr>
        <w:trPr/>
        <w:tc>
          <w:tcPr>
            <w:tcW w:w="7110"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5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As of</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10"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1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0"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(unaudited)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4" w:type="dxa"/>
            <w:gridSpan w:val="2"/>
            <w:tcBorders/>
            <w:shd w:fill="auto" w:val="clear"/>
            <w:vAlign w:val="center"/>
          </w:tcPr>
          <w:p>
            <w:pPr>
              <w:pStyle w:val="TableContents"/>
              <w:spacing w:before="0" w:after="0"/>
              <w:ind w:left="0" w:right="0" w:hanging="0"/>
              <w:jc w:val="center"/>
              <w:rPr/>
            </w:pPr>
            <w:r>
              <w:rPr/>
              <w:t> </w:t>
            </w:r>
          </w:p>
        </w:tc>
        <w:tc>
          <w:tcPr>
            <w:tcW w:w="393" w:type="dxa"/>
            <w:tcBorders/>
            <w:shd w:fill="auto" w:val="clear"/>
            <w:vAlign w:val="center"/>
          </w:tcPr>
          <w:p>
            <w:pPr>
              <w:pStyle w:val="TableContents"/>
              <w:spacing w:before="0" w:after="0"/>
              <w:ind w:left="0" w:right="0" w:hanging="0"/>
              <w:jc w:val="center"/>
              <w:rPr/>
            </w:pPr>
            <w:r>
              <w:rPr/>
              <w:t> </w:t>
            </w:r>
          </w:p>
        </w:tc>
      </w:tr>
      <w:tr>
        <w:trPr/>
        <w:tc>
          <w:tcPr>
            <w:tcW w:w="7110"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shd w:fill="auto" w:val="clear"/>
            <w:vAlign w:val="center"/>
          </w:tcPr>
          <w:p>
            <w:pPr>
              <w:pStyle w:val="TableContents"/>
              <w:spacing w:before="0" w:after="0"/>
              <w:ind w:left="0" w:right="0" w:hanging="0"/>
              <w:jc w:val="left"/>
              <w:rPr/>
            </w:pPr>
            <w:r>
              <w:rPr/>
              <w:t> </w:t>
            </w:r>
          </w:p>
        </w:tc>
        <w:tc>
          <w:tcPr>
            <w:tcW w:w="108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4" w:type="dxa"/>
            <w:gridSpan w:val="2"/>
            <w:tcBorders/>
            <w:shd w:fill="auto" w:val="clear"/>
            <w:vAlign w:val="center"/>
          </w:tcPr>
          <w:p>
            <w:pPr>
              <w:pStyle w:val="TableContents"/>
              <w:spacing w:before="0" w:after="0"/>
              <w:ind w:left="0" w:right="0" w:hanging="0"/>
              <w:jc w:val="right"/>
              <w:rPr/>
            </w:pPr>
            <w:r>
              <w:rPr/>
              <w:t> </w:t>
            </w:r>
          </w:p>
        </w:tc>
        <w:tc>
          <w:tcPr>
            <w:tcW w:w="393" w:type="dxa"/>
            <w:tcBorders/>
            <w:shd w:fill="auto" w:val="clear"/>
            <w:vAlign w:val="center"/>
          </w:tcPr>
          <w:p>
            <w:pPr>
              <w:pStyle w:val="TableContents"/>
              <w:spacing w:before="0" w:after="0"/>
              <w:ind w:left="0" w:right="0" w:hanging="0"/>
              <w:jc w:val="right"/>
              <w:rPr/>
            </w:pPr>
            <w:r>
              <w:rPr/>
              <w:t> </w:t>
            </w:r>
          </w:p>
        </w:tc>
      </w:tr>
      <w:tr>
        <w:trPr/>
        <w:tc>
          <w:tcPr>
            <w:tcW w:w="711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08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4" w:type="dxa"/>
            <w:gridSpan w:val="2"/>
            <w:tcBorders/>
            <w:shd w:fill="auto" w:val="clear"/>
            <w:vAlign w:val="center"/>
          </w:tcPr>
          <w:p>
            <w:pPr>
              <w:pStyle w:val="TableContents"/>
              <w:spacing w:before="0" w:after="0"/>
              <w:ind w:left="0" w:right="0" w:hanging="0"/>
              <w:jc w:val="right"/>
              <w:rPr/>
            </w:pPr>
            <w:r>
              <w:rPr/>
              <w:t> </w:t>
            </w:r>
          </w:p>
        </w:tc>
        <w:tc>
          <w:tcPr>
            <w:tcW w:w="393" w:type="dxa"/>
            <w:tcBorders/>
            <w:shd w:fill="auto" w:val="clear"/>
            <w:vAlign w:val="center"/>
          </w:tcPr>
          <w:p>
            <w:pPr>
              <w:pStyle w:val="TableContents"/>
              <w:spacing w:before="0" w:after="0"/>
              <w:ind w:left="0" w:right="0" w:firstLine="200"/>
              <w:jc w:val="right"/>
              <w:rPr/>
            </w:pPr>
            <w:r>
              <w:rPr/>
              <w:t> </w:t>
            </w:r>
          </w:p>
        </w:tc>
      </w:tr>
      <w:tr>
        <w:trPr/>
        <w:tc>
          <w:tcPr>
            <w:tcW w:w="7110"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25,368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35,159</w:t>
            </w:r>
          </w:p>
        </w:tc>
        <w:tc>
          <w:tcPr>
            <w:tcW w:w="393" w:type="dxa"/>
            <w:tcBorders/>
            <w:shd w:fill="auto" w:val="clear"/>
            <w:vAlign w:val="center"/>
          </w:tcPr>
          <w:p>
            <w:pPr>
              <w:pStyle w:val="TableContents"/>
              <w:spacing w:before="0" w:after="0"/>
              <w:ind w:left="0" w:right="0" w:firstLine="200"/>
              <w:jc w:val="left"/>
              <w:rPr/>
            </w:pPr>
            <w:r>
              <w:rPr/>
              <w:t> </w:t>
            </w:r>
          </w:p>
        </w:tc>
      </w:tr>
      <w:tr>
        <w:trPr/>
        <w:tc>
          <w:tcPr>
            <w:tcW w:w="7110"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69,352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79,337</w:t>
            </w:r>
          </w:p>
        </w:tc>
        <w:tc>
          <w:tcPr>
            <w:tcW w:w="393" w:type="dxa"/>
            <w:tcBorders/>
            <w:shd w:fill="auto" w:val="clear"/>
            <w:vAlign w:val="center"/>
          </w:tcPr>
          <w:p>
            <w:pPr>
              <w:pStyle w:val="TableContents"/>
              <w:spacing w:before="0" w:after="0"/>
              <w:ind w:left="0" w:right="0" w:firstLine="200"/>
              <w:jc w:val="left"/>
              <w:rPr/>
            </w:pPr>
            <w:r>
              <w:rPr/>
              <w:t> </w:t>
            </w:r>
          </w:p>
        </w:tc>
      </w:tr>
      <w:tr>
        <w:trPr/>
        <w:tc>
          <w:tcPr>
            <w:tcW w:w="7110"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1,866</w:t>
            </w:r>
          </w:p>
        </w:tc>
        <w:tc>
          <w:tcPr>
            <w:tcW w:w="393" w:type="dxa"/>
            <w:tcBorders/>
            <w:shd w:fill="auto" w:val="clear"/>
            <w:vAlign w:val="center"/>
          </w:tcPr>
          <w:p>
            <w:pPr>
              <w:pStyle w:val="TableContents"/>
              <w:spacing w:before="0" w:after="0"/>
              <w:ind w:left="0" w:right="0" w:firstLine="200"/>
              <w:jc w:val="left"/>
              <w:rPr/>
            </w:pPr>
            <w:r>
              <w:rPr/>
              <w:t> </w:t>
            </w:r>
          </w:p>
        </w:tc>
      </w:tr>
      <w:tr>
        <w:trPr/>
        <w:tc>
          <w:tcPr>
            <w:tcW w:w="7110"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Unbilled receivables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4,160</w:t>
            </w:r>
          </w:p>
        </w:tc>
        <w:tc>
          <w:tcPr>
            <w:tcW w:w="393" w:type="dxa"/>
            <w:tcBorders/>
            <w:shd w:fill="auto" w:val="clear"/>
            <w:vAlign w:val="center"/>
          </w:tcPr>
          <w:p>
            <w:pPr>
              <w:pStyle w:val="TableContents"/>
              <w:spacing w:before="0" w:after="0"/>
              <w:ind w:left="0" w:right="0" w:firstLine="200"/>
              <w:jc w:val="left"/>
              <w:rPr/>
            </w:pPr>
            <w:r>
              <w:rPr/>
              <w:t> </w:t>
            </w:r>
          </w:p>
        </w:tc>
      </w:tr>
      <w:tr>
        <w:trPr/>
        <w:tc>
          <w:tcPr>
            <w:tcW w:w="7110"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Inventories, net</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6,058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3,562</w:t>
            </w:r>
          </w:p>
        </w:tc>
        <w:tc>
          <w:tcPr>
            <w:tcW w:w="393" w:type="dxa"/>
            <w:tcBorders/>
            <w:shd w:fill="auto" w:val="clear"/>
            <w:vAlign w:val="center"/>
          </w:tcPr>
          <w:p>
            <w:pPr>
              <w:pStyle w:val="TableContents"/>
              <w:spacing w:before="0" w:after="0"/>
              <w:ind w:left="0" w:right="0" w:firstLine="200"/>
              <w:jc w:val="left"/>
              <w:rPr/>
            </w:pPr>
            <w:r>
              <w:rPr/>
              <w:t> </w:t>
            </w:r>
          </w:p>
        </w:tc>
      </w:tr>
      <w:tr>
        <w:trPr/>
        <w:tc>
          <w:tcPr>
            <w:tcW w:w="7110"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5,015</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1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110,459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129,099</w:t>
            </w:r>
          </w:p>
        </w:tc>
        <w:tc>
          <w:tcPr>
            <w:tcW w:w="393" w:type="dxa"/>
            <w:tcBorders/>
            <w:shd w:fill="auto" w:val="clear"/>
            <w:vAlign w:val="center"/>
          </w:tcPr>
          <w:p>
            <w:pPr>
              <w:pStyle w:val="TableContents"/>
              <w:spacing w:before="0" w:after="0"/>
              <w:ind w:left="0" w:right="0" w:hanging="0"/>
              <w:jc w:val="left"/>
              <w:rPr/>
            </w:pPr>
            <w:r>
              <w:rPr/>
              <w:t> </w:t>
            </w:r>
          </w:p>
        </w:tc>
      </w:tr>
      <w:tr>
        <w:trPr/>
        <w:tc>
          <w:tcPr>
            <w:tcW w:w="711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7,634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7,640</w:t>
            </w:r>
          </w:p>
        </w:tc>
        <w:tc>
          <w:tcPr>
            <w:tcW w:w="393" w:type="dxa"/>
            <w:tcBorders/>
            <w:shd w:fill="auto" w:val="clear"/>
            <w:vAlign w:val="center"/>
          </w:tcPr>
          <w:p>
            <w:pPr>
              <w:pStyle w:val="TableContents"/>
              <w:spacing w:before="0" w:after="0"/>
              <w:ind w:left="0" w:right="0" w:hanging="0"/>
              <w:jc w:val="left"/>
              <w:rPr/>
            </w:pPr>
            <w:r>
              <w:rPr/>
              <w:t> </w:t>
            </w:r>
          </w:p>
        </w:tc>
      </w:tr>
      <w:tr>
        <w:trPr/>
        <w:tc>
          <w:tcPr>
            <w:tcW w:w="711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Intangible assets, net</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18,297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19,116</w:t>
            </w:r>
          </w:p>
        </w:tc>
        <w:tc>
          <w:tcPr>
            <w:tcW w:w="393" w:type="dxa"/>
            <w:tcBorders/>
            <w:shd w:fill="auto" w:val="clear"/>
            <w:vAlign w:val="center"/>
          </w:tcPr>
          <w:p>
            <w:pPr>
              <w:pStyle w:val="TableContents"/>
              <w:spacing w:before="0" w:after="0"/>
              <w:ind w:left="0" w:right="0" w:hanging="0"/>
              <w:jc w:val="left"/>
              <w:rPr/>
            </w:pPr>
            <w:r>
              <w:rPr/>
              <w:t> </w:t>
            </w:r>
          </w:p>
        </w:tc>
      </w:tr>
      <w:tr>
        <w:trPr/>
        <w:tc>
          <w:tcPr>
            <w:tcW w:w="711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lease assets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10,989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11,283</w:t>
            </w:r>
          </w:p>
        </w:tc>
        <w:tc>
          <w:tcPr>
            <w:tcW w:w="393" w:type="dxa"/>
            <w:tcBorders/>
            <w:shd w:fill="auto" w:val="clear"/>
            <w:vAlign w:val="center"/>
          </w:tcPr>
          <w:p>
            <w:pPr>
              <w:pStyle w:val="TableContents"/>
              <w:spacing w:before="0" w:after="0"/>
              <w:ind w:left="0" w:right="0" w:hanging="0"/>
              <w:jc w:val="left"/>
              <w:rPr/>
            </w:pPr>
            <w:r>
              <w:rPr/>
              <w:t> </w:t>
            </w:r>
          </w:p>
        </w:tc>
      </w:tr>
      <w:tr>
        <w:trPr/>
        <w:tc>
          <w:tcPr>
            <w:tcW w:w="711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487</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1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assets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147,860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167,625</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10"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08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4" w:type="dxa"/>
            <w:gridSpan w:val="2"/>
            <w:tcBorders/>
            <w:shd w:fill="auto" w:val="clear"/>
            <w:vAlign w:val="center"/>
          </w:tcPr>
          <w:p>
            <w:pPr>
              <w:pStyle w:val="TableContents"/>
              <w:spacing w:before="0" w:after="0"/>
              <w:ind w:left="0" w:right="0" w:hanging="0"/>
              <w:jc w:val="right"/>
              <w:rPr/>
            </w:pPr>
            <w:r>
              <w:rPr/>
              <w:t> </w:t>
            </w:r>
          </w:p>
        </w:tc>
        <w:tc>
          <w:tcPr>
            <w:tcW w:w="393" w:type="dxa"/>
            <w:tcBorders/>
            <w:shd w:fill="auto" w:val="clear"/>
            <w:vAlign w:val="center"/>
          </w:tcPr>
          <w:p>
            <w:pPr>
              <w:pStyle w:val="TableContents"/>
              <w:spacing w:before="0" w:after="0"/>
              <w:ind w:left="0" w:right="0" w:hanging="0"/>
              <w:jc w:val="right"/>
              <w:rPr/>
            </w:pPr>
            <w:r>
              <w:rPr/>
              <w:t> </w:t>
            </w:r>
          </w:p>
        </w:tc>
      </w:tr>
      <w:tr>
        <w:trPr/>
        <w:tc>
          <w:tcPr>
            <w:tcW w:w="711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08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4" w:type="dxa"/>
            <w:gridSpan w:val="2"/>
            <w:tcBorders/>
            <w:shd w:fill="auto" w:val="clear"/>
            <w:vAlign w:val="center"/>
          </w:tcPr>
          <w:p>
            <w:pPr>
              <w:pStyle w:val="TableContents"/>
              <w:spacing w:before="0" w:after="0"/>
              <w:ind w:left="0" w:right="0" w:hanging="0"/>
              <w:jc w:val="right"/>
              <w:rPr/>
            </w:pPr>
            <w:r>
              <w:rPr/>
              <w:t> </w:t>
            </w:r>
          </w:p>
        </w:tc>
        <w:tc>
          <w:tcPr>
            <w:tcW w:w="393" w:type="dxa"/>
            <w:tcBorders/>
            <w:shd w:fill="auto" w:val="clear"/>
            <w:vAlign w:val="center"/>
          </w:tcPr>
          <w:p>
            <w:pPr>
              <w:pStyle w:val="TableContents"/>
              <w:spacing w:before="0" w:after="0"/>
              <w:ind w:left="0" w:right="0" w:firstLine="200"/>
              <w:jc w:val="right"/>
              <w:rPr/>
            </w:pPr>
            <w:r>
              <w:rPr/>
              <w:t> </w:t>
            </w:r>
          </w:p>
        </w:tc>
      </w:tr>
      <w:tr>
        <w:trPr/>
        <w:tc>
          <w:tcPr>
            <w:tcW w:w="7110"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3,620</w:t>
            </w:r>
          </w:p>
        </w:tc>
        <w:tc>
          <w:tcPr>
            <w:tcW w:w="393" w:type="dxa"/>
            <w:tcBorders/>
            <w:shd w:fill="auto" w:val="clear"/>
            <w:vAlign w:val="center"/>
          </w:tcPr>
          <w:p>
            <w:pPr>
              <w:pStyle w:val="TableContents"/>
              <w:spacing w:before="0" w:after="0"/>
              <w:ind w:left="0" w:right="0" w:firstLine="200"/>
              <w:jc w:val="left"/>
              <w:rPr/>
            </w:pPr>
            <w:r>
              <w:rPr/>
              <w:t> </w:t>
            </w:r>
          </w:p>
        </w:tc>
      </w:tr>
      <w:tr>
        <w:trPr/>
        <w:tc>
          <w:tcPr>
            <w:tcW w:w="7110"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6,025</w:t>
            </w:r>
          </w:p>
        </w:tc>
        <w:tc>
          <w:tcPr>
            <w:tcW w:w="393" w:type="dxa"/>
            <w:tcBorders/>
            <w:shd w:fill="auto" w:val="clear"/>
            <w:vAlign w:val="center"/>
          </w:tcPr>
          <w:p>
            <w:pPr>
              <w:pStyle w:val="TableContents"/>
              <w:spacing w:before="0" w:after="0"/>
              <w:ind w:left="0" w:right="0" w:firstLine="200"/>
              <w:jc w:val="left"/>
              <w:rPr/>
            </w:pPr>
            <w:r>
              <w:rPr/>
              <w:t> </w:t>
            </w:r>
          </w:p>
        </w:tc>
      </w:tr>
      <w:tr>
        <w:trPr/>
        <w:tc>
          <w:tcPr>
            <w:tcW w:w="7110"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Current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887</w:t>
            </w:r>
          </w:p>
        </w:tc>
        <w:tc>
          <w:tcPr>
            <w:tcW w:w="393" w:type="dxa"/>
            <w:tcBorders/>
            <w:shd w:fill="auto" w:val="clear"/>
            <w:vAlign w:val="center"/>
          </w:tcPr>
          <w:p>
            <w:pPr>
              <w:pStyle w:val="TableContents"/>
              <w:spacing w:before="0" w:after="0"/>
              <w:ind w:left="0" w:right="0" w:hanging="0"/>
              <w:jc w:val="left"/>
              <w:rPr/>
            </w:pPr>
            <w:r>
              <w:rPr/>
              <w:t> </w:t>
            </w:r>
          </w:p>
        </w:tc>
      </w:tr>
      <w:tr>
        <w:trPr/>
        <w:tc>
          <w:tcPr>
            <w:tcW w:w="711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50"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9,404</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924"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10,532</w:t>
            </w:r>
          </w:p>
        </w:tc>
        <w:tc>
          <w:tcPr>
            <w:tcW w:w="393" w:type="dxa"/>
            <w:tcBorders>
              <w:top w:val="single" w:sz="4" w:space="0" w:color="000000"/>
            </w:tcBorders>
            <w:shd w:fill="auto" w:val="clear"/>
            <w:tcMar>
              <w:left w:w="0" w:type="dxa"/>
              <w:bottom w:w="0" w:type="dxa"/>
              <w:right w:w="0" w:type="dxa"/>
            </w:tcMar>
            <w:vAlign w:val="center"/>
          </w:tcPr>
          <w:p>
            <w:pPr>
              <w:pStyle w:val="TableContents"/>
              <w:spacing w:before="0" w:after="0"/>
              <w:ind w:left="0" w:right="0" w:firstLine="200"/>
              <w:jc w:val="left"/>
              <w:rPr/>
            </w:pPr>
            <w:r>
              <w:rPr/>
              <w:t> </w:t>
            </w:r>
          </w:p>
        </w:tc>
      </w:tr>
      <w:tr>
        <w:trPr/>
        <w:tc>
          <w:tcPr>
            <w:tcW w:w="7110"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12,073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12,387</w:t>
            </w:r>
          </w:p>
        </w:tc>
        <w:tc>
          <w:tcPr>
            <w:tcW w:w="393" w:type="dxa"/>
            <w:tcBorders/>
            <w:shd w:fill="auto" w:val="clear"/>
            <w:vAlign w:val="center"/>
          </w:tcPr>
          <w:p>
            <w:pPr>
              <w:pStyle w:val="TableContents"/>
              <w:spacing w:before="0" w:after="0"/>
              <w:ind w:left="0" w:right="0" w:firstLine="200"/>
              <w:jc w:val="left"/>
              <w:rPr/>
            </w:pPr>
            <w:r>
              <w:rPr/>
              <w:t> </w:t>
            </w:r>
          </w:p>
        </w:tc>
      </w:tr>
      <w:tr>
        <w:trPr/>
        <w:tc>
          <w:tcPr>
            <w:tcW w:w="7110"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651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256</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1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22,128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23,175</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1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Commitments and contingencies (Note 11)</w:t>
            </w:r>
          </w:p>
        </w:tc>
        <w:tc>
          <w:tcPr>
            <w:tcW w:w="146" w:type="dxa"/>
            <w:tcBorders/>
            <w:shd w:fill="auto" w:val="clear"/>
            <w:vAlign w:val="center"/>
          </w:tcPr>
          <w:p>
            <w:pPr>
              <w:pStyle w:val="TableContents"/>
              <w:spacing w:before="0" w:after="0"/>
              <w:ind w:left="0" w:right="0" w:hanging="0"/>
              <w:jc w:val="left"/>
              <w:rPr/>
            </w:pPr>
            <w:r>
              <w:rPr/>
              <w:t> </w:t>
            </w:r>
          </w:p>
        </w:tc>
        <w:tc>
          <w:tcPr>
            <w:tcW w:w="108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4" w:type="dxa"/>
            <w:gridSpan w:val="2"/>
            <w:tcBorders/>
            <w:shd w:fill="auto" w:val="clear"/>
            <w:vAlign w:val="center"/>
          </w:tcPr>
          <w:p>
            <w:pPr>
              <w:pStyle w:val="TableContents"/>
              <w:spacing w:before="0" w:after="0"/>
              <w:ind w:left="0" w:right="0" w:hanging="0"/>
              <w:jc w:val="right"/>
              <w:rPr/>
            </w:pPr>
            <w:r>
              <w:rPr/>
              <w:t> </w:t>
            </w:r>
          </w:p>
        </w:tc>
        <w:tc>
          <w:tcPr>
            <w:tcW w:w="393" w:type="dxa"/>
            <w:tcBorders/>
            <w:shd w:fill="auto" w:val="clear"/>
            <w:vAlign w:val="center"/>
          </w:tcPr>
          <w:p>
            <w:pPr>
              <w:pStyle w:val="TableContents"/>
              <w:spacing w:before="0" w:after="0"/>
              <w:ind w:left="0" w:right="0" w:hanging="0"/>
              <w:jc w:val="right"/>
              <w:rPr/>
            </w:pPr>
            <w:r>
              <w:rPr/>
              <w:t> </w:t>
            </w:r>
          </w:p>
        </w:tc>
      </w:tr>
      <w:tr>
        <w:trPr/>
        <w:tc>
          <w:tcPr>
            <w:tcW w:w="711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08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4" w:type="dxa"/>
            <w:gridSpan w:val="2"/>
            <w:tcBorders/>
            <w:shd w:fill="auto" w:val="clear"/>
            <w:vAlign w:val="center"/>
          </w:tcPr>
          <w:p>
            <w:pPr>
              <w:pStyle w:val="TableContents"/>
              <w:spacing w:before="0" w:after="0"/>
              <w:ind w:left="0" w:right="0" w:hanging="0"/>
              <w:jc w:val="right"/>
              <w:rPr/>
            </w:pPr>
            <w:r>
              <w:rPr/>
              <w:t> </w:t>
            </w:r>
          </w:p>
        </w:tc>
        <w:tc>
          <w:tcPr>
            <w:tcW w:w="393" w:type="dxa"/>
            <w:tcBorders/>
            <w:shd w:fill="auto" w:val="clear"/>
            <w:vAlign w:val="center"/>
          </w:tcPr>
          <w:p>
            <w:pPr>
              <w:pStyle w:val="TableContents"/>
              <w:spacing w:before="0" w:after="0"/>
              <w:ind w:left="0" w:right="0" w:hanging="0"/>
              <w:jc w:val="right"/>
              <w:rPr/>
            </w:pPr>
            <w:r>
              <w:rPr/>
              <w:t> </w:t>
            </w:r>
          </w:p>
        </w:tc>
      </w:tr>
      <w:tr>
        <w:trPr/>
        <w:tc>
          <w:tcPr>
            <w:tcW w:w="71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8"/>
              </w:rPr>
              <w:t>Common stock, $0.0001</w:t>
            </w:r>
            <w:r>
              <w:rPr>
                <w:rFonts w:ascii="Times New Roman" w:hAnsi="Times New Roman"/>
                <w:sz w:val="20"/>
              </w:rPr>
              <w:t> </w:t>
            </w:r>
            <w:r>
              <w:rPr>
                <w:rFonts w:ascii="Times New Roman;serif" w:hAnsi="Times New Roman;serif"/>
                <w:b w:val="false"/>
                <w:sz w:val="18"/>
              </w:rPr>
              <w:t>par value, 990,000,000</w:t>
            </w:r>
            <w:r>
              <w:rPr>
                <w:rFonts w:ascii="Times New Roman" w:hAnsi="Times New Roman"/>
                <w:sz w:val="20"/>
              </w:rPr>
              <w:t> </w:t>
            </w:r>
            <w:r>
              <w:rPr>
                <w:rFonts w:ascii="Times New Roman;serif" w:hAnsi="Times New Roman;serif"/>
                <w:b w:val="false"/>
                <w:sz w:val="18"/>
              </w:rPr>
              <w:t>shares authorized as of March 31, 2023, and December 31, 2022; 154,282,881</w:t>
            </w:r>
            <w:r>
              <w:rPr>
                <w:rFonts w:ascii="Times New Roman" w:hAnsi="Times New Roman"/>
                <w:sz w:val="20"/>
              </w:rPr>
              <w:t> </w:t>
            </w:r>
            <w:r>
              <w:rPr>
                <w:rFonts w:ascii="Times New Roman;serif" w:hAnsi="Times New Roman;serif"/>
                <w:b w:val="false"/>
                <w:sz w:val="18"/>
              </w:rPr>
              <w:t>and 154,252,704</w:t>
            </w:r>
            <w:r>
              <w:rPr>
                <w:rFonts w:ascii="Times New Roman" w:hAnsi="Times New Roman"/>
                <w:sz w:val="20"/>
              </w:rPr>
              <w:t> </w:t>
            </w:r>
            <w:r>
              <w:rPr>
                <w:rFonts w:ascii="Times New Roman;serif" w:hAnsi="Times New Roman;serif"/>
                <w:b w:val="false"/>
                <w:sz w:val="18"/>
              </w:rPr>
              <w:t>shares issued and outstanding as of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w:t>
            </w:r>
          </w:p>
        </w:tc>
        <w:tc>
          <w:tcPr>
            <w:tcW w:w="393" w:type="dxa"/>
            <w:tcBorders/>
            <w:shd w:fill="auto" w:val="clear"/>
            <w:vAlign w:val="center"/>
          </w:tcPr>
          <w:p>
            <w:pPr>
              <w:pStyle w:val="TableContents"/>
              <w:spacing w:before="0" w:after="0"/>
              <w:ind w:left="0" w:right="0" w:hanging="0"/>
              <w:jc w:val="left"/>
              <w:rPr/>
            </w:pPr>
            <w:r>
              <w:rPr/>
              <w:t> </w:t>
            </w:r>
          </w:p>
        </w:tc>
      </w:tr>
      <w:tr>
        <w:trPr/>
        <w:tc>
          <w:tcPr>
            <w:tcW w:w="711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449,772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447,073</w:t>
            </w:r>
          </w:p>
        </w:tc>
        <w:tc>
          <w:tcPr>
            <w:tcW w:w="393" w:type="dxa"/>
            <w:tcBorders/>
            <w:shd w:fill="auto" w:val="clear"/>
            <w:vAlign w:val="center"/>
          </w:tcPr>
          <w:p>
            <w:pPr>
              <w:pStyle w:val="TableContents"/>
              <w:spacing w:before="0" w:after="0"/>
              <w:ind w:left="0" w:right="0" w:hanging="0"/>
              <w:jc w:val="left"/>
              <w:rPr/>
            </w:pPr>
            <w:r>
              <w:rPr/>
              <w:t> </w:t>
            </w:r>
          </w:p>
        </w:tc>
      </w:tr>
      <w:tr>
        <w:trPr/>
        <w:tc>
          <w:tcPr>
            <w:tcW w:w="711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Accumulated other comprehensive gain (loss)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3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711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(324,097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(302,621</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711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125,732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144,450</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1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147,860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167,625</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accompanying notes to the condensed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SARCOS TECHNOLOGY AND ROBOTICS CORPORATION</w:t>
      </w:r>
    </w:p>
    <w:p>
      <w:pPr>
        <w:pStyle w:val="TextBody"/>
        <w:spacing w:before="0" w:after="0"/>
        <w:jc w:val="center"/>
        <w:rPr>
          <w:rFonts w:ascii="Times New Roman" w:hAnsi="Times New Roman"/>
          <w:sz w:val="20"/>
        </w:rPr>
      </w:pPr>
      <w:bookmarkStart w:id="5" w:name="consolidated_statements_of_operations"/>
      <w:bookmarkEnd w:id="5"/>
      <w:r>
        <w:rPr>
          <w:rFonts w:ascii="Times New Roman;serif" w:hAnsi="Times New Roman;serif"/>
          <w:b/>
          <w:sz w:val="20"/>
        </w:rPr>
        <w:t>CONDENSED CONSOLIDATED STATEMENTS OF OPERATIONS</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in thousands, except share and per share data</w:t>
      </w:r>
      <w:r>
        <w:rPr>
          <w:rFonts w:ascii="Times New Roman;serif" w:hAnsi="Times New Roman;serif"/>
          <w:b w:val="false"/>
          <w:sz w:val="20"/>
        </w:rPr>
        <w:t>)</w:t>
      </w:r>
    </w:p>
    <w:p>
      <w:pPr>
        <w:pStyle w:val="TextBody"/>
        <w:spacing w:before="0" w:after="0"/>
        <w:jc w:val="left"/>
        <w:rPr/>
      </w:pPr>
      <w:r>
        <w:rPr/>
        <w:t>​</w:t>
      </w:r>
    </w:p>
    <w:tbl>
      <w:tblPr>
        <w:tblW w:w="7969" w:type="dxa"/>
        <w:jc w:val="left"/>
        <w:tblInd w:w="0" w:type="dxa"/>
        <w:tblCellMar>
          <w:top w:w="28" w:type="dxa"/>
          <w:left w:w="28" w:type="dxa"/>
          <w:bottom w:w="28" w:type="dxa"/>
          <w:right w:w="28" w:type="dxa"/>
        </w:tblCellMar>
      </w:tblPr>
      <w:tblGrid>
        <w:gridCol w:w="4516"/>
        <w:gridCol w:w="146"/>
        <w:gridCol w:w="196"/>
        <w:gridCol w:w="1006"/>
        <w:gridCol w:w="166"/>
        <w:gridCol w:w="146"/>
        <w:gridCol w:w="196"/>
        <w:gridCol w:w="1006"/>
        <w:gridCol w:w="591"/>
      </w:tblGrid>
      <w:tr>
        <w:trPr/>
        <w:tc>
          <w:tcPr>
            <w:tcW w:w="45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516" w:type="dxa"/>
            <w:tcBorders/>
            <w:shd w:fill="auto" w:val="clear"/>
            <w:vAlign w:val="center"/>
          </w:tcPr>
          <w:p>
            <w:pPr>
              <w:pStyle w:val="TableContents"/>
              <w:spacing w:before="0" w:after="0"/>
              <w:ind w:left="0" w:right="0" w:hanging="0"/>
              <w:jc w:val="center"/>
              <w:rPr>
                <w:rFonts w:cs="Times New Roman;serif"/>
                <w:bCs/>
                <w:szCs w:val="18"/>
              </w:rPr>
            </w:pPr>
            <w:r>
              <w:rPr>
                <w:rFonts w:cs="Times New Roman;serif"/>
                <w:bCs/>
                <w:szCs w:val="18"/>
              </w:rPr>
              <w:t>﻿</w:t>
            </w:r>
          </w:p>
        </w:tc>
        <w:tc>
          <w:tcPr>
            <w:tcW w:w="146" w:type="dxa"/>
            <w:tcBorders/>
            <w:shd w:fill="auto" w:val="clear"/>
            <w:vAlign w:val="center"/>
          </w:tcPr>
          <w:p>
            <w:pPr>
              <w:pStyle w:val="TableContents"/>
              <w:spacing w:before="0" w:after="0"/>
              <w:ind w:left="0" w:right="0" w:hanging="0"/>
              <w:jc w:val="center"/>
              <w:rPr/>
            </w:pPr>
            <w:r>
              <w:rPr/>
              <w:t> </w:t>
            </w:r>
          </w:p>
        </w:tc>
        <w:tc>
          <w:tcPr>
            <w:tcW w:w="27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1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Revenue, net</w:t>
            </w:r>
          </w:p>
        </w:tc>
        <w:tc>
          <w:tcPr>
            <w:tcW w:w="14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743</w:t>
            </w:r>
          </w:p>
        </w:tc>
        <w:tc>
          <w:tcPr>
            <w:tcW w:w="591" w:type="dxa"/>
            <w:tcBorders/>
            <w:shd w:fill="auto" w:val="clear"/>
            <w:vAlign w:val="center"/>
          </w:tcPr>
          <w:p>
            <w:pPr>
              <w:pStyle w:val="TableContents"/>
              <w:spacing w:before="0" w:after="0"/>
              <w:ind w:left="0" w:right="0" w:hanging="0"/>
              <w:jc w:val="left"/>
              <w:rPr/>
            </w:pPr>
            <w:r>
              <w:rPr/>
              <w:t> </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expenses:​</w:t>
            </w:r>
          </w:p>
        </w:tc>
        <w:tc>
          <w:tcPr>
            <w:tcW w:w="146" w:type="dxa"/>
            <w:tcBorders/>
            <w:shd w:fill="auto" w:val="clear"/>
            <w:vAlign w:val="center"/>
          </w:tcPr>
          <w:p>
            <w:pPr>
              <w:pStyle w:val="TableContents"/>
              <w:spacing w:before="0" w:after="0"/>
              <w:ind w:left="0" w:right="0" w:hanging="0"/>
              <w:jc w:val="right"/>
              <w:rPr/>
            </w:pPr>
            <w:r>
              <w:rPr/>
              <w:t>​</w:t>
            </w:r>
          </w:p>
        </w:tc>
        <w:tc>
          <w:tcPr>
            <w:tcW w:w="120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45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Cost of revenue (exclusive of items shown separately below)</w:t>
            </w:r>
          </w:p>
        </w:tc>
        <w:tc>
          <w:tcPr>
            <w:tcW w:w="146" w:type="dxa"/>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9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488</w:t>
            </w:r>
          </w:p>
        </w:tc>
        <w:tc>
          <w:tcPr>
            <w:tcW w:w="591" w:type="dxa"/>
            <w:tcBorders/>
            <w:shd w:fill="auto" w:val="clear"/>
            <w:vAlign w:val="center"/>
          </w:tcPr>
          <w:p>
            <w:pPr>
              <w:pStyle w:val="TableContents"/>
              <w:spacing w:before="0" w:after="0"/>
              <w:ind w:left="0" w:right="0" w:firstLine="200"/>
              <w:jc w:val="left"/>
              <w:rPr/>
            </w:pPr>
            <w:r>
              <w:rPr/>
              <w:t> </w:t>
            </w:r>
          </w:p>
        </w:tc>
      </w:tr>
      <w:tr>
        <w:trPr/>
        <w:tc>
          <w:tcPr>
            <w:tcW w:w="45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Research and development</w:t>
            </w:r>
          </w:p>
        </w:tc>
        <w:tc>
          <w:tcPr>
            <w:tcW w:w="14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9,403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5,881</w:t>
            </w:r>
          </w:p>
        </w:tc>
        <w:tc>
          <w:tcPr>
            <w:tcW w:w="591" w:type="dxa"/>
            <w:tcBorders/>
            <w:shd w:fill="auto" w:val="clear"/>
            <w:vAlign w:val="center"/>
          </w:tcPr>
          <w:p>
            <w:pPr>
              <w:pStyle w:val="TableContents"/>
              <w:spacing w:before="0" w:after="0"/>
              <w:ind w:left="0" w:right="0" w:firstLine="200"/>
              <w:jc w:val="left"/>
              <w:rPr/>
            </w:pPr>
            <w:r>
              <w:rPr/>
              <w:t> </w:t>
            </w:r>
          </w:p>
        </w:tc>
      </w:tr>
      <w:tr>
        <w:trPr/>
        <w:tc>
          <w:tcPr>
            <w:tcW w:w="45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General and administrative</w:t>
            </w:r>
          </w:p>
        </w:tc>
        <w:tc>
          <w:tcPr>
            <w:tcW w:w="14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9,735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17,792</w:t>
            </w:r>
          </w:p>
        </w:tc>
        <w:tc>
          <w:tcPr>
            <w:tcW w:w="591" w:type="dxa"/>
            <w:tcBorders/>
            <w:shd w:fill="auto" w:val="clear"/>
            <w:vAlign w:val="center"/>
          </w:tcPr>
          <w:p>
            <w:pPr>
              <w:pStyle w:val="TableContents"/>
              <w:spacing w:before="0" w:after="0"/>
              <w:ind w:left="0" w:right="0" w:firstLine="200"/>
              <w:jc w:val="left"/>
              <w:rPr/>
            </w:pPr>
            <w:r>
              <w:rPr/>
              <w:t> </w:t>
            </w:r>
          </w:p>
        </w:tc>
      </w:tr>
      <w:tr>
        <w:trPr/>
        <w:tc>
          <w:tcPr>
            <w:tcW w:w="45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Sales and marketing</w:t>
            </w:r>
          </w:p>
        </w:tc>
        <w:tc>
          <w:tcPr>
            <w:tcW w:w="14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3,741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2,211</w:t>
            </w:r>
          </w:p>
        </w:tc>
        <w:tc>
          <w:tcPr>
            <w:tcW w:w="591" w:type="dxa"/>
            <w:tcBorders/>
            <w:shd w:fill="auto" w:val="clear"/>
            <w:vAlign w:val="center"/>
          </w:tcPr>
          <w:p>
            <w:pPr>
              <w:pStyle w:val="TableContents"/>
              <w:spacing w:before="0" w:after="0"/>
              <w:ind w:left="0" w:right="0" w:firstLine="200"/>
              <w:jc w:val="left"/>
              <w:rPr/>
            </w:pPr>
            <w:r>
              <w:rPr/>
              <w:t> </w:t>
            </w:r>
          </w:p>
        </w:tc>
      </w:tr>
      <w:tr>
        <w:trPr/>
        <w:tc>
          <w:tcPr>
            <w:tcW w:w="45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Intangible amortization expense</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451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operating expenses</w:t>
            </w:r>
          </w:p>
        </w:tc>
        <w:tc>
          <w:tcPr>
            <w:tcW w:w="146" w:type="dxa"/>
            <w:tcBorders/>
            <w:shd w:fill="auto" w:val="clear"/>
            <w:vAlign w:val="center"/>
          </w:tcPr>
          <w:p>
            <w:pPr>
              <w:pStyle w:val="TableContents"/>
              <w:spacing w:before="0" w:after="0"/>
              <w:ind w:left="0" w:right="0" w:hanging="0"/>
              <w:jc w:val="right"/>
              <w:rPr/>
            </w:pPr>
            <w:r>
              <w:rPr/>
              <w:t>​</w:t>
            </w:r>
          </w:p>
        </w:tc>
        <w:tc>
          <w:tcPr>
            <w:tcW w:w="19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0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25,484</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0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26,372</w:t>
            </w:r>
          </w:p>
        </w:tc>
        <w:tc>
          <w:tcPr>
            <w:tcW w:w="5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Loss from operations</w:t>
            </w:r>
          </w:p>
        </w:tc>
        <w:tc>
          <w:tcPr>
            <w:tcW w:w="146" w:type="dxa"/>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9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(23,188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(25,629</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 income, net</w:t>
            </w:r>
          </w:p>
        </w:tc>
        <w:tc>
          <w:tcPr>
            <w:tcW w:w="146" w:type="dxa"/>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9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591" w:type="dxa"/>
            <w:tcBorders/>
            <w:shd w:fill="auto" w:val="clear"/>
            <w:vAlign w:val="center"/>
          </w:tcPr>
          <w:p>
            <w:pPr>
              <w:pStyle w:val="TableContents"/>
              <w:spacing w:before="0" w:after="0"/>
              <w:ind w:left="0" w:right="0" w:hanging="0"/>
              <w:jc w:val="left"/>
              <w:rPr/>
            </w:pPr>
            <w:r>
              <w:rPr/>
              <w:t> </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(Loss) gain on warrant liability</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6,414</w:t>
            </w:r>
          </w:p>
        </w:tc>
        <w:tc>
          <w:tcPr>
            <w:tcW w:w="591" w:type="dxa"/>
            <w:tcBorders/>
            <w:shd w:fill="auto" w:val="clear"/>
            <w:vAlign w:val="center"/>
          </w:tcPr>
          <w:p>
            <w:pPr>
              <w:pStyle w:val="TableContents"/>
              <w:spacing w:before="0" w:after="0"/>
              <w:ind w:left="0" w:right="0" w:hanging="0"/>
              <w:jc w:val="left"/>
              <w:rPr/>
            </w:pPr>
            <w:r>
              <w:rPr/>
              <w:t> </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income, net</w:t>
            </w:r>
          </w:p>
        </w:tc>
        <w:tc>
          <w:tcPr>
            <w:tcW w:w="146" w:type="dxa"/>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Loss before income tax expense</w:t>
            </w:r>
          </w:p>
        </w:tc>
        <w:tc>
          <w:tcPr>
            <w:tcW w:w="146" w:type="dxa"/>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(21,476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(19,202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Income tax expense</w:t>
            </w:r>
          </w:p>
        </w:tc>
        <w:tc>
          <w:tcPr>
            <w:tcW w:w="146" w:type="dxa"/>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(21,476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(19,202</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 per share</w:t>
            </w:r>
          </w:p>
        </w:tc>
        <w:tc>
          <w:tcPr>
            <w:tcW w:w="146" w:type="dxa"/>
            <w:tcBorders/>
            <w:shd w:fill="auto" w:val="clear"/>
            <w:vAlign w:val="center"/>
          </w:tcPr>
          <w:p>
            <w:pPr>
              <w:pStyle w:val="TableContents"/>
              <w:spacing w:before="0" w:after="0"/>
              <w:ind w:left="0" w:right="0" w:hanging="0"/>
              <w:jc w:val="right"/>
              <w:rPr/>
            </w:pPr>
            <w:r>
              <w:rPr/>
              <w:t>​</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right"/>
              <w:rPr/>
            </w:pPr>
            <w:r>
              <w:rPr/>
              <w:t> </w:t>
            </w:r>
          </w:p>
        </w:tc>
      </w:tr>
      <w:tr>
        <w:trPr/>
        <w:tc>
          <w:tcPr>
            <w:tcW w:w="45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Basic and diluted</w:t>
            </w:r>
          </w:p>
        </w:tc>
        <w:tc>
          <w:tcPr>
            <w:tcW w:w="146" w:type="dxa"/>
            <w:tcBorders/>
            <w:shd w:fill="auto" w:val="clear"/>
            <w:vAlign w:val="center"/>
          </w:tcPr>
          <w:p>
            <w:pPr>
              <w:pStyle w:val="TableContents"/>
              <w:spacing w:before="0" w:after="0"/>
              <w:ind w:left="0" w:right="0" w:hanging="0"/>
              <w:jc w:val="right"/>
              <w:rPr/>
            </w:pPr>
            <w:r>
              <w:rPr/>
              <w:t>​</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(0.14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(0.14</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Weighted-average shares used in computing net loss per share</w:t>
            </w:r>
          </w:p>
        </w:tc>
        <w:tc>
          <w:tcPr>
            <w:tcW w:w="146" w:type="dxa"/>
            <w:tcBorders/>
            <w:shd w:fill="auto" w:val="clear"/>
            <w:vAlign w:val="center"/>
          </w:tcPr>
          <w:p>
            <w:pPr>
              <w:pStyle w:val="TableContents"/>
              <w:spacing w:before="0" w:after="0"/>
              <w:ind w:left="0" w:right="0" w:hanging="0"/>
              <w:jc w:val="right"/>
              <w:rPr/>
            </w:pPr>
            <w:r>
              <w:rPr/>
              <w:t>​</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right"/>
              <w:rPr/>
            </w:pPr>
            <w:r>
              <w:rPr/>
              <w:t> </w:t>
            </w:r>
          </w:p>
        </w:tc>
      </w:tr>
      <w:tr>
        <w:trPr/>
        <w:tc>
          <w:tcPr>
            <w:tcW w:w="45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Basic and diluted</w:t>
            </w:r>
          </w:p>
        </w:tc>
        <w:tc>
          <w:tcPr>
            <w:tcW w:w="146" w:type="dxa"/>
            <w:tcBorders/>
            <w:shd w:fill="auto" w:val="clear"/>
            <w:vAlign w:val="center"/>
          </w:tcPr>
          <w:p>
            <w:pPr>
              <w:pStyle w:val="TableContents"/>
              <w:spacing w:before="0" w:after="0"/>
              <w:ind w:left="0" w:right="0" w:hanging="0"/>
              <w:jc w:val="right"/>
              <w:rPr/>
            </w:pPr>
            <w:r>
              <w:rPr/>
              <w:t>​</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152,827,729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137,908,690</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accompanying notes to the condensed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SARCOS TECHNOLOGY AND ROBOTICS CORPORATION</w:t>
      </w:r>
    </w:p>
    <w:p>
      <w:pPr>
        <w:pStyle w:val="TextBody"/>
        <w:spacing w:before="0" w:after="0"/>
        <w:jc w:val="center"/>
        <w:rPr>
          <w:rFonts w:ascii="Times New Roman;serif" w:hAnsi="Times New Roman;serif"/>
          <w:b/>
          <w:sz w:val="20"/>
        </w:rPr>
      </w:pPr>
      <w:r>
        <w:rPr>
          <w:rFonts w:ascii="Times New Roman;serif" w:hAnsi="Times New Roman;serif"/>
          <w:b/>
          <w:sz w:val="20"/>
        </w:rPr>
        <w:t>CONDENSED CONSOLIDATED STATEMENTS OF COMPREHENSIVE LOSS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in thousands</w:t>
      </w:r>
      <w:r>
        <w:rPr>
          <w:rFonts w:ascii="Times New Roman;serif" w:hAnsi="Times New Roman;serif"/>
          <w:b w:val="false"/>
          <w:sz w:val="20"/>
        </w:rPr>
        <w:t>)</w:t>
      </w:r>
    </w:p>
    <w:p>
      <w:pPr>
        <w:pStyle w:val="TextBody"/>
        <w:spacing w:before="0" w:after="0"/>
        <w:jc w:val="left"/>
        <w:rPr/>
      </w:pPr>
      <w:r>
        <w:rPr/>
        <w:t> </w:t>
      </w:r>
    </w:p>
    <w:tbl>
      <w:tblPr>
        <w:tblW w:w="7636" w:type="dxa"/>
        <w:jc w:val="left"/>
        <w:tblInd w:w="0" w:type="dxa"/>
        <w:tblCellMar>
          <w:top w:w="28" w:type="dxa"/>
          <w:left w:w="28" w:type="dxa"/>
          <w:bottom w:w="28" w:type="dxa"/>
          <w:right w:w="28" w:type="dxa"/>
        </w:tblCellMar>
      </w:tblPr>
      <w:tblGrid>
        <w:gridCol w:w="4321"/>
        <w:gridCol w:w="146"/>
        <w:gridCol w:w="249"/>
        <w:gridCol w:w="842"/>
        <w:gridCol w:w="211"/>
        <w:gridCol w:w="185"/>
        <w:gridCol w:w="249"/>
        <w:gridCol w:w="842"/>
        <w:gridCol w:w="591"/>
      </w:tblGrid>
      <w:tr>
        <w:trPr/>
        <w:tc>
          <w:tcPr>
            <w:tcW w:w="43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321" w:type="dxa"/>
            <w:tcBorders/>
            <w:shd w:fill="auto" w:val="clear"/>
            <w:vAlign w:val="center"/>
          </w:tcPr>
          <w:p>
            <w:pPr>
              <w:pStyle w:val="TableContents"/>
              <w:spacing w:before="0" w:after="0"/>
              <w:ind w:left="0" w:right="0" w:hanging="0"/>
              <w:jc w:val="center"/>
              <w:rPr>
                <w:rFonts w:cs="Times New Roman;serif"/>
                <w:bCs/>
                <w:szCs w:val="18"/>
              </w:rPr>
            </w:pPr>
            <w:r>
              <w:rPr>
                <w:rFonts w:cs="Times New Roman;serif"/>
                <w:bCs/>
                <w:szCs w:val="18"/>
              </w:rPr>
              <w:t>﻿</w:t>
            </w:r>
          </w:p>
        </w:tc>
        <w:tc>
          <w:tcPr>
            <w:tcW w:w="146" w:type="dxa"/>
            <w:tcBorders/>
            <w:shd w:fill="auto" w:val="clear"/>
            <w:vAlign w:val="center"/>
          </w:tcPr>
          <w:p>
            <w:pPr>
              <w:pStyle w:val="TableContents"/>
              <w:spacing w:before="0" w:after="0"/>
              <w:ind w:left="0" w:right="0" w:hanging="0"/>
              <w:jc w:val="center"/>
              <w:rPr/>
            </w:pPr>
            <w:r>
              <w:rPr/>
              <w:t> </w:t>
            </w:r>
          </w:p>
        </w:tc>
        <w:tc>
          <w:tcPr>
            <w:tcW w:w="257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10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5" w:type="dxa"/>
            <w:tcBorders/>
            <w:shd w:fill="auto" w:val="clear"/>
            <w:vAlign w:val="center"/>
          </w:tcPr>
          <w:p>
            <w:pPr>
              <w:pStyle w:val="TableContents"/>
              <w:spacing w:before="0" w:after="0"/>
              <w:ind w:left="0" w:right="0" w:hanging="0"/>
              <w:jc w:val="center"/>
              <w:rPr/>
            </w:pPr>
            <w:r>
              <w:rPr/>
              <w:t> </w:t>
            </w:r>
          </w:p>
        </w:tc>
        <w:tc>
          <w:tcPr>
            <w:tcW w:w="10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shd w:fill="auto" w:val="clear"/>
            <w:vAlign w:val="center"/>
          </w:tcPr>
          <w:p>
            <w:pPr>
              <w:pStyle w:val="TableContents"/>
              <w:spacing w:before="0" w:after="0"/>
              <w:ind w:left="0" w:right="0" w:hanging="0"/>
              <w:jc w:val="righ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(21,476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(19,202</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income:</w:t>
            </w:r>
          </w:p>
        </w:tc>
        <w:tc>
          <w:tcPr>
            <w:tcW w:w="146" w:type="dxa"/>
            <w:tcBorders/>
            <w:shd w:fill="auto" w:val="clear"/>
            <w:vAlign w:val="center"/>
          </w:tcPr>
          <w:p>
            <w:pPr>
              <w:pStyle w:val="TableContents"/>
              <w:spacing w:before="0" w:after="0"/>
              <w:ind w:left="0" w:right="0" w:hanging="0"/>
              <w:jc w:val="right"/>
              <w:rPr/>
            </w:pPr>
            <w:r>
              <w:rPr/>
              <w:t> </w:t>
            </w:r>
          </w:p>
        </w:tc>
        <w:tc>
          <w:tcPr>
            <w:tcW w:w="109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091"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300"/>
              <w:jc w:val="right"/>
              <w:rPr/>
            </w:pPr>
            <w:r>
              <w:rPr/>
              <w:t> </w:t>
            </w:r>
          </w:p>
        </w:tc>
      </w:tr>
      <w:tr>
        <w:trPr/>
        <w:tc>
          <w:tcPr>
            <w:tcW w:w="4321" w:type="dxa"/>
            <w:tcBorders/>
            <w:shd w:fill="auto" w:val="clear"/>
            <w:vAlign w:val="center"/>
          </w:tcPr>
          <w:p>
            <w:pPr>
              <w:pStyle w:val="TableContents"/>
              <w:spacing w:before="0" w:after="0"/>
              <w:ind w:left="300" w:right="0" w:hanging="0"/>
              <w:jc w:val="left"/>
              <w:rPr>
                <w:rFonts w:ascii="Times New Roman;serif" w:hAnsi="Times New Roman;serif"/>
                <w:b w:val="false"/>
                <w:sz w:val="18"/>
              </w:rPr>
            </w:pPr>
            <w:r>
              <w:rPr>
                <w:rFonts w:ascii="Times New Roman;serif" w:hAnsi="Times New Roman;serif"/>
                <w:b w:val="false"/>
                <w:sz w:val="18"/>
              </w:rPr>
              <w:t>Change in unrealized gain on available-for-sale investments</w:t>
            </w:r>
          </w:p>
        </w:tc>
        <w:tc>
          <w:tcPr>
            <w:tcW w:w="146" w:type="dxa"/>
            <w:tcBorders/>
            <w:shd w:fill="auto" w:val="clear"/>
            <w:vAlign w:val="center"/>
          </w:tcPr>
          <w:p>
            <w:pPr>
              <w:pStyle w:val="TableContents"/>
              <w:spacing w:before="0" w:after="0"/>
              <w:ind w:left="0" w:right="0" w:hanging="0"/>
              <w:jc w:val="righ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59</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432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other comprehensive income</w:t>
            </w:r>
          </w:p>
        </w:tc>
        <w:tc>
          <w:tcPr>
            <w:tcW w:w="146" w:type="dxa"/>
            <w:tcBorders/>
            <w:shd w:fill="auto" w:val="clear"/>
            <w:vAlign w:val="center"/>
          </w:tcPr>
          <w:p>
            <w:pPr>
              <w:pStyle w:val="TableContents"/>
              <w:spacing w:before="0" w:after="0"/>
              <w:ind w:left="0" w:right="0" w:hanging="0"/>
              <w:jc w:val="right"/>
              <w:rPr/>
            </w:pPr>
            <w:r>
              <w:rPr/>
              <w:t> </w:t>
            </w:r>
          </w:p>
        </w:tc>
        <w:tc>
          <w:tcPr>
            <w:tcW w:w="249"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42"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59</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42"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pPr>
            <w:r>
              <w:rPr/>
              <w:t>—</w:t>
            </w:r>
          </w:p>
        </w:tc>
        <w:tc>
          <w:tcPr>
            <w:tcW w:w="5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Comprehensive loss</w:t>
            </w:r>
          </w:p>
        </w:tc>
        <w:tc>
          <w:tcPr>
            <w:tcW w:w="146" w:type="dxa"/>
            <w:tcBorders/>
            <w:shd w:fill="auto" w:val="clear"/>
            <w:vAlign w:val="center"/>
          </w:tcPr>
          <w:p>
            <w:pPr>
              <w:pStyle w:val="TableContents"/>
              <w:spacing w:before="0" w:after="0"/>
              <w:ind w:left="0" w:right="0" w:hanging="0"/>
              <w:jc w:val="righ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(21,417</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(19,202</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spacing w:before="0" w:after="0"/>
        <w:jc w:val="center"/>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accompanying notes to the condensed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SARCOS TECHNOLOGY AND ROBOTICS CORPORATION</w:t>
      </w:r>
    </w:p>
    <w:p>
      <w:pPr>
        <w:pStyle w:val="TextBody"/>
        <w:spacing w:before="0" w:after="0"/>
        <w:jc w:val="center"/>
        <w:rPr>
          <w:rFonts w:ascii="Times New Roman;serif" w:hAnsi="Times New Roman;serif"/>
          <w:b/>
          <w:sz w:val="20"/>
        </w:rPr>
      </w:pPr>
      <w:bookmarkStart w:id="6" w:name="consolidated_statements_of_stockholders"/>
      <w:bookmarkEnd w:id="6"/>
      <w:r>
        <w:rPr>
          <w:rFonts w:ascii="Times New Roman;serif" w:hAnsi="Times New Roman;serif"/>
          <w:b/>
          <w:sz w:val="20"/>
        </w:rPr>
        <w:t>CONDENSED CONSOLIDATED STATEMENTS OF STOCKHOLDERS’ EQUITY</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(in thousands, except share data)</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2618"/>
        <w:gridCol w:w="146"/>
        <w:gridCol w:w="1006"/>
        <w:gridCol w:w="166"/>
        <w:gridCol w:w="271"/>
        <w:gridCol w:w="480"/>
        <w:gridCol w:w="146"/>
        <w:gridCol w:w="205"/>
        <w:gridCol w:w="726"/>
        <w:gridCol w:w="166"/>
        <w:gridCol w:w="585"/>
        <w:gridCol w:w="812"/>
        <w:gridCol w:w="146"/>
        <w:gridCol w:w="233"/>
        <w:gridCol w:w="893"/>
        <w:gridCol w:w="166"/>
        <w:gridCol w:w="248"/>
        <w:gridCol w:w="879"/>
        <w:gridCol w:w="313"/>
      </w:tblGrid>
      <w:tr>
        <w:trPr/>
        <w:tc>
          <w:tcPr>
            <w:tcW w:w="261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39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127" w:type="dxa"/>
            <w:gridSpan w:val="2"/>
            <w:tcBorders/>
            <w:shd w:fill="auto" w:val="clear"/>
            <w:vAlign w:val="center"/>
          </w:tcPr>
          <w:p>
            <w:pPr>
              <w:pStyle w:val="TableContents"/>
              <w:spacing w:before="0" w:after="0"/>
              <w:ind w:left="0" w:right="0" w:hanging="0"/>
              <w:jc w:val="right"/>
              <w:rPr/>
            </w:pPr>
            <w:r>
              <w:rPr/>
              <w:t> </w:t>
            </w:r>
          </w:p>
        </w:tc>
        <w:tc>
          <w:tcPr>
            <w:tcW w:w="313" w:type="dxa"/>
            <w:tcBorders/>
            <w:shd w:fill="auto" w:val="clear"/>
            <w:vAlign w:val="center"/>
          </w:tcPr>
          <w:p>
            <w:pPr>
              <w:pStyle w:val="TableContents"/>
              <w:spacing w:before="0" w:after="0"/>
              <w:ind w:left="0" w:right="0" w:hanging="0"/>
              <w:jc w:val="right"/>
              <w:rPr/>
            </w:pPr>
            <w:r>
              <w:rPr/>
              <w:t> </w:t>
            </w:r>
          </w:p>
        </w:tc>
      </w:tr>
      <w:tr>
        <w:trPr/>
        <w:tc>
          <w:tcPr>
            <w:tcW w:w="2618" w:type="dxa"/>
            <w:tcBorders/>
            <w:shd w:fill="auto" w:val="clear"/>
            <w:vAlign w:val="center"/>
          </w:tcPr>
          <w:p>
            <w:pPr>
              <w:pStyle w:val="TableContents"/>
              <w:spacing w:before="0" w:after="283"/>
              <w:ind w:left="0" w:right="0" w:hanging="0"/>
              <w:rPr>
                <w:sz w:val="4"/>
                <w:szCs w:val="4"/>
              </w:rPr>
            </w:pPr>
            <w:r>
              <w:rPr>
                <w:sz w:val="4"/>
                <w:szCs w:val="4"/>
              </w:rPr>
            </w:r>
          </w:p>
        </w:tc>
        <w:tc>
          <w:tcPr>
            <w:tcW w:w="2069"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3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Additional</w:t>
            </w:r>
          </w:p>
        </w:tc>
        <w:tc>
          <w:tcPr>
            <w:tcW w:w="166" w:type="dxa"/>
            <w:tcBorders/>
            <w:shd w:fill="auto" w:val="clear"/>
            <w:vAlign w:val="center"/>
          </w:tcPr>
          <w:p>
            <w:pPr>
              <w:pStyle w:val="TableContents"/>
              <w:spacing w:before="0" w:after="0"/>
              <w:ind w:left="0" w:right="0" w:hanging="0"/>
              <w:jc w:val="center"/>
              <w:rPr/>
            </w:pPr>
            <w:r>
              <w:rPr/>
              <w:t> </w:t>
            </w:r>
          </w:p>
        </w:tc>
        <w:tc>
          <w:tcPr>
            <w:tcW w:w="1397"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Accumulated Other</w:t>
            </w:r>
          </w:p>
        </w:tc>
        <w:tc>
          <w:tcPr>
            <w:tcW w:w="146" w:type="dxa"/>
            <w:tcBorders/>
            <w:shd w:fill="auto" w:val="clear"/>
            <w:vAlign w:val="center"/>
          </w:tcPr>
          <w:p>
            <w:pPr>
              <w:pStyle w:val="TableContents"/>
              <w:spacing w:before="0" w:after="0"/>
              <w:ind w:left="0" w:right="0" w:hanging="0"/>
              <w:jc w:val="center"/>
              <w:rPr/>
            </w:pPr>
            <w:r>
              <w:rPr/>
              <w:t> </w:t>
            </w:r>
          </w:p>
        </w:tc>
        <w:tc>
          <w:tcPr>
            <w:tcW w:w="112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127"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313" w:type="dxa"/>
            <w:tcBorders/>
            <w:shd w:fill="auto" w:val="clear"/>
            <w:vAlign w:val="center"/>
          </w:tcPr>
          <w:p>
            <w:pPr>
              <w:pStyle w:val="TableContents"/>
              <w:spacing w:before="0" w:after="0"/>
              <w:ind w:left="0" w:right="0" w:hanging="0"/>
              <w:jc w:val="center"/>
              <w:rPr/>
            </w:pPr>
            <w:r>
              <w:rPr/>
              <w:t> </w:t>
            </w:r>
          </w:p>
        </w:tc>
      </w:tr>
      <w:tr>
        <w:trPr/>
        <w:tc>
          <w:tcPr>
            <w:tcW w:w="2618" w:type="dxa"/>
            <w:tcBorders/>
            <w:shd w:fill="auto" w:val="clear"/>
            <w:vAlign w:val="center"/>
          </w:tcPr>
          <w:p>
            <w:pPr>
              <w:pStyle w:val="TableContents"/>
              <w:spacing w:before="0" w:after="283"/>
              <w:ind w:left="0" w:right="0" w:hanging="0"/>
              <w:rPr>
                <w:sz w:val="4"/>
                <w:szCs w:val="4"/>
              </w:rPr>
            </w:pPr>
            <w:r>
              <w:rPr>
                <w:sz w:val="4"/>
                <w:szCs w:val="4"/>
              </w:rPr>
            </w:r>
          </w:p>
        </w:tc>
        <w:tc>
          <w:tcPr>
            <w:tcW w:w="2069"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Class 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3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Paid-In</w:t>
            </w:r>
          </w:p>
        </w:tc>
        <w:tc>
          <w:tcPr>
            <w:tcW w:w="166" w:type="dxa"/>
            <w:tcBorders/>
            <w:shd w:fill="auto" w:val="clear"/>
            <w:vAlign w:val="center"/>
          </w:tcPr>
          <w:p>
            <w:pPr>
              <w:pStyle w:val="TableContents"/>
              <w:spacing w:before="0" w:after="0"/>
              <w:ind w:left="0" w:right="0" w:hanging="0"/>
              <w:jc w:val="center"/>
              <w:rPr/>
            </w:pPr>
            <w:r>
              <w:rPr/>
              <w:t> </w:t>
            </w:r>
          </w:p>
        </w:tc>
        <w:tc>
          <w:tcPr>
            <w:tcW w:w="1397"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Comprehensive</w:t>
            </w:r>
          </w:p>
        </w:tc>
        <w:tc>
          <w:tcPr>
            <w:tcW w:w="146" w:type="dxa"/>
            <w:tcBorders/>
            <w:shd w:fill="auto" w:val="clear"/>
            <w:vAlign w:val="center"/>
          </w:tcPr>
          <w:p>
            <w:pPr>
              <w:pStyle w:val="TableContents"/>
              <w:spacing w:before="0" w:after="0"/>
              <w:ind w:left="0" w:right="0" w:hanging="0"/>
              <w:jc w:val="center"/>
              <w:rPr/>
            </w:pPr>
            <w:r>
              <w:rPr/>
              <w:t> </w:t>
            </w:r>
          </w:p>
        </w:tc>
        <w:tc>
          <w:tcPr>
            <w:tcW w:w="112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127"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Stockholders’</w:t>
            </w:r>
          </w:p>
        </w:tc>
        <w:tc>
          <w:tcPr>
            <w:tcW w:w="313" w:type="dxa"/>
            <w:tcBorders/>
            <w:shd w:fill="auto" w:val="clear"/>
            <w:vAlign w:val="center"/>
          </w:tcPr>
          <w:p>
            <w:pPr>
              <w:pStyle w:val="TableContents"/>
              <w:spacing w:before="0" w:after="0"/>
              <w:ind w:left="0" w:right="0" w:hanging="0"/>
              <w:jc w:val="center"/>
              <w:rPr/>
            </w:pPr>
            <w:r>
              <w:rPr/>
              <w:t> </w:t>
            </w:r>
          </w:p>
        </w:tc>
      </w:tr>
      <w:tr>
        <w:trPr/>
        <w:tc>
          <w:tcPr>
            <w:tcW w:w="2618" w:type="dxa"/>
            <w:tcBorders/>
            <w:shd w:fill="auto" w:val="clear"/>
            <w:vAlign w:val="center"/>
          </w:tcPr>
          <w:p>
            <w:pPr>
              <w:pStyle w:val="TableContents"/>
              <w:spacing w:before="0" w:after="283"/>
              <w:ind w:left="0" w:right="0" w:hanging="0"/>
              <w:rPr>
                <w:sz w:val="4"/>
                <w:szCs w:val="4"/>
              </w:rPr>
            </w:pPr>
            <w:r>
              <w:rPr>
                <w:sz w:val="4"/>
                <w:szCs w:val="4"/>
              </w:rPr>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3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December 31, 2021</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137,722,658</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359,439</w:t>
            </w:r>
          </w:p>
        </w:tc>
        <w:tc>
          <w:tcPr>
            <w:tcW w:w="166" w:type="dxa"/>
            <w:tcBorders/>
            <w:shd w:fill="auto" w:val="clear"/>
            <w:vAlign w:val="center"/>
          </w:tcPr>
          <w:p>
            <w:pPr>
              <w:pStyle w:val="TableContents"/>
              <w:spacing w:before="0" w:after="0"/>
              <w:ind w:left="0" w:right="0" w:hanging="0"/>
              <w:jc w:val="left"/>
              <w:rPr/>
            </w:pPr>
            <w:r>
              <w:rPr/>
              <w:t> </w:t>
            </w:r>
          </w:p>
        </w:tc>
        <w:tc>
          <w:tcPr>
            <w:tcW w:w="58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(145,491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213,962</w:t>
            </w:r>
          </w:p>
        </w:tc>
        <w:tc>
          <w:tcPr>
            <w:tcW w:w="313" w:type="dxa"/>
            <w:tcBorders/>
            <w:shd w:fill="auto" w:val="clear"/>
            <w:vAlign w:val="center"/>
          </w:tcPr>
          <w:p>
            <w:pPr>
              <w:pStyle w:val="TableContents"/>
              <w:spacing w:before="0" w:after="0"/>
              <w:ind w:left="0" w:right="0" w:firstLine="100"/>
              <w:jc w:val="left"/>
              <w:rPr/>
            </w:pPr>
            <w:r>
              <w:rPr/>
              <w:t> </w:t>
            </w:r>
          </w:p>
        </w:tc>
      </w:tr>
      <w:tr>
        <w:trPr/>
        <w:tc>
          <w:tcPr>
            <w:tcW w:w="2618"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10,850</w:t>
            </w:r>
          </w:p>
        </w:tc>
        <w:tc>
          <w:tcPr>
            <w:tcW w:w="166" w:type="dxa"/>
            <w:tcBorders/>
            <w:shd w:fill="auto" w:val="clear"/>
            <w:vAlign w:val="center"/>
          </w:tcPr>
          <w:p>
            <w:pPr>
              <w:pStyle w:val="TableContents"/>
              <w:spacing w:before="0" w:after="0"/>
              <w:ind w:left="0" w:right="0" w:hanging="0"/>
              <w:jc w:val="left"/>
              <w:rPr/>
            </w:pPr>
            <w:r>
              <w:rPr/>
              <w:t> </w:t>
            </w:r>
          </w:p>
        </w:tc>
        <w:tc>
          <w:tcPr>
            <w:tcW w:w="585" w:type="dxa"/>
            <w:tcBorders/>
            <w:shd w:fill="auto" w:val="clear"/>
            <w:vAlign w:val="center"/>
          </w:tcPr>
          <w:p>
            <w:pPr>
              <w:pStyle w:val="TableContents"/>
              <w:spacing w:before="0" w:after="0"/>
              <w:ind w:left="0" w:right="0" w:hanging="0"/>
              <w:jc w:val="left"/>
              <w:rPr/>
            </w:pPr>
            <w:r>
              <w:rPr/>
              <w:t> </w:t>
            </w:r>
          </w:p>
        </w:tc>
        <w:tc>
          <w:tcPr>
            <w:tcW w:w="81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87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10,850</w:t>
            </w:r>
          </w:p>
        </w:tc>
        <w:tc>
          <w:tcPr>
            <w:tcW w:w="313" w:type="dxa"/>
            <w:tcBorders/>
            <w:shd w:fill="auto" w:val="clear"/>
            <w:vAlign w:val="center"/>
          </w:tcPr>
          <w:p>
            <w:pPr>
              <w:pStyle w:val="TableContents"/>
              <w:spacing w:before="0" w:after="0"/>
              <w:ind w:left="0" w:right="0" w:firstLine="100"/>
              <w:jc w:val="left"/>
              <w:rPr/>
            </w:pPr>
            <w:r>
              <w:rPr/>
              <w:t> </w:t>
            </w:r>
          </w:p>
        </w:tc>
      </w:tr>
      <w:tr>
        <w:trPr/>
        <w:tc>
          <w:tcPr>
            <w:tcW w:w="2618"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Common stock issued upon vesting of restricted stock awards and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2,013,893</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585" w:type="dxa"/>
            <w:tcBorders/>
            <w:shd w:fill="auto" w:val="clear"/>
            <w:vAlign w:val="center"/>
          </w:tcPr>
          <w:p>
            <w:pPr>
              <w:pStyle w:val="TableContents"/>
              <w:spacing w:before="0" w:after="0"/>
              <w:ind w:left="0" w:right="0" w:hanging="0"/>
              <w:jc w:val="left"/>
              <w:rPr/>
            </w:pPr>
            <w:r>
              <w:rPr/>
              <w:t> </w:t>
            </w:r>
          </w:p>
        </w:tc>
        <w:tc>
          <w:tcPr>
            <w:tcW w:w="81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879" w:type="dxa"/>
            <w:tcBorders/>
            <w:shd w:fill="auto" w:val="clear"/>
            <w:vAlign w:val="center"/>
          </w:tcPr>
          <w:p>
            <w:pPr>
              <w:pStyle w:val="TableContents"/>
              <w:spacing w:before="0" w:after="0"/>
              <w:ind w:left="0" w:right="0" w:hanging="0"/>
              <w:jc w:val="right"/>
              <w:rPr/>
            </w:pPr>
            <w:r>
              <w:rPr/>
              <w:t>—</w:t>
            </w:r>
          </w:p>
        </w:tc>
        <w:tc>
          <w:tcPr>
            <w:tcW w:w="313" w:type="dxa"/>
            <w:tcBorders/>
            <w:shd w:fill="auto" w:val="clear"/>
            <w:vAlign w:val="center"/>
          </w:tcPr>
          <w:p>
            <w:pPr>
              <w:pStyle w:val="TableContents"/>
              <w:spacing w:before="0" w:after="0"/>
              <w:ind w:left="0" w:right="0" w:firstLine="100"/>
              <w:jc w:val="left"/>
              <w:rPr/>
            </w:pPr>
            <w:r>
              <w:rPr/>
              <w:t> </w:t>
            </w:r>
          </w:p>
        </w:tc>
      </w:tr>
      <w:tr>
        <w:trPr/>
        <w:tc>
          <w:tcPr>
            <w:tcW w:w="2618"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Shares repurchased for payment of tax withholdings and other</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(793,888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85" w:type="dxa"/>
            <w:tcBorders/>
            <w:shd w:fill="auto" w:val="clear"/>
            <w:vAlign w:val="center"/>
          </w:tcPr>
          <w:p>
            <w:pPr>
              <w:pStyle w:val="TableContents"/>
              <w:spacing w:before="0" w:after="0"/>
              <w:ind w:left="0" w:right="0" w:hanging="0"/>
              <w:jc w:val="left"/>
              <w:rPr/>
            </w:pPr>
            <w:r>
              <w:rPr/>
              <w:t> </w:t>
            </w:r>
          </w:p>
        </w:tc>
        <w:tc>
          <w:tcPr>
            <w:tcW w:w="81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87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(5,250</w:t>
            </w:r>
          </w:p>
        </w:tc>
        <w:tc>
          <w:tcPr>
            <w:tcW w:w="313" w:type="dxa"/>
            <w:tcBorders/>
            <w:shd w:fill="auto" w:val="clear"/>
            <w:vAlign w:val="center"/>
          </w:tcPr>
          <w:p>
            <w:pPr>
              <w:pStyle w:val="TableContents"/>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2618"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83,582</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65</w:t>
            </w:r>
          </w:p>
        </w:tc>
        <w:tc>
          <w:tcPr>
            <w:tcW w:w="166" w:type="dxa"/>
            <w:tcBorders/>
            <w:shd w:fill="auto" w:val="clear"/>
            <w:vAlign w:val="center"/>
          </w:tcPr>
          <w:p>
            <w:pPr>
              <w:pStyle w:val="TableContents"/>
              <w:spacing w:before="0" w:after="0"/>
              <w:ind w:left="0" w:right="0" w:hanging="0"/>
              <w:jc w:val="left"/>
              <w:rPr/>
            </w:pPr>
            <w:r>
              <w:rPr/>
              <w:t> </w:t>
            </w:r>
          </w:p>
        </w:tc>
        <w:tc>
          <w:tcPr>
            <w:tcW w:w="585" w:type="dxa"/>
            <w:tcBorders/>
            <w:shd w:fill="auto" w:val="clear"/>
            <w:vAlign w:val="center"/>
          </w:tcPr>
          <w:p>
            <w:pPr>
              <w:pStyle w:val="TableContents"/>
              <w:spacing w:before="0" w:after="0"/>
              <w:ind w:left="0" w:right="0" w:hanging="0"/>
              <w:jc w:val="left"/>
              <w:rPr/>
            </w:pPr>
            <w:r>
              <w:rPr/>
              <w:t> </w:t>
            </w:r>
          </w:p>
        </w:tc>
        <w:tc>
          <w:tcPr>
            <w:tcW w:w="81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87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65</w:t>
            </w:r>
          </w:p>
        </w:tc>
        <w:tc>
          <w:tcPr>
            <w:tcW w:w="313" w:type="dxa"/>
            <w:tcBorders/>
            <w:shd w:fill="auto" w:val="clear"/>
            <w:vAlign w:val="center"/>
          </w:tcPr>
          <w:p>
            <w:pPr>
              <w:pStyle w:val="TableContents"/>
              <w:spacing w:before="0" w:after="0"/>
              <w:ind w:left="0" w:right="0" w:firstLine="100"/>
              <w:jc w:val="left"/>
              <w:rPr/>
            </w:pPr>
            <w:r>
              <w:rPr/>
              <w:t> </w:t>
            </w:r>
          </w:p>
        </w:tc>
      </w:tr>
      <w:tr>
        <w:trPr/>
        <w:tc>
          <w:tcPr>
            <w:tcW w:w="2618"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(19,202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(19,202</w:t>
            </w:r>
          </w:p>
        </w:tc>
        <w:tc>
          <w:tcPr>
            <w:tcW w:w="3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61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March 31, 2022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139,026,245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365,104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(164,693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200,425</w:t>
            </w:r>
          </w:p>
        </w:tc>
        <w:tc>
          <w:tcPr>
            <w:tcW w:w="3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2641"/>
        <w:gridCol w:w="146"/>
        <w:gridCol w:w="1006"/>
        <w:gridCol w:w="166"/>
        <w:gridCol w:w="271"/>
        <w:gridCol w:w="480"/>
        <w:gridCol w:w="146"/>
        <w:gridCol w:w="205"/>
        <w:gridCol w:w="726"/>
        <w:gridCol w:w="146"/>
        <w:gridCol w:w="585"/>
        <w:gridCol w:w="810"/>
        <w:gridCol w:w="166"/>
        <w:gridCol w:w="233"/>
        <w:gridCol w:w="893"/>
        <w:gridCol w:w="166"/>
        <w:gridCol w:w="248"/>
        <w:gridCol w:w="879"/>
        <w:gridCol w:w="292"/>
      </w:tblGrid>
      <w:tr>
        <w:trPr/>
        <w:tc>
          <w:tcPr>
            <w:tcW w:w="26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r>
      <w:tr>
        <w:trPr/>
        <w:tc>
          <w:tcPr>
            <w:tcW w:w="2641"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95"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12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127" w:type="dxa"/>
            <w:gridSpan w:val="2"/>
            <w:tcBorders/>
            <w:shd w:fill="auto" w:val="clear"/>
            <w:vAlign w:val="center"/>
          </w:tcPr>
          <w:p>
            <w:pPr>
              <w:pStyle w:val="TableContents"/>
              <w:spacing w:before="0" w:after="0"/>
              <w:ind w:left="0" w:right="0" w:hanging="0"/>
              <w:jc w:val="right"/>
              <w:rPr/>
            </w:pPr>
            <w:r>
              <w:rPr/>
              <w:t> </w:t>
            </w:r>
          </w:p>
        </w:tc>
        <w:tc>
          <w:tcPr>
            <w:tcW w:w="292" w:type="dxa"/>
            <w:tcBorders/>
            <w:shd w:fill="auto" w:val="clear"/>
            <w:vAlign w:val="center"/>
          </w:tcPr>
          <w:p>
            <w:pPr>
              <w:pStyle w:val="TableContents"/>
              <w:spacing w:before="0" w:after="0"/>
              <w:ind w:left="0" w:right="0" w:hanging="0"/>
              <w:jc w:val="right"/>
              <w:rPr/>
            </w:pPr>
            <w:r>
              <w:rPr/>
              <w:t> </w:t>
            </w:r>
          </w:p>
        </w:tc>
      </w:tr>
      <w:tr>
        <w:trPr/>
        <w:tc>
          <w:tcPr>
            <w:tcW w:w="2641" w:type="dxa"/>
            <w:tcBorders/>
            <w:shd w:fill="auto" w:val="clear"/>
            <w:vAlign w:val="center"/>
          </w:tcPr>
          <w:p>
            <w:pPr>
              <w:pStyle w:val="TableContents"/>
              <w:spacing w:before="0" w:after="283"/>
              <w:ind w:left="0" w:right="0" w:hanging="0"/>
              <w:rPr>
                <w:sz w:val="4"/>
                <w:szCs w:val="4"/>
              </w:rPr>
            </w:pPr>
            <w:r>
              <w:rPr>
                <w:sz w:val="4"/>
                <w:szCs w:val="4"/>
              </w:rPr>
            </w:r>
          </w:p>
        </w:tc>
        <w:tc>
          <w:tcPr>
            <w:tcW w:w="2069"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3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Additional</w:t>
            </w:r>
          </w:p>
        </w:tc>
        <w:tc>
          <w:tcPr>
            <w:tcW w:w="146" w:type="dxa"/>
            <w:tcBorders/>
            <w:shd w:fill="auto" w:val="clear"/>
            <w:vAlign w:val="center"/>
          </w:tcPr>
          <w:p>
            <w:pPr>
              <w:pStyle w:val="TableContents"/>
              <w:spacing w:before="0" w:after="0"/>
              <w:ind w:left="0" w:right="0" w:hanging="0"/>
              <w:jc w:val="center"/>
              <w:rPr/>
            </w:pPr>
            <w:r>
              <w:rPr/>
              <w:t> </w:t>
            </w:r>
          </w:p>
        </w:tc>
        <w:tc>
          <w:tcPr>
            <w:tcW w:w="1395"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Accumulated Other</w:t>
            </w:r>
          </w:p>
        </w:tc>
        <w:tc>
          <w:tcPr>
            <w:tcW w:w="166" w:type="dxa"/>
            <w:tcBorders/>
            <w:shd w:fill="auto" w:val="clear"/>
            <w:vAlign w:val="center"/>
          </w:tcPr>
          <w:p>
            <w:pPr>
              <w:pStyle w:val="TableContents"/>
              <w:spacing w:before="0" w:after="0"/>
              <w:ind w:left="0" w:right="0" w:hanging="0"/>
              <w:jc w:val="center"/>
              <w:rPr/>
            </w:pPr>
            <w:r>
              <w:rPr/>
              <w:t> </w:t>
            </w:r>
          </w:p>
        </w:tc>
        <w:tc>
          <w:tcPr>
            <w:tcW w:w="112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127"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292" w:type="dxa"/>
            <w:tcBorders/>
            <w:shd w:fill="auto" w:val="cle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283"/>
              <w:ind w:left="0" w:right="0" w:hanging="0"/>
              <w:rPr>
                <w:sz w:val="4"/>
                <w:szCs w:val="4"/>
              </w:rPr>
            </w:pPr>
            <w:r>
              <w:rPr>
                <w:sz w:val="4"/>
                <w:szCs w:val="4"/>
              </w:rPr>
            </w:r>
          </w:p>
        </w:tc>
        <w:tc>
          <w:tcPr>
            <w:tcW w:w="2069"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Class 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3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Paid-In</w:t>
            </w:r>
          </w:p>
        </w:tc>
        <w:tc>
          <w:tcPr>
            <w:tcW w:w="146" w:type="dxa"/>
            <w:tcBorders/>
            <w:shd w:fill="auto" w:val="clear"/>
            <w:vAlign w:val="center"/>
          </w:tcPr>
          <w:p>
            <w:pPr>
              <w:pStyle w:val="TableContents"/>
              <w:spacing w:before="0" w:after="0"/>
              <w:ind w:left="0" w:right="0" w:hanging="0"/>
              <w:jc w:val="center"/>
              <w:rPr/>
            </w:pPr>
            <w:r>
              <w:rPr/>
              <w:t> </w:t>
            </w:r>
          </w:p>
        </w:tc>
        <w:tc>
          <w:tcPr>
            <w:tcW w:w="1395"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Comprehensive</w:t>
            </w:r>
          </w:p>
        </w:tc>
        <w:tc>
          <w:tcPr>
            <w:tcW w:w="166" w:type="dxa"/>
            <w:tcBorders/>
            <w:shd w:fill="auto" w:val="clear"/>
            <w:vAlign w:val="center"/>
          </w:tcPr>
          <w:p>
            <w:pPr>
              <w:pStyle w:val="TableContents"/>
              <w:spacing w:before="0" w:after="0"/>
              <w:ind w:left="0" w:right="0" w:hanging="0"/>
              <w:jc w:val="center"/>
              <w:rPr/>
            </w:pPr>
            <w:r>
              <w:rPr/>
              <w:t> </w:t>
            </w:r>
          </w:p>
        </w:tc>
        <w:tc>
          <w:tcPr>
            <w:tcW w:w="112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127"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Stockholders’</w:t>
            </w:r>
          </w:p>
        </w:tc>
        <w:tc>
          <w:tcPr>
            <w:tcW w:w="292" w:type="dxa"/>
            <w:tcBorders/>
            <w:shd w:fill="auto" w:val="cle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283"/>
              <w:ind w:left="0" w:right="0" w:hanging="0"/>
              <w:rPr>
                <w:sz w:val="4"/>
                <w:szCs w:val="4"/>
              </w:rPr>
            </w:pPr>
            <w:r>
              <w:rPr>
                <w:sz w:val="4"/>
                <w:szCs w:val="4"/>
              </w:rPr>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(Loss) Income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2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154,252,704</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447,073</w:t>
            </w:r>
          </w:p>
        </w:tc>
        <w:tc>
          <w:tcPr>
            <w:tcW w:w="146" w:type="dxa"/>
            <w:tcBorders/>
            <w:shd w:fill="auto" w:val="clear"/>
            <w:vAlign w:val="center"/>
          </w:tcPr>
          <w:p>
            <w:pPr>
              <w:pStyle w:val="TableContents"/>
              <w:spacing w:before="0" w:after="0"/>
              <w:ind w:left="0" w:right="0" w:hanging="0"/>
              <w:jc w:val="left"/>
              <w:rPr/>
            </w:pPr>
            <w:r>
              <w:rPr/>
              <w:t> </w:t>
            </w:r>
          </w:p>
        </w:tc>
        <w:tc>
          <w:tcPr>
            <w:tcW w:w="58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(302,621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144,450</w:t>
            </w:r>
          </w:p>
        </w:tc>
        <w:tc>
          <w:tcPr>
            <w:tcW w:w="292" w:type="dxa"/>
            <w:tcBorders/>
            <w:shd w:fill="auto" w:val="clear"/>
            <w:vAlign w:val="center"/>
          </w:tcPr>
          <w:p>
            <w:pPr>
              <w:pStyle w:val="TableContents"/>
              <w:spacing w:before="0" w:after="0"/>
              <w:ind w:left="0" w:right="0" w:firstLine="100"/>
              <w:jc w:val="left"/>
              <w:rPr/>
            </w:pPr>
            <w:r>
              <w:rPr/>
              <w:t> </w:t>
            </w:r>
          </w:p>
        </w:tc>
      </w:tr>
      <w:tr>
        <w:trPr/>
        <w:tc>
          <w:tcPr>
            <w:tcW w:w="2641"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2,664</w:t>
            </w:r>
          </w:p>
        </w:tc>
        <w:tc>
          <w:tcPr>
            <w:tcW w:w="146" w:type="dxa"/>
            <w:tcBorders/>
            <w:shd w:fill="auto" w:val="clear"/>
            <w:vAlign w:val="center"/>
          </w:tcPr>
          <w:p>
            <w:pPr>
              <w:pStyle w:val="TableContents"/>
              <w:spacing w:before="0" w:after="0"/>
              <w:ind w:left="0" w:right="0" w:hanging="0"/>
              <w:jc w:val="left"/>
              <w:rPr/>
            </w:pPr>
            <w:r>
              <w:rPr/>
              <w:t> </w:t>
            </w:r>
          </w:p>
        </w:tc>
        <w:tc>
          <w:tcPr>
            <w:tcW w:w="585" w:type="dxa"/>
            <w:tcBorders/>
            <w:shd w:fill="auto" w:val="clear"/>
            <w:vAlign w:val="center"/>
          </w:tcPr>
          <w:p>
            <w:pPr>
              <w:pStyle w:val="TableContents"/>
              <w:spacing w:before="0" w:after="0"/>
              <w:ind w:left="0" w:right="0" w:hanging="0"/>
              <w:jc w:val="left"/>
              <w:rPr/>
            </w:pPr>
            <w:r>
              <w:rPr/>
              <w:t> </w:t>
            </w:r>
          </w:p>
        </w:tc>
        <w:tc>
          <w:tcPr>
            <w:tcW w:w="81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87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2,664</w:t>
            </w:r>
          </w:p>
        </w:tc>
        <w:tc>
          <w:tcPr>
            <w:tcW w:w="292" w:type="dxa"/>
            <w:tcBorders/>
            <w:shd w:fill="auto" w:val="clear"/>
            <w:vAlign w:val="center"/>
          </w:tcPr>
          <w:p>
            <w:pPr>
              <w:pStyle w:val="TableContents"/>
              <w:spacing w:before="0" w:after="0"/>
              <w:ind w:left="0" w:right="0" w:firstLine="100"/>
              <w:jc w:val="left"/>
              <w:rPr/>
            </w:pPr>
            <w:r>
              <w:rPr/>
              <w:t> </w:t>
            </w:r>
          </w:p>
        </w:tc>
      </w:tr>
      <w:tr>
        <w:trPr/>
        <w:tc>
          <w:tcPr>
            <w:tcW w:w="2641"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Common stock issued upon vesting of restricted stock awards and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43,183</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85" w:type="dxa"/>
            <w:tcBorders/>
            <w:shd w:fill="auto" w:val="clear"/>
            <w:vAlign w:val="center"/>
          </w:tcPr>
          <w:p>
            <w:pPr>
              <w:pStyle w:val="TableContents"/>
              <w:spacing w:before="0" w:after="0"/>
              <w:ind w:left="0" w:right="0" w:hanging="0"/>
              <w:jc w:val="left"/>
              <w:rPr/>
            </w:pPr>
            <w:r>
              <w:rPr/>
              <w:t> </w:t>
            </w:r>
          </w:p>
        </w:tc>
        <w:tc>
          <w:tcPr>
            <w:tcW w:w="81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879" w:type="dxa"/>
            <w:tcBorders/>
            <w:shd w:fill="auto" w:val="clear"/>
            <w:vAlign w:val="center"/>
          </w:tcPr>
          <w:p>
            <w:pPr>
              <w:pStyle w:val="TableContents"/>
              <w:spacing w:before="0" w:after="0"/>
              <w:ind w:left="0" w:right="0" w:hanging="0"/>
              <w:jc w:val="right"/>
              <w:rPr/>
            </w:pPr>
            <w:r>
              <w:rPr/>
              <w:t>—</w:t>
            </w:r>
          </w:p>
        </w:tc>
        <w:tc>
          <w:tcPr>
            <w:tcW w:w="292" w:type="dxa"/>
            <w:tcBorders/>
            <w:shd w:fill="auto" w:val="clear"/>
            <w:vAlign w:val="center"/>
          </w:tcPr>
          <w:p>
            <w:pPr>
              <w:pStyle w:val="TableContents"/>
              <w:spacing w:before="0" w:after="0"/>
              <w:ind w:left="0" w:right="0" w:firstLine="100"/>
              <w:jc w:val="left"/>
              <w:rPr/>
            </w:pPr>
            <w:r>
              <w:rPr/>
              <w:t> </w:t>
            </w:r>
          </w:p>
        </w:tc>
      </w:tr>
      <w:tr>
        <w:trPr/>
        <w:tc>
          <w:tcPr>
            <w:tcW w:w="2641"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Shares repurchased for payment of tax withholdings and other</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(13,006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146" w:type="dxa"/>
            <w:tcBorders/>
            <w:shd w:fill="auto" w:val="clear"/>
            <w:vAlign w:val="center"/>
          </w:tcPr>
          <w:p>
            <w:pPr>
              <w:pStyle w:val="TableContents"/>
              <w:spacing w:before="0" w:after="0"/>
              <w:ind w:left="0" w:right="0" w:hanging="0"/>
              <w:jc w:val="left"/>
              <w:rPr/>
            </w:pPr>
            <w:r>
              <w:rPr/>
              <w:t> </w:t>
            </w:r>
          </w:p>
        </w:tc>
        <w:tc>
          <w:tcPr>
            <w:tcW w:w="585" w:type="dxa"/>
            <w:tcBorders/>
            <w:shd w:fill="auto" w:val="clear"/>
            <w:vAlign w:val="center"/>
          </w:tcPr>
          <w:p>
            <w:pPr>
              <w:pStyle w:val="TableContents"/>
              <w:spacing w:before="0" w:after="0"/>
              <w:ind w:left="0" w:right="0" w:hanging="0"/>
              <w:jc w:val="left"/>
              <w:rPr/>
            </w:pPr>
            <w:r>
              <w:rPr/>
              <w:t> </w:t>
            </w:r>
          </w:p>
        </w:tc>
        <w:tc>
          <w:tcPr>
            <w:tcW w:w="81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87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292" w:type="dxa"/>
            <w:tcBorders/>
            <w:shd w:fill="auto" w:val="clear"/>
            <w:vAlign w:val="center"/>
          </w:tcPr>
          <w:p>
            <w:pPr>
              <w:pStyle w:val="TableContents"/>
              <w:spacing w:before="0" w:after="0"/>
              <w:ind w:left="0" w:right="0" w:firstLine="100"/>
              <w:jc w:val="left"/>
              <w:rPr/>
            </w:pPr>
            <w:r>
              <w:rPr/>
              <w:t> </w:t>
            </w:r>
          </w:p>
        </w:tc>
      </w:tr>
      <w:tr>
        <w:trPr/>
        <w:tc>
          <w:tcPr>
            <w:tcW w:w="2641"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Other comprehensive gain</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85" w:type="dxa"/>
            <w:tcBorders/>
            <w:shd w:fill="auto" w:val="clear"/>
            <w:vAlign w:val="center"/>
          </w:tcPr>
          <w:p>
            <w:pPr>
              <w:pStyle w:val="TableContents"/>
              <w:spacing w:before="0" w:after="0"/>
              <w:ind w:left="0" w:right="0" w:hanging="0"/>
              <w:jc w:val="left"/>
              <w:rPr/>
            </w:pPr>
            <w:r>
              <w:rPr/>
              <w:t> </w:t>
            </w:r>
          </w:p>
        </w:tc>
        <w:tc>
          <w:tcPr>
            <w:tcW w:w="81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59</w:t>
            </w:r>
          </w:p>
        </w:tc>
        <w:tc>
          <w:tcPr>
            <w:tcW w:w="16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87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59</w:t>
            </w:r>
          </w:p>
        </w:tc>
        <w:tc>
          <w:tcPr>
            <w:tcW w:w="292" w:type="dxa"/>
            <w:tcBorders/>
            <w:shd w:fill="auto" w:val="clear"/>
            <w:vAlign w:val="center"/>
          </w:tcPr>
          <w:p>
            <w:pPr>
              <w:pStyle w:val="TableContents"/>
              <w:spacing w:before="0" w:after="0"/>
              <w:ind w:left="0" w:right="0" w:firstLine="100"/>
              <w:jc w:val="left"/>
              <w:rPr/>
            </w:pPr>
            <w:r>
              <w:rPr/>
              <w:t> </w:t>
            </w:r>
          </w:p>
        </w:tc>
      </w:tr>
      <w:tr>
        <w:trPr/>
        <w:tc>
          <w:tcPr>
            <w:tcW w:w="2641" w:type="dxa"/>
            <w:tcBorders/>
            <w:shd w:fill="auto" w:val="clear"/>
            <w:vAlign w:val="center"/>
          </w:tcPr>
          <w:p>
            <w:pPr>
              <w:pStyle w:val="TableContents"/>
              <w:spacing w:before="0" w:after="0"/>
              <w:ind w:left="10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(21,476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(21,476</w:t>
            </w:r>
          </w:p>
        </w:tc>
        <w:tc>
          <w:tcPr>
            <w:tcW w:w="2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March 31, 2023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154,282,881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449,772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(324,097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125,732</w:t>
            </w:r>
          </w:p>
        </w:tc>
        <w:tc>
          <w:tcPr>
            <w:tcW w:w="2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accompanying notes to the condensed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SARCOS TECHNOLOGY AND ROBOTICS CORPORATION</w:t>
      </w:r>
    </w:p>
    <w:p>
      <w:pPr>
        <w:pStyle w:val="TextBody"/>
        <w:spacing w:before="0" w:after="0"/>
        <w:jc w:val="center"/>
        <w:rPr>
          <w:rFonts w:ascii="Times New Roman;serif" w:hAnsi="Times New Roman;serif"/>
          <w:b/>
          <w:sz w:val="18"/>
        </w:rPr>
      </w:pPr>
      <w:bookmarkStart w:id="7" w:name="consolidated_statements_of_cash_flows"/>
      <w:bookmarkEnd w:id="7"/>
      <w:r>
        <w:rPr>
          <w:rFonts w:ascii="Times New Roman;serif" w:hAnsi="Times New Roman;serif"/>
          <w:b/>
          <w:sz w:val="18"/>
        </w:rPr>
        <w:t>CONDENSED CONSOLIDATED STATEMENTS OF CASH FLOWS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(in thousands)</w:t>
      </w:r>
    </w:p>
    <w:p>
      <w:pPr>
        <w:pStyle w:val="TextBody"/>
        <w:spacing w:before="0" w:after="0"/>
        <w:jc w:val="left"/>
        <w:rPr/>
      </w:pPr>
      <w:r>
        <w:rPr/>
        <w:t> </w:t>
      </w:r>
    </w:p>
    <w:tbl>
      <w:tblPr>
        <w:tblW w:w="8942" w:type="dxa"/>
        <w:jc w:val="left"/>
        <w:tblInd w:w="0" w:type="dxa"/>
        <w:tblCellMar>
          <w:top w:w="28" w:type="dxa"/>
          <w:left w:w="28" w:type="dxa"/>
          <w:bottom w:w="28" w:type="dxa"/>
          <w:right w:w="28" w:type="dxa"/>
        </w:tblCellMar>
      </w:tblPr>
      <w:tblGrid>
        <w:gridCol w:w="5806"/>
        <w:gridCol w:w="146"/>
        <w:gridCol w:w="246"/>
        <w:gridCol w:w="829"/>
        <w:gridCol w:w="208"/>
        <w:gridCol w:w="183"/>
        <w:gridCol w:w="246"/>
        <w:gridCol w:w="867"/>
        <w:gridCol w:w="411"/>
      </w:tblGrid>
      <w:tr>
        <w:trPr/>
        <w:tc>
          <w:tcPr>
            <w:tcW w:w="58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58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257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10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3" w:type="dxa"/>
            <w:tcBorders/>
            <w:shd w:fill="auto" w:val="clear"/>
            <w:vAlign w:val="center"/>
          </w:tcPr>
          <w:p>
            <w:pPr>
              <w:pStyle w:val="TableContents"/>
              <w:spacing w:before="0" w:after="0"/>
              <w:ind w:left="0" w:right="0" w:hanging="0"/>
              <w:jc w:val="center"/>
              <w:rPr/>
            </w:pPr>
            <w:r>
              <w:rPr/>
              <w:t> </w:t>
            </w:r>
          </w:p>
        </w:tc>
        <w:tc>
          <w:tcPr>
            <w:tcW w:w="11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75" w:type="dxa"/>
            <w:gridSpan w:val="2"/>
            <w:tcBorders/>
            <w:shd w:fill="auto" w:val="clear"/>
            <w:vAlign w:val="center"/>
          </w:tcPr>
          <w:p>
            <w:pPr>
              <w:pStyle w:val="TableContents"/>
              <w:spacing w:before="0" w:after="0"/>
              <w:ind w:left="0" w:right="0" w:hanging="0"/>
              <w:jc w:val="right"/>
              <w:rPr/>
            </w:pPr>
            <w:r>
              <w:rPr/>
              <w:t> </w:t>
            </w:r>
          </w:p>
        </w:tc>
        <w:tc>
          <w:tcPr>
            <w:tcW w:w="208" w:type="dxa"/>
            <w:tcBorders/>
            <w:shd w:fill="auto" w:val="clear"/>
            <w:vAlign w:val="center"/>
          </w:tcPr>
          <w:p>
            <w:pPr>
              <w:pStyle w:val="TableContents"/>
              <w:spacing w:before="0" w:after="0"/>
              <w:ind w:left="0" w:right="0" w:hanging="0"/>
              <w:jc w:val="righ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113"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(21,476</w:t>
            </w:r>
          </w:p>
        </w:tc>
        <w:tc>
          <w:tcPr>
            <w:tcW w:w="20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(19,202</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Adjustments to reconcile net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75" w:type="dxa"/>
            <w:gridSpan w:val="2"/>
            <w:tcBorders/>
            <w:shd w:fill="auto" w:val="clear"/>
            <w:vAlign w:val="center"/>
          </w:tcPr>
          <w:p>
            <w:pPr>
              <w:pStyle w:val="TableContents"/>
              <w:spacing w:before="0" w:after="0"/>
              <w:ind w:left="0" w:right="0" w:hanging="0"/>
              <w:jc w:val="right"/>
              <w:rPr/>
            </w:pPr>
            <w:r>
              <w:rPr/>
              <w:t> </w:t>
            </w:r>
          </w:p>
        </w:tc>
        <w:tc>
          <w:tcPr>
            <w:tcW w:w="208" w:type="dxa"/>
            <w:tcBorders/>
            <w:shd w:fill="auto" w:val="clear"/>
            <w:vAlign w:val="center"/>
          </w:tcPr>
          <w:p>
            <w:pPr>
              <w:pStyle w:val="TableContents"/>
              <w:spacing w:before="0" w:after="0"/>
              <w:ind w:left="0" w:right="0" w:hanging="0"/>
              <w:jc w:val="righ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113"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580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2,664</w:t>
            </w:r>
          </w:p>
        </w:tc>
        <w:tc>
          <w:tcPr>
            <w:tcW w:w="208"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10,850</w:t>
            </w:r>
          </w:p>
        </w:tc>
        <w:tc>
          <w:tcPr>
            <w:tcW w:w="411" w:type="dxa"/>
            <w:tcBorders/>
            <w:shd w:fill="auto" w:val="clear"/>
            <w:vAlign w:val="center"/>
          </w:tcPr>
          <w:p>
            <w:pPr>
              <w:pStyle w:val="TableContents"/>
              <w:spacing w:before="0" w:after="0"/>
              <w:ind w:left="0" w:right="0" w:firstLine="200"/>
              <w:jc w:val="left"/>
              <w:rPr/>
            </w:pPr>
            <w:r>
              <w:rPr/>
              <w:t> </w:t>
            </w:r>
          </w:p>
        </w:tc>
      </w:tr>
      <w:tr>
        <w:trPr/>
        <w:tc>
          <w:tcPr>
            <w:tcW w:w="580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Depreciation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425</w:t>
            </w:r>
          </w:p>
        </w:tc>
        <w:tc>
          <w:tcPr>
            <w:tcW w:w="208"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268</w:t>
            </w:r>
          </w:p>
        </w:tc>
        <w:tc>
          <w:tcPr>
            <w:tcW w:w="411" w:type="dxa"/>
            <w:tcBorders/>
            <w:shd w:fill="auto" w:val="clear"/>
            <w:vAlign w:val="center"/>
          </w:tcPr>
          <w:p>
            <w:pPr>
              <w:pStyle w:val="TableContents"/>
              <w:spacing w:before="0" w:after="0"/>
              <w:ind w:left="0" w:right="0" w:firstLine="200"/>
              <w:jc w:val="left"/>
              <w:rPr/>
            </w:pPr>
            <w:r>
              <w:rPr/>
              <w:t> </w:t>
            </w:r>
          </w:p>
        </w:tc>
      </w:tr>
      <w:tr>
        <w:trPr/>
        <w:tc>
          <w:tcPr>
            <w:tcW w:w="580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Amortization of intangible assets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819</w:t>
            </w:r>
          </w:p>
        </w:tc>
        <w:tc>
          <w:tcPr>
            <w:tcW w:w="208"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580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Change in fair value of warrant liability</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436</w:t>
            </w:r>
          </w:p>
        </w:tc>
        <w:tc>
          <w:tcPr>
            <w:tcW w:w="208"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(6,414</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80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Amortization of investment discount</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(694</w:t>
            </w:r>
          </w:p>
        </w:tc>
        <w:tc>
          <w:tcPr>
            <w:tcW w:w="20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hanging="0"/>
              <w:jc w:val="left"/>
              <w:rPr/>
            </w:pPr>
            <w:r>
              <w:rPr/>
              <w:t> </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075" w:type="dxa"/>
            <w:gridSpan w:val="2"/>
            <w:tcBorders/>
            <w:shd w:fill="auto" w:val="clear"/>
            <w:vAlign w:val="center"/>
          </w:tcPr>
          <w:p>
            <w:pPr>
              <w:pStyle w:val="TableContents"/>
              <w:spacing w:before="0" w:after="0"/>
              <w:ind w:left="0" w:right="0" w:hanging="0"/>
              <w:jc w:val="right"/>
              <w:rPr/>
            </w:pPr>
            <w:r>
              <w:rPr/>
              <w:t> </w:t>
            </w:r>
          </w:p>
        </w:tc>
        <w:tc>
          <w:tcPr>
            <w:tcW w:w="208" w:type="dxa"/>
            <w:tcBorders/>
            <w:shd w:fill="auto" w:val="clear"/>
            <w:vAlign w:val="center"/>
          </w:tcPr>
          <w:p>
            <w:pPr>
              <w:pStyle w:val="TableContents"/>
              <w:spacing w:before="0" w:after="0"/>
              <w:ind w:left="0" w:right="0" w:hanging="0"/>
              <w:jc w:val="righ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113"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580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(448</w:t>
            </w:r>
          </w:p>
        </w:tc>
        <w:tc>
          <w:tcPr>
            <w:tcW w:w="20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80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Unbilled receivable</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1,840</w:t>
            </w:r>
          </w:p>
        </w:tc>
        <w:tc>
          <w:tcPr>
            <w:tcW w:w="208"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w:t>
            </w:r>
          </w:p>
        </w:tc>
        <w:tc>
          <w:tcPr>
            <w:tcW w:w="411" w:type="dxa"/>
            <w:tcBorders/>
            <w:shd w:fill="auto" w:val="clear"/>
            <w:vAlign w:val="center"/>
          </w:tcPr>
          <w:p>
            <w:pPr>
              <w:pStyle w:val="TableContents"/>
              <w:spacing w:before="0" w:after="0"/>
              <w:ind w:left="0" w:right="0" w:firstLine="200"/>
              <w:jc w:val="left"/>
              <w:rPr/>
            </w:pPr>
            <w:r>
              <w:rPr/>
              <w:t> </w:t>
            </w:r>
          </w:p>
        </w:tc>
      </w:tr>
      <w:tr>
        <w:trPr/>
        <w:tc>
          <w:tcPr>
            <w:tcW w:w="580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Inventories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(2,496</w:t>
            </w:r>
          </w:p>
        </w:tc>
        <w:tc>
          <w:tcPr>
            <w:tcW w:w="20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411" w:type="dxa"/>
            <w:tcBorders/>
            <w:shd w:fill="auto" w:val="clear"/>
            <w:vAlign w:val="center"/>
          </w:tcPr>
          <w:p>
            <w:pPr>
              <w:pStyle w:val="TableContents"/>
              <w:spacing w:before="0" w:after="0"/>
              <w:ind w:left="0" w:right="0" w:firstLine="200"/>
              <w:jc w:val="left"/>
              <w:rPr/>
            </w:pPr>
            <w:r>
              <w:rPr/>
              <w:t> </w:t>
            </w:r>
          </w:p>
        </w:tc>
      </w:tr>
      <w:tr>
        <w:trPr/>
        <w:tc>
          <w:tcPr>
            <w:tcW w:w="580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w:t>
            </w:r>
          </w:p>
        </w:tc>
        <w:tc>
          <w:tcPr>
            <w:tcW w:w="20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2,233</w:t>
            </w:r>
          </w:p>
        </w:tc>
        <w:tc>
          <w:tcPr>
            <w:tcW w:w="411" w:type="dxa"/>
            <w:tcBorders/>
            <w:shd w:fill="auto" w:val="clear"/>
            <w:vAlign w:val="center"/>
          </w:tcPr>
          <w:p>
            <w:pPr>
              <w:pStyle w:val="TableContents"/>
              <w:spacing w:before="0" w:after="0"/>
              <w:ind w:left="0" w:right="0" w:firstLine="200"/>
              <w:jc w:val="left"/>
              <w:rPr/>
            </w:pPr>
            <w:r>
              <w:rPr/>
              <w:t> </w:t>
            </w:r>
          </w:p>
        </w:tc>
      </w:tr>
      <w:tr>
        <w:trPr/>
        <w:tc>
          <w:tcPr>
            <w:tcW w:w="580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300</w:t>
            </w:r>
          </w:p>
        </w:tc>
        <w:tc>
          <w:tcPr>
            <w:tcW w:w="208"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143</w:t>
            </w:r>
          </w:p>
        </w:tc>
        <w:tc>
          <w:tcPr>
            <w:tcW w:w="411" w:type="dxa"/>
            <w:tcBorders/>
            <w:shd w:fill="auto" w:val="clear"/>
            <w:vAlign w:val="center"/>
          </w:tcPr>
          <w:p>
            <w:pPr>
              <w:pStyle w:val="TableContents"/>
              <w:spacing w:before="0" w:after="0"/>
              <w:ind w:left="0" w:right="0" w:firstLine="200"/>
              <w:jc w:val="left"/>
              <w:rPr/>
            </w:pPr>
            <w:r>
              <w:rPr/>
              <w:t> </w:t>
            </w:r>
          </w:p>
        </w:tc>
      </w:tr>
      <w:tr>
        <w:trPr/>
        <w:tc>
          <w:tcPr>
            <w:tcW w:w="580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(986</w:t>
            </w:r>
          </w:p>
        </w:tc>
        <w:tc>
          <w:tcPr>
            <w:tcW w:w="20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403</w:t>
            </w:r>
          </w:p>
        </w:tc>
        <w:tc>
          <w:tcPr>
            <w:tcW w:w="411" w:type="dxa"/>
            <w:tcBorders/>
            <w:shd w:fill="auto" w:val="clear"/>
            <w:vAlign w:val="center"/>
          </w:tcPr>
          <w:p>
            <w:pPr>
              <w:pStyle w:val="TableContents"/>
              <w:spacing w:before="0" w:after="0"/>
              <w:ind w:left="0" w:right="0" w:firstLine="200"/>
              <w:jc w:val="left"/>
              <w:rPr/>
            </w:pPr>
            <w:r>
              <w:rPr/>
              <w:t> </w:t>
            </w:r>
          </w:p>
        </w:tc>
      </w:tr>
      <w:tr>
        <w:trPr/>
        <w:tc>
          <w:tcPr>
            <w:tcW w:w="580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(160</w:t>
            </w:r>
          </w:p>
        </w:tc>
        <w:tc>
          <w:tcPr>
            <w:tcW w:w="20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(603</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80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(314</w:t>
            </w:r>
          </w:p>
        </w:tc>
        <w:tc>
          <w:tcPr>
            <w:tcW w:w="20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(181</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29"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(20,122</w:t>
            </w:r>
          </w:p>
        </w:tc>
        <w:tc>
          <w:tcPr>
            <w:tcW w:w="208"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67"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(12,452</w:t>
            </w:r>
          </w:p>
        </w:tc>
        <w:tc>
          <w:tcPr>
            <w:tcW w:w="4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075" w:type="dxa"/>
            <w:gridSpan w:val="2"/>
            <w:tcBorders/>
            <w:shd w:fill="auto" w:val="clear"/>
            <w:vAlign w:val="center"/>
          </w:tcPr>
          <w:p>
            <w:pPr>
              <w:pStyle w:val="TableContents"/>
              <w:spacing w:before="0" w:after="0"/>
              <w:ind w:left="0" w:right="0" w:hanging="0"/>
              <w:jc w:val="right"/>
              <w:rPr/>
            </w:pPr>
            <w:r>
              <w:rPr/>
              <w:t> </w:t>
            </w:r>
          </w:p>
        </w:tc>
        <w:tc>
          <w:tcPr>
            <w:tcW w:w="208" w:type="dxa"/>
            <w:tcBorders/>
            <w:shd w:fill="auto" w:val="clear"/>
            <w:vAlign w:val="center"/>
          </w:tcPr>
          <w:p>
            <w:pPr>
              <w:pStyle w:val="TableContents"/>
              <w:spacing w:before="0" w:after="0"/>
              <w:ind w:left="0" w:right="0" w:hanging="0"/>
              <w:jc w:val="righ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113"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580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Purchases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(400</w:t>
            </w:r>
          </w:p>
        </w:tc>
        <w:tc>
          <w:tcPr>
            <w:tcW w:w="20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(514</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80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Purchases of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(29,262</w:t>
            </w:r>
          </w:p>
        </w:tc>
        <w:tc>
          <w:tcPr>
            <w:tcW w:w="20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580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Maturities of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40,000</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provided by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10,338</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(514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75" w:type="dxa"/>
            <w:gridSpan w:val="2"/>
            <w:tcBorders/>
            <w:shd w:fill="auto" w:val="clear"/>
            <w:vAlign w:val="center"/>
          </w:tcPr>
          <w:p>
            <w:pPr>
              <w:pStyle w:val="TableContents"/>
              <w:spacing w:before="0" w:after="0"/>
              <w:ind w:left="0" w:right="0" w:hanging="0"/>
              <w:jc w:val="right"/>
              <w:rPr/>
            </w:pPr>
            <w:r>
              <w:rPr/>
              <w:t> </w:t>
            </w:r>
          </w:p>
        </w:tc>
        <w:tc>
          <w:tcPr>
            <w:tcW w:w="208" w:type="dxa"/>
            <w:tcBorders/>
            <w:shd w:fill="auto" w:val="clear"/>
            <w:vAlign w:val="center"/>
          </w:tcPr>
          <w:p>
            <w:pPr>
              <w:pStyle w:val="TableContents"/>
              <w:spacing w:before="0" w:after="0"/>
              <w:ind w:left="0" w:right="0" w:hanging="0"/>
              <w:jc w:val="righ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113"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580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Proceeds from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pPr>
            <w:r>
              <w:rPr/>
              <w:t>—</w:t>
            </w:r>
          </w:p>
        </w:tc>
        <w:tc>
          <w:tcPr>
            <w:tcW w:w="208"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65</w:t>
            </w:r>
          </w:p>
        </w:tc>
        <w:tc>
          <w:tcPr>
            <w:tcW w:w="411" w:type="dxa"/>
            <w:tcBorders/>
            <w:shd w:fill="auto" w:val="clear"/>
            <w:vAlign w:val="center"/>
          </w:tcPr>
          <w:p>
            <w:pPr>
              <w:pStyle w:val="TableContents"/>
              <w:spacing w:before="0" w:after="0"/>
              <w:ind w:left="0" w:right="0" w:firstLine="200"/>
              <w:jc w:val="left"/>
              <w:rPr/>
            </w:pPr>
            <w:r>
              <w:rPr/>
              <w:t> </w:t>
            </w:r>
          </w:p>
        </w:tc>
      </w:tr>
      <w:tr>
        <w:trPr/>
        <w:tc>
          <w:tcPr>
            <w:tcW w:w="580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Shares repurchased for payment of tax withholdings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20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(5,254</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80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Payment of obligations under capital leases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0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29"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208"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67"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(5,190</w:t>
            </w:r>
          </w:p>
        </w:tc>
        <w:tc>
          <w:tcPr>
            <w:tcW w:w="4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decrease in cash, cash equivalents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(9,791</w:t>
            </w:r>
          </w:p>
        </w:tc>
        <w:tc>
          <w:tcPr>
            <w:tcW w:w="20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(18,156</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cash equivalents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35,159</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217,114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cash equivalents at end of period</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25,368</w:t>
            </w:r>
          </w:p>
        </w:tc>
        <w:tc>
          <w:tcPr>
            <w:tcW w:w="2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198,958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Supplemental disclosure of non-cash activities:</w:t>
            </w:r>
          </w:p>
        </w:tc>
        <w:tc>
          <w:tcPr>
            <w:tcW w:w="146" w:type="dxa"/>
            <w:tcBorders/>
            <w:shd w:fill="auto" w:val="clear"/>
            <w:vAlign w:val="center"/>
          </w:tcPr>
          <w:p>
            <w:pPr>
              <w:pStyle w:val="TableContents"/>
              <w:spacing w:before="0" w:after="0"/>
              <w:ind w:left="0" w:right="0" w:hanging="0"/>
              <w:jc w:val="left"/>
              <w:rPr/>
            </w:pPr>
            <w:r>
              <w:rPr/>
              <w:t> </w:t>
            </w:r>
          </w:p>
        </w:tc>
        <w:tc>
          <w:tcPr>
            <w:tcW w:w="1075" w:type="dxa"/>
            <w:gridSpan w:val="2"/>
            <w:tcBorders/>
            <w:shd w:fill="auto" w:val="clear"/>
            <w:vAlign w:val="center"/>
          </w:tcPr>
          <w:p>
            <w:pPr>
              <w:pStyle w:val="TableContents"/>
              <w:spacing w:before="0" w:after="0"/>
              <w:ind w:left="0" w:right="0" w:hanging="0"/>
              <w:jc w:val="right"/>
              <w:rPr/>
            </w:pPr>
            <w:r>
              <w:rPr/>
              <w:t> </w:t>
            </w:r>
          </w:p>
        </w:tc>
        <w:tc>
          <w:tcPr>
            <w:tcW w:w="208" w:type="dxa"/>
            <w:tcBorders/>
            <w:shd w:fill="auto" w:val="clear"/>
            <w:vAlign w:val="center"/>
          </w:tcPr>
          <w:p>
            <w:pPr>
              <w:pStyle w:val="TableContents"/>
              <w:spacing w:before="0" w:after="0"/>
              <w:ind w:left="0" w:right="0" w:hanging="0"/>
              <w:jc w:val="righ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113"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Purchases of property and equipment included in accounts payable at period-end</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w:t>
            </w:r>
          </w:p>
        </w:tc>
        <w:tc>
          <w:tcPr>
            <w:tcW w:w="208"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7"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accompanying notes to the condensed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SARCOS TECHNOLOGY AND ROBOTICS CORPORTATION</w:t>
      </w:r>
    </w:p>
    <w:p>
      <w:pPr>
        <w:pStyle w:val="TextBody"/>
        <w:spacing w:before="0" w:after="0"/>
        <w:jc w:val="center"/>
        <w:rPr>
          <w:rFonts w:ascii="Times New Roman;serif" w:hAnsi="Times New Roman;serif"/>
          <w:b/>
          <w:sz w:val="20"/>
        </w:rPr>
      </w:pPr>
      <w:r>
        <w:rPr>
          <w:rFonts w:ascii="Times New Roman;serif" w:hAnsi="Times New Roman;serif"/>
          <w:b/>
          <w:sz w:val="20"/>
        </w:rPr>
        <w:t>NOTES TO THE CONDENSED CONSOLIDATED FINANCIAL STATEMENTS</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spacing w:before="260" w:after="0"/>
        <w:jc w:val="left"/>
        <w:rPr>
          <w:rFonts w:ascii="Times New Roman;serif" w:hAnsi="Times New Roman;serif"/>
          <w:b/>
          <w:sz w:val="20"/>
        </w:rPr>
      </w:pPr>
      <w:bookmarkStart w:id="8" w:name="note_1_basis_of_presentation"/>
      <w:bookmarkEnd w:id="8"/>
      <w:r>
        <w:rPr>
          <w:rFonts w:ascii="Times New Roman;serif" w:hAnsi="Times New Roman;serif"/>
          <w:b/>
          <w:sz w:val="20"/>
        </w:rPr>
        <w:t>1. Basis of Presentation and Summary of Significant Accounting Policies</w:t>
      </w:r>
    </w:p>
    <w:p>
      <w:pPr>
        <w:pStyle w:val="TextBody"/>
        <w:spacing w:before="0" w:after="0"/>
        <w:jc w:val="left"/>
        <w:rPr/>
      </w:pPr>
      <w:r>
        <w:rPr/>
        <w:t>​</w:t>
      </w:r>
    </w:p>
    <w:p>
      <w:pPr>
        <w:pStyle w:val="TextBody"/>
        <w:spacing w:before="0" w:after="0"/>
        <w:jc w:val="left"/>
        <w:rPr>
          <w:rFonts w:ascii="Times New Roman;serif" w:hAnsi="Times New Roman;serif"/>
          <w:b/>
          <w:sz w:val="20"/>
        </w:rPr>
      </w:pPr>
      <w:r>
        <w:rPr>
          <w:rFonts w:ascii="Times New Roman;serif" w:hAnsi="Times New Roman;serif"/>
          <w:b/>
          <w:sz w:val="20"/>
        </w:rPr>
        <w:t>Description of the Business</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Sarcos Technology and Robotics Corporation (the “Company” or “Sarcos”), designs and produces highly-dexterous mobile robotic systems and solutions for use in dynamic and unstructured environments.</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Basis of Presentation and Consolidation</w:t>
      </w:r>
    </w:p>
    <w:p>
      <w:pPr>
        <w:pStyle w:val="TextBody"/>
        <w:spacing w:before="0" w:after="0"/>
        <w:jc w:val="left"/>
        <w:rPr/>
      </w:pPr>
      <w:r>
        <w:rPr/>
        <w:t>​</w:t>
      </w:r>
    </w:p>
    <w:p>
      <w:pPr>
        <w:pStyle w:val="TextBody"/>
        <w:spacing w:before="0" w:after="0"/>
        <w:jc w:val="both"/>
        <w:rPr>
          <w:rFonts w:ascii="Times New Roman" w:hAnsi="Times New Roman"/>
          <w:sz w:val="20"/>
        </w:rPr>
      </w:pPr>
      <w:r>
        <w:rPr>
          <w:rFonts w:ascii="Times New Roman;serif" w:hAnsi="Times New Roman;serif"/>
          <w:b w:val="false"/>
          <w:sz w:val="20"/>
        </w:rPr>
        <w:t>The accompanying interim unaudited condensed consolidated financial statements have been prepared in accordance with accounting principles generally accepted in the United States (“GAAP”).</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condensed consolidated financial statements as of March 31, 2023, are unaudited. The condensed consolidated balance sheet as of December 31, 2022, included herein was derived from the audited consolidated financial statements as of that date. Certain information and note disclosures normally included in financial statements prepared in accordance with GAAP have been condensed or omitted. As such, the information included herein should be read in conjunction with the consolidated financial statements and accompanying notes as of and for the year ended December 31, 2022, included in the Company’s Annual Report on Form 10-K, filed with the SEC on March 16, 2023.</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condensed consolidated financial statements include the accounts of the Company and its wholly owned subsidiaries. All intercompany accounts and transactions have been eliminated in consolidation. Certain prior year amounts have been reclassified to conform to current year presentation. The Company’s fiscal year begins on January 1 and ends on December 31.</w:t>
      </w:r>
    </w:p>
    <w:p>
      <w:pPr>
        <w:pStyle w:val="TextBody"/>
        <w:spacing w:before="0" w:after="0"/>
        <w:jc w:val="both"/>
        <w:rPr>
          <w:rFonts w:ascii="Times New Roman" w:hAnsi="Times New Roman"/>
          <w:sz w:val="20"/>
        </w:rPr>
      </w:pPr>
      <w:r>
        <w:rPr>
          <w:rFonts w:ascii="Times New Roman;serif" w:hAnsi="Times New Roman;serif"/>
          <w:b w:val="false"/>
          <w:sz w:val="20"/>
        </w:rPr>
        <w:t>In the opinion of the Company’s management, the unaudited condensed consolidated financial statements include all adjustments necessary for fair financial statement presentation. All adjustments are of a normal recurring nature. Interim results are not necessarily indicative of the results to be expected for any subsequent quarter or for the fiscal year ending December 31, 2023.</w:t>
      </w:r>
      <w:r>
        <w:rPr>
          <w:rFonts w:ascii="Times New Roman" w:hAnsi="Times New Roman"/>
          <w:sz w:val="20"/>
        </w:rPr>
        <w:t xml:space="preserve"> </w:t>
      </w:r>
    </w:p>
    <w:p>
      <w:pPr>
        <w:pStyle w:val="TextBody"/>
        <w:spacing w:before="0" w:after="0"/>
        <w:jc w:val="both"/>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Business Combination</w:t>
      </w:r>
    </w:p>
    <w:p>
      <w:pPr>
        <w:pStyle w:val="TextBody"/>
        <w:spacing w:before="200" w:after="0"/>
        <w:jc w:val="both"/>
        <w:rPr>
          <w:rFonts w:ascii="Times New Roman" w:hAnsi="Times New Roman"/>
          <w:sz w:val="20"/>
        </w:rPr>
      </w:pPr>
      <w:r>
        <w:rPr>
          <w:rFonts w:ascii="Times New Roman;serif" w:hAnsi="Times New Roman;serif"/>
          <w:b w:val="false"/>
          <w:sz w:val="20"/>
        </w:rPr>
        <w:t>On September 24, 2021 (the “Closing Date”), the Company consummated the business combination (the “Business Combination”) pursuant to the terms of the Agreement and Plan of Merger, dated as of April 5, 2021, by and among Rotor Acquisition Corp.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Rotor, Merger Sub and Old Sarcos. Pursuant to the terms of the Merger Agreement, the Business Combination between Rotor and Old Sarcos was effected through the merger of Merger Sub with and into Old Sarcos, with Old Sarcos continuing as the surviving corporation (the “Merger”) and a wholly-owned subsidiary of Rotor. On the Closing Date, Rotor changed its name from Rotor Acquisition Corp. to Sarcos Technology and Robotics Corporation.</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Immediately prior to the effective time of the Merger (the “Effective Time”), all issued and outstanding warrants to purchase shares of Class A common stock of Old Sarcos were net exercised and all issued and outstanding shares of preferred stock of Old Sarcos were converted into common stock of Old Sarcos (collectively, the “Old Sarcos Common Stock”). Pursuant to the terms of the Merger Agreement, at the Effective Time:</w:t>
      </w:r>
      <w:r>
        <w:rPr>
          <w:rFonts w:ascii="Times New Roman" w:hAnsi="Times New Roman"/>
          <w:sz w:val="20"/>
        </w:rPr>
        <w:t xml:space="preserve"> </w:t>
      </w:r>
    </w:p>
    <w:p>
      <w:pPr>
        <w:pStyle w:val="TextBody"/>
        <w:spacing w:before="200" w:after="0"/>
        <w:jc w:val="both"/>
        <w:rPr/>
      </w:pPr>
      <w:r>
        <w:rPr/>
        <w:t>•</w:t>
      </w:r>
    </w:p>
    <w:p>
      <w:pPr>
        <w:pStyle w:val="TextBody"/>
        <w:spacing w:before="200" w:after="0"/>
        <w:jc w:val="both"/>
        <w:rPr>
          <w:rFonts w:ascii="Times New Roman;serif" w:hAnsi="Times New Roman;serif"/>
          <w:sz w:val="20"/>
        </w:rPr>
      </w:pPr>
      <w:r>
        <w:rPr>
          <w:rFonts w:ascii="Times New Roman;serif" w:hAnsi="Times New Roman;serif"/>
          <w:b w:val="false"/>
          <w:sz w:val="20"/>
        </w:rPr>
        <w:t>each outstanding share of Old Sarcos Common Stock, after giving effect to the conversion described above, was cancelled and converted into and became (i) the right to receive approximately 5.129222424</w:t>
      </w:r>
      <w:r>
        <w:rPr>
          <w:rFonts w:ascii="Times New Roman;serif" w:hAnsi="Times New Roman;serif"/>
          <w:sz w:val="20"/>
        </w:rPr>
        <w:t xml:space="preserve"> </w:t>
      </w:r>
      <w:r>
        <w:rPr>
          <w:rFonts w:ascii="Times New Roman;serif" w:hAnsi="Times New Roman;serif"/>
          <w:b w:val="false"/>
          <w:sz w:val="20"/>
        </w:rPr>
        <w:t>shares (the “Exchange Ratio”) of Common Stock of the Company, par value $0.0001</w:t>
      </w:r>
      <w:r>
        <w:rPr>
          <w:rFonts w:ascii="Times New Roman;serif" w:hAnsi="Times New Roman;serif"/>
          <w:sz w:val="20"/>
        </w:rPr>
        <w:t xml:space="preserve"> </w:t>
      </w:r>
      <w:r>
        <w:rPr>
          <w:rFonts w:ascii="Times New Roman;serif" w:hAnsi="Times New Roman;serif"/>
          <w:b w:val="false"/>
          <w:sz w:val="20"/>
        </w:rPr>
        <w:t>per share (the “Common Stock”), rounded down to the nearest whole share plus (ii) the contingent right to receive a portion of additional shares of Common Stock upon achievement of certain milestones (the “Contingent Merger Consideration”), as described below;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the outstanding options, restricted stock units (“RSUs”) and restricted stock award (“RSA”) of Old Sarcos, whether vested or unvested, were assumed by the Company and converted into options, RSUs and RSA of the Company;</w:t>
      </w:r>
    </w:p>
    <w:p>
      <w:pPr>
        <w:pStyle w:val="TextBody"/>
        <w:spacing w:before="200" w:after="0"/>
        <w:jc w:val="both"/>
        <w:rPr>
          <w:rFonts w:ascii="Times New Roman" w:hAnsi="Times New Roman"/>
          <w:sz w:val="20"/>
        </w:rPr>
      </w:pPr>
      <w:r>
        <w:rPr>
          <w:rFonts w:ascii="Times New Roman;serif" w:hAnsi="Times New Roman;serif"/>
          <w:b w:val="false"/>
          <w:sz w:val="20"/>
        </w:rPr>
        <w:t>In addition, each holder of Old Sarcos capital stock (including the Old Sarcos RSA) was entitled to a right to Contingent Merger Consideration at the Closing Date in the form of earn-outs, up to an aggregate of 28,125,000</w:t>
      </w:r>
      <w:r>
        <w:rPr>
          <w:rFonts w:ascii="Times New Roman" w:hAnsi="Times New Roman"/>
          <w:sz w:val="20"/>
        </w:rPr>
        <w:t xml:space="preserve"> </w:t>
      </w:r>
      <w:r>
        <w:rPr>
          <w:rFonts w:ascii="Times New Roman;serif" w:hAnsi="Times New Roman;serif"/>
          <w:b w:val="false"/>
          <w:sz w:val="20"/>
        </w:rPr>
        <w:t>shares of Common Stock.</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center"/>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On the Closing Date, certain investors (the “PIPE Investors”) purchased from the Company an aggregate of 22,000,000</w:t>
      </w:r>
      <w:r>
        <w:rPr>
          <w:rFonts w:ascii="Times New Roman" w:hAnsi="Times New Roman"/>
          <w:sz w:val="20"/>
        </w:rPr>
        <w:t xml:space="preserve"> </w:t>
      </w:r>
      <w:r>
        <w:rPr>
          <w:rFonts w:ascii="Times New Roman;serif" w:hAnsi="Times New Roman;serif"/>
          <w:b w:val="false"/>
          <w:sz w:val="20"/>
        </w:rPr>
        <w:t>shares (the “PIPE Shares”) of Common Stock at a price of $10.00</w:t>
      </w:r>
      <w:r>
        <w:rPr>
          <w:rFonts w:ascii="Times New Roman" w:hAnsi="Times New Roman"/>
          <w:sz w:val="20"/>
        </w:rPr>
        <w:t xml:space="preserve"> </w:t>
      </w:r>
      <w:r>
        <w:rPr>
          <w:rFonts w:ascii="Times New Roman;serif" w:hAnsi="Times New Roman;serif"/>
          <w:b w:val="false"/>
          <w:sz w:val="20"/>
        </w:rPr>
        <w:t>per share, for an aggregate purchase price of $220.0</w:t>
      </w:r>
      <w:r>
        <w:rPr>
          <w:rFonts w:ascii="Times New Roman" w:hAnsi="Times New Roman"/>
          <w:sz w:val="20"/>
        </w:rPr>
        <w:t xml:space="preserve"> </w:t>
      </w:r>
      <w:r>
        <w:rPr>
          <w:rFonts w:ascii="Times New Roman;serif" w:hAnsi="Times New Roman;serif"/>
          <w:b w:val="false"/>
          <w:sz w:val="20"/>
        </w:rPr>
        <w:t>million (the “PIPE Financing”), in a private placement pursuant to separate subscription agreements (each, a “Subscription Agreement”) entered into effective as of April 5, 2021.</w:t>
      </w:r>
    </w:p>
    <w:p>
      <w:pPr>
        <w:pStyle w:val="TextBody"/>
        <w:spacing w:before="200" w:after="0"/>
        <w:jc w:val="both"/>
        <w:rPr>
          <w:rFonts w:ascii="Times New Roman" w:hAnsi="Times New Roman"/>
          <w:sz w:val="20"/>
        </w:rPr>
      </w:pPr>
      <w:r>
        <w:rPr>
          <w:rFonts w:ascii="Times New Roman;serif" w:hAnsi="Times New Roman;serif"/>
          <w:b w:val="false"/>
          <w:sz w:val="20"/>
        </w:rPr>
        <w:t>On September 27, 2021, the Common Stock and warrants of Sarcos Technology and Robotics Corporation (formerly those of Rotor Acquisition Corp.), ceased trading on the New York Stock Exchange and began trading on The Nasdaq Global Market (“Nasdaq”) as “STRC” and “STRCW”, respectively.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On April 25, 2022, the Company acquired RE2, Inc., (“RE2”) a Pittsburgh, PA based developer of autonomous and teleoperated mobile robotic systems for use in the aviation, construction, defense, energy, and medical industries. The results presented herein include the activity of RE2 from the acquisition date through March 31, 2023. The Company's results do not include RE2’s financial information prior to the acquisition. For further detail see Note 4.</w:t>
      </w:r>
    </w:p>
    <w:p>
      <w:pPr>
        <w:pStyle w:val="TextBody"/>
        <w:spacing w:before="0" w:after="0"/>
        <w:jc w:val="both"/>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Summary of Significant Accounting Policies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There have been no changes to the Company’s significant accounting policies described in the annual consolidated financial statements for the year ended December 31, 2022 that have had a material impact on the Company’s condensed consolidated financial statements and related notes.</w:t>
      </w:r>
      <w:r>
        <w:rPr>
          <w:rFonts w:ascii="Times New Roman" w:hAnsi="Times New Roman"/>
          <w:sz w:val="20"/>
        </w:rPr>
        <w:t xml:space="preserve"> </w:t>
      </w:r>
    </w:p>
    <w:p>
      <w:pPr>
        <w:pStyle w:val="TextBody"/>
        <w:spacing w:before="0" w:after="0"/>
        <w:jc w:val="left"/>
        <w:rPr>
          <w:rFonts w:ascii="Times New Roman;serif" w:hAnsi="Times New Roman;serif"/>
          <w:b/>
          <w:sz w:val="20"/>
        </w:rPr>
      </w:pPr>
      <w:r>
        <w:rPr>
          <w:rFonts w:ascii="Times New Roman;serif" w:hAnsi="Times New Roman;serif"/>
          <w:b/>
          <w:sz w:val="20"/>
        </w:rPr>
        <w:t>Liquidity and Capital Resources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Cash, cash equivalents and marketable securities were $94.7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March 31, 2023, compared to $114.5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December 31, 2022. The Company has historically incurred losses and negative cash flows from operations. As of March 31, 2023, the Company also had an accumulated deficit of approximately $324.1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working capital of $101.1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These financial statements have been prepared in accordance with GAAP and this basis assumes the Company will continue as a going concern, which contemplates the realization of assets and the satisfaction of liabilities and commitments in the normal course of business. The Company’s main sources of liquidity have been cash generated by equity offerings and debt. The Company’s primary use of cash is for operations and administrative activities including employee-related expenses, and general, operating and overhead expenses. Future capital requirements will depend on many factors, including the Company’s timing and extent of development efforts, the expansion of sales and marketing activities, customer growth rate, customer retention, the introduction of new and enhanced product offerings and market acceptance of the Company’s products. The Company believes it has sufficient financial resources for at least the next 12 months from the date of this Report.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w:t>
      </w:r>
      <w:r>
        <w:rPr>
          <w:rFonts w:ascii="Times New Roman;serif" w:hAnsi="Times New Roman;serif"/>
          <w:b/>
          <w:sz w:val="20"/>
        </w:rPr>
        <w:t>Revenue Recognition</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Company recognizes revenue from the sale of its products and from the delivery of goods and services arising out of its contractual arrangements to provide product development contract services that are funded by the customer. The Company recognizes revenue when promised goods or services are transferred to customers in an amount that reflects the consideration to which the Company expects to be entitled in exchange for those goods or services by following a five-step process:</w:t>
      </w:r>
    </w:p>
    <w:p>
      <w:pPr>
        <w:pStyle w:val="TextBody"/>
        <w:spacing w:before="120" w:after="0"/>
        <w:jc w:val="both"/>
        <w:rPr>
          <w:rFonts w:ascii="Times New Roman" w:hAnsi="Times New Roman"/>
          <w:b w:val="false"/>
          <w:i/>
          <w:sz w:val="20"/>
        </w:rPr>
      </w:pPr>
      <w:r>
        <w:rPr>
          <w:rFonts w:ascii="Times New Roman" w:hAnsi="Times New Roman"/>
          <w:b w:val="false"/>
          <w:i/>
          <w:sz w:val="20"/>
        </w:rPr>
        <w:t>(1)</w:t>
      </w:r>
    </w:p>
    <w:p>
      <w:pPr>
        <w:pStyle w:val="TextBody"/>
        <w:spacing w:before="120" w:after="283"/>
        <w:jc w:val="both"/>
        <w:rPr>
          <w:rFonts w:ascii="Times New Roman;serif" w:hAnsi="Times New Roman;serif"/>
          <w:sz w:val="24"/>
        </w:rPr>
      </w:pPr>
      <w:r>
        <w:rPr>
          <w:rFonts w:ascii="Times New Roman;serif" w:hAnsi="Times New Roman;serif"/>
          <w:b w:val="false"/>
          <w:i/>
          <w:sz w:val="20"/>
        </w:rPr>
        <w:t>Identify the contract with a customer:</w:t>
      </w:r>
      <w:r>
        <w:rPr>
          <w:rFonts w:ascii="Times New Roman;serif" w:hAnsi="Times New Roman;serif"/>
          <w:sz w:val="24"/>
        </w:rPr>
        <w:t xml:space="preserve"> </w:t>
      </w:r>
      <w:r>
        <w:rPr>
          <w:rFonts w:ascii="Times New Roman;serif" w:hAnsi="Times New Roman;serif"/>
          <w:b w:val="false"/>
          <w:sz w:val="20"/>
        </w:rPr>
        <w:t>A contract with a customer exists when (i) the Company enters into an enforceable contract with a customer that defines each party’s rights and obligations regarding the products and services to be transferred and identifies the payment terms related to these products and services, (ii) the contract has commercial substance and (iii) the Company determines that collection of substantially all consideration for products and services that are transferred is probable based on the customer’s intent and ability to pay the promised consideration. Contract modifications may include changes in scope of work, and/or the period of completion of the project. The Company analyzes contract modifications to determine if they should be accounted for as a modification to an existing contract or a new stand-alone contract.</w:t>
      </w:r>
    </w:p>
    <w:p>
      <w:pPr>
        <w:pStyle w:val="TextBody"/>
        <w:spacing w:before="0" w:after="0"/>
        <w:jc w:val="both"/>
        <w:rPr/>
      </w:pPr>
      <w:r>
        <w:rPr/>
        <w:t> </w:t>
      </w:r>
    </w:p>
    <w:p>
      <w:pPr>
        <w:pStyle w:val="TextBody"/>
        <w:spacing w:before="120" w:after="0"/>
        <w:jc w:val="both"/>
        <w:rPr>
          <w:rFonts w:ascii="Times New Roman" w:hAnsi="Times New Roman"/>
          <w:b w:val="false"/>
          <w:i/>
          <w:sz w:val="20"/>
        </w:rPr>
      </w:pPr>
      <w:r>
        <w:rPr>
          <w:rFonts w:ascii="Times New Roman" w:hAnsi="Times New Roman"/>
          <w:b w:val="false"/>
          <w:i/>
          <w:sz w:val="20"/>
        </w:rPr>
        <w:t>(2)</w:t>
      </w:r>
    </w:p>
    <w:p>
      <w:pPr>
        <w:pStyle w:val="TextBody"/>
        <w:spacing w:before="120" w:after="283"/>
        <w:jc w:val="both"/>
        <w:rPr>
          <w:rFonts w:ascii="Times New Roman;serif" w:hAnsi="Times New Roman;serif"/>
          <w:sz w:val="24"/>
        </w:rPr>
      </w:pPr>
      <w:r>
        <w:rPr>
          <w:rFonts w:ascii="Times New Roman;serif" w:hAnsi="Times New Roman;serif"/>
          <w:b w:val="false"/>
          <w:i/>
          <w:sz w:val="20"/>
        </w:rPr>
        <w:t>Identify the performance obligations in the contract:</w:t>
      </w:r>
      <w:r>
        <w:rPr>
          <w:rFonts w:ascii="Times New Roman;serif" w:hAnsi="Times New Roman;serif"/>
          <w:sz w:val="24"/>
        </w:rPr>
        <w:t xml:space="preserve"> </w:t>
      </w:r>
      <w:r>
        <w:rPr>
          <w:rFonts w:ascii="Times New Roman;serif" w:hAnsi="Times New Roman;serif"/>
          <w:b w:val="false"/>
          <w:sz w:val="20"/>
        </w:rPr>
        <w:t>The Company enters into contracts that can include combinations of products and services, which are either capable of being distinct and accounted for as separate performance obligations or as one performance obligation if the majority of tasks and services form a single project or capability. Determining whether products or services are considered distinct performance obligations that should be accounted for separately may require significant judgment.</w:t>
      </w:r>
    </w:p>
    <w:p>
      <w:pPr>
        <w:pStyle w:val="TextBody"/>
        <w:spacing w:before="0" w:after="0"/>
        <w:jc w:val="both"/>
        <w:rPr/>
      </w:pPr>
      <w:r>
        <w:rPr/>
        <w:t> </w:t>
      </w:r>
    </w:p>
    <w:p>
      <w:pPr>
        <w:pStyle w:val="TextBody"/>
        <w:spacing w:before="120" w:after="0"/>
        <w:jc w:val="both"/>
        <w:rPr>
          <w:rFonts w:ascii="Times New Roman" w:hAnsi="Times New Roman"/>
          <w:b w:val="false"/>
          <w:i/>
          <w:sz w:val="20"/>
        </w:rPr>
      </w:pPr>
      <w:r>
        <w:rPr>
          <w:rFonts w:ascii="Times New Roman" w:hAnsi="Times New Roman"/>
          <w:b w:val="false"/>
          <w:i/>
          <w:sz w:val="20"/>
        </w:rPr>
        <w:t>(3)</w:t>
      </w:r>
    </w:p>
    <w:p>
      <w:pPr>
        <w:pStyle w:val="TextBody"/>
        <w:spacing w:before="120" w:after="283"/>
        <w:jc w:val="both"/>
        <w:rPr>
          <w:rFonts w:ascii="Times New Roman;serif" w:hAnsi="Times New Roman;serif"/>
          <w:sz w:val="24"/>
        </w:rPr>
      </w:pPr>
      <w:r>
        <w:rPr>
          <w:rFonts w:ascii="Times New Roman;serif" w:hAnsi="Times New Roman;serif"/>
          <w:b w:val="false"/>
          <w:i/>
          <w:sz w:val="20"/>
        </w:rPr>
        <w:t>Determine the transaction price:</w:t>
      </w:r>
      <w:r>
        <w:rPr>
          <w:rFonts w:ascii="Times New Roman;serif" w:hAnsi="Times New Roman;serif"/>
          <w:sz w:val="24"/>
        </w:rPr>
        <w:t xml:space="preserve"> </w:t>
      </w:r>
      <w:r>
        <w:rPr>
          <w:rFonts w:ascii="Times New Roman;serif" w:hAnsi="Times New Roman;serif"/>
          <w:b w:val="false"/>
          <w:sz w:val="20"/>
        </w:rPr>
        <w:t xml:space="preserve">The transaction price is determined based on the consideration to which the Company will be entitled in exchange for transferring goods or services to the customer. Such amounts are typically stated in the customer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center"/>
        <w:rPr/>
      </w:pPr>
      <w:r>
        <w:rPr/>
        <w:t> </w:t>
      </w:r>
    </w:p>
    <w:p>
      <w:pPr>
        <w:pStyle w:val="TextBody"/>
        <w:spacing w:before="120" w:after="283"/>
        <w:jc w:val="both"/>
        <w:rPr>
          <w:rFonts w:ascii="Times New Roman;serif" w:hAnsi="Times New Roman;serif"/>
          <w:sz w:val="24"/>
        </w:rPr>
      </w:pPr>
      <w:r>
        <w:rPr>
          <w:rFonts w:ascii="Times New Roman;serif" w:hAnsi="Times New Roman;serif"/>
          <w:b w:val="false"/>
          <w:sz w:val="20"/>
        </w:rPr>
        <w:t>contract. However, to the extent that the Company identifies variable consideration, the Company will estimate the variable consideration at the onset of the arrangement as long as it is probable that a significant reversal in the amount of cumulative revenue recognized will not occur when the uncertainty associated with the variable consideration is subsequently resolved. The Company’s current contracts do not include any significant financing components because the timing of the transfer of the underlying products and services under contract are at the customer's discretion. Additionally, the Company does not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Taxes collected from customers and remitted to governmental authorities are not included in revenue.</w:t>
      </w:r>
      <w:r>
        <w:rPr>
          <w:rFonts w:ascii="Times New Roman;serif" w:hAnsi="Times New Roman;serif"/>
          <w:sz w:val="24"/>
        </w:rPr>
        <w:t xml:space="preserve"> </w:t>
      </w:r>
    </w:p>
    <w:p>
      <w:pPr>
        <w:pStyle w:val="TextBody"/>
        <w:spacing w:before="0" w:after="0"/>
        <w:jc w:val="both"/>
        <w:rPr/>
      </w:pPr>
      <w:r>
        <w:rPr/>
        <w:t> </w:t>
      </w:r>
    </w:p>
    <w:p>
      <w:pPr>
        <w:pStyle w:val="TextBody"/>
        <w:spacing w:before="120" w:after="0"/>
        <w:jc w:val="both"/>
        <w:rPr>
          <w:rFonts w:ascii="Times New Roman" w:hAnsi="Times New Roman"/>
          <w:b w:val="false"/>
          <w:i/>
          <w:sz w:val="20"/>
        </w:rPr>
      </w:pPr>
      <w:r>
        <w:rPr>
          <w:rFonts w:ascii="Times New Roman" w:hAnsi="Times New Roman"/>
          <w:b w:val="false"/>
          <w:i/>
          <w:sz w:val="20"/>
        </w:rPr>
        <w:t>(4)</w:t>
      </w:r>
    </w:p>
    <w:p>
      <w:pPr>
        <w:pStyle w:val="TextBody"/>
        <w:spacing w:before="120" w:after="283"/>
        <w:jc w:val="both"/>
        <w:rPr>
          <w:rFonts w:ascii="Times New Roman;serif" w:hAnsi="Times New Roman;serif"/>
          <w:sz w:val="24"/>
        </w:rPr>
      </w:pPr>
      <w:r>
        <w:rPr>
          <w:rFonts w:ascii="Times New Roman;serif" w:hAnsi="Times New Roman;serif"/>
          <w:b w:val="false"/>
          <w:i/>
          <w:sz w:val="20"/>
        </w:rPr>
        <w:t>Allocate the transaction price to performance obligations in the contract:</w:t>
      </w:r>
      <w:r>
        <w:rPr>
          <w:rFonts w:ascii="Times New Roman;serif" w:hAnsi="Times New Roman;serif"/>
          <w:sz w:val="24"/>
        </w:rPr>
        <w:t xml:space="preserve"> </w:t>
      </w:r>
      <w:r>
        <w:rPr>
          <w:rFonts w:ascii="Times New Roman;serif" w:hAnsi="Times New Roman;serif"/>
          <w:b w:val="false"/>
          <w:sz w:val="20"/>
        </w:rPr>
        <w:t>Once the Company has determined the transaction price, the total transaction price is allocated to each performance obligation in a manner depicting the amount of consideration to which the Company expects to be entitled in exchange for transferring the good(s) or service(s) to the customer. If applicable, the Company allocates the transaction price to each performance obligation identified in the contract on a relative standalone selling price basis. The standalone selling price represents the amount the Company would sell the good(s) or service(s) to a customer on a standalone basis. For government contracts, the Company uses expected cost plus a margin as the standalone selling price. Because the Company's contract pricing with government customers is generally based on expected cost plus margin, the standalone selling price of the good(s) or service(s) in the Company's contracts with government customers are typically equal to the selling price stated in the contract. When we sell standard good(s) or service(s) with observable standalone sale transactions, the observable standalone sales transactions are used to determine the standalone selling price.</w:t>
      </w:r>
    </w:p>
    <w:p>
      <w:pPr>
        <w:pStyle w:val="TextBody"/>
        <w:spacing w:before="0" w:after="0"/>
        <w:jc w:val="both"/>
        <w:rPr/>
      </w:pPr>
      <w:r>
        <w:rPr/>
        <w:t> </w:t>
      </w:r>
    </w:p>
    <w:p>
      <w:pPr>
        <w:pStyle w:val="TextBody"/>
        <w:spacing w:before="120" w:after="0"/>
        <w:jc w:val="both"/>
        <w:rPr>
          <w:rFonts w:ascii="Times New Roman" w:hAnsi="Times New Roman"/>
          <w:b w:val="false"/>
          <w:i/>
          <w:sz w:val="20"/>
        </w:rPr>
      </w:pPr>
      <w:r>
        <w:rPr>
          <w:rFonts w:ascii="Times New Roman" w:hAnsi="Times New Roman"/>
          <w:b w:val="false"/>
          <w:i/>
          <w:sz w:val="20"/>
        </w:rPr>
        <w:t>(5)</w:t>
      </w:r>
    </w:p>
    <w:p>
      <w:pPr>
        <w:pStyle w:val="TextBody"/>
        <w:spacing w:before="120" w:after="283"/>
        <w:jc w:val="both"/>
        <w:rPr>
          <w:rFonts w:ascii="Times New Roman;serif" w:hAnsi="Times New Roman;serif"/>
          <w:sz w:val="24"/>
        </w:rPr>
      </w:pPr>
      <w:r>
        <w:rPr>
          <w:rFonts w:ascii="Times New Roman;serif" w:hAnsi="Times New Roman;serif"/>
          <w:b w:val="false"/>
          <w:i/>
          <w:sz w:val="20"/>
        </w:rPr>
        <w:t>Recognize revenue when or as the Company satisfies a performance obligation</w:t>
      </w:r>
      <w:r>
        <w:rPr>
          <w:rFonts w:ascii="Times New Roman;serif" w:hAnsi="Times New Roman;serif"/>
          <w:b w:val="false"/>
          <w:sz w:val="20"/>
        </w:rPr>
        <w:t>: For each performance obligation identified, the Company determines at contract inception whether it satisfies the performance obligation over time or at a point in time. For performance obligations satisfied over time, revenue is recognized as work progresses when the Company is entitled to the reimbursement of costs plus a reasonable profit for work performed for which the Company has no alternate use. For these performance obligations, the Company generally recognizes revenue using an input method with revenue amounts being recognized proportionately as costs are incurred relative to the total expected costs to satisfy the performance obligation. The Company believes that costs incurred as a portion of total estimated costs is an appropriate measure of progress towards satisfaction of the performance obligation since this measure reasonably depicts the progress of the work effort. Revenue for performance obligations that are not recognized over time are recognized at the point in time when control transfers to the customer (which is generally upon delivery). For performance obligations that are satisfied at a point in time, the Company evaluates the point in time when the customer can direct the use of, and obtain the benefits from, the products and services. Shipping and handling costs are recorded at the time of product shipment to the customer and are included within revenue.</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Revenue from Contracts with Customers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Company derives its revenue from two sources. First, the Company enters into research and development agreements primarily relating to the commercialization of the Company’s products. Second, the Company sells its products and related parts and repair services. Product development contract revenue includes revenue arising from different types of contractual arrangements, including cost-type contracts and fixed-price contracts. Product revenue primarily consists of sales of the Company’s products.</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Product Development Contract Revenue</w:t>
      </w:r>
    </w:p>
    <w:p>
      <w:pPr>
        <w:pStyle w:val="TextBody"/>
        <w:spacing w:before="0" w:after="0"/>
        <w:jc w:val="both"/>
        <w:rPr>
          <w:rFonts w:ascii="Times New Roman" w:hAnsi="Times New Roman"/>
          <w:sz w:val="20"/>
        </w:rPr>
      </w:pPr>
      <w:r>
        <w:rPr>
          <w:rFonts w:ascii="Times New Roman;serif" w:hAnsi="Times New Roman;serif"/>
          <w:b w:val="false"/>
          <w:i/>
          <w:sz w:val="20"/>
        </w:rPr>
        <w:t>Cost-type contracts</w:t>
      </w:r>
      <w:r>
        <w:rPr>
          <w:rFonts w:ascii="Times New Roman" w:hAnsi="Times New Roman"/>
          <w:sz w:val="20"/>
        </w:rPr>
        <w:t xml:space="preserve"> – </w:t>
      </w:r>
      <w:r>
        <w:rPr>
          <w:rFonts w:ascii="Times New Roman;serif" w:hAnsi="Times New Roman;serif"/>
          <w:b w:val="false"/>
          <w:sz w:val="20"/>
        </w:rPr>
        <w:t>Research, development and/or testing service contracts, including cost-plus-fixed-fee and time and material contracts, relate primarily to the development of the Company's robotics systems and related technology. Cost-type contracts are generally entered into with the U.S. government. These contracts are billed at cost plus a margin as defined by the contract and the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pStyle w:val="TextBody"/>
        <w:spacing w:before="0" w:after="0"/>
        <w:jc w:val="both"/>
        <w:rPr>
          <w:rFonts w:ascii="Times New Roman" w:hAnsi="Times New Roman"/>
          <w:sz w:val="20"/>
        </w:rPr>
      </w:pPr>
      <w:r>
        <w:rPr>
          <w:rFonts w:ascii="Times New Roman;serif" w:hAnsi="Times New Roman;serif"/>
          <w:b w:val="false"/>
          <w:i/>
          <w:sz w:val="20"/>
        </w:rPr>
        <w:t>Fixed-price contracts</w:t>
      </w:r>
      <w:r>
        <w:rPr>
          <w:rFonts w:ascii="Times New Roman" w:hAnsi="Times New Roman"/>
          <w:sz w:val="20"/>
        </w:rPr>
        <w:t xml:space="preserve"> – </w:t>
      </w:r>
      <w:r>
        <w:rPr>
          <w:rFonts w:ascii="Times New Roman;serif" w:hAnsi="Times New Roman;serif"/>
          <w:b w:val="false"/>
          <w:sz w:val="20"/>
        </w:rPr>
        <w:t>Fixed-price development contracts relate primarily to the development of technology in the area of robotic platforms. Fixed-price development contracts generally require a significant service of integrating a complex set of tasks and components into a single deliverable. Revenue on fixed-price contracts is generally recognized over time as goods and services are provided. To the extent the Company’s actual costs vary from the fixed fee, we will generate more or less profit or could incur a loss. The Company will recognize losses at the contract level in earnings in the period in which they are incurred.</w:t>
      </w:r>
    </w:p>
    <w:p>
      <w:pPr>
        <w:pStyle w:val="TextBody"/>
        <w:spacing w:before="0" w:after="0"/>
        <w:jc w:val="both"/>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Product Revenue</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center"/>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Product revenue relates to sales of the Company’s commercially available products, and certain miscellaneous parts, accessories and repair services. The Company provides a limited one-year warranty on product sales.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revenue recognized for Product Development Contract Revenue and Product Revenue was as follows:</w:t>
      </w:r>
    </w:p>
    <w:p>
      <w:pPr>
        <w:pStyle w:val="TextBody"/>
        <w:spacing w:before="0" w:after="0"/>
        <w:jc w:val="left"/>
        <w:rPr/>
      </w:pPr>
      <w:r>
        <w:rPr/>
        <w:t> </w:t>
      </w:r>
    </w:p>
    <w:tbl>
      <w:tblPr>
        <w:tblW w:w="6565" w:type="dxa"/>
        <w:jc w:val="left"/>
        <w:tblInd w:w="0" w:type="dxa"/>
        <w:tblCellMar>
          <w:top w:w="28" w:type="dxa"/>
          <w:left w:w="28" w:type="dxa"/>
          <w:bottom w:w="28" w:type="dxa"/>
          <w:right w:w="28" w:type="dxa"/>
        </w:tblCellMar>
      </w:tblPr>
      <w:tblGrid>
        <w:gridCol w:w="2971"/>
        <w:gridCol w:w="146"/>
        <w:gridCol w:w="381"/>
        <w:gridCol w:w="995"/>
        <w:gridCol w:w="284"/>
        <w:gridCol w:w="284"/>
        <w:gridCol w:w="381"/>
        <w:gridCol w:w="732"/>
        <w:gridCol w:w="391"/>
      </w:tblGrid>
      <w:tr>
        <w:trPr/>
        <w:tc>
          <w:tcPr>
            <w:tcW w:w="29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97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05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For the 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shd w:fill="auto" w:val="clear"/>
            <w:vAlign w:val="center"/>
          </w:tcPr>
          <w:p>
            <w:pPr>
              <w:pStyle w:val="TableContents"/>
              <w:spacing w:before="0" w:after="0"/>
              <w:ind w:left="0" w:right="0" w:hanging="0"/>
              <w:jc w:val="left"/>
              <w:rPr/>
            </w:pPr>
            <w:r>
              <w:rPr/>
              <w:t> </w:t>
            </w:r>
          </w:p>
        </w:tc>
        <w:tc>
          <w:tcPr>
            <w:tcW w:w="13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11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Product Development Contract Revenue</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2,296</w:t>
            </w:r>
          </w:p>
        </w:tc>
        <w:tc>
          <w:tcPr>
            <w:tcW w:w="284"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733</w:t>
            </w:r>
          </w:p>
        </w:tc>
        <w:tc>
          <w:tcPr>
            <w:tcW w:w="3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Product Revenue</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3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97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Revenue, net</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2,296</w:t>
            </w:r>
          </w:p>
        </w:tc>
        <w:tc>
          <w:tcPr>
            <w:tcW w:w="2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3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743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Contract Balances</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timing of revenue recognition, billing, and cash collection results in the recognition of accounts receivable, unbilled receivables, contract assets and deferred revenue in the Company’s condensed consolidated balance sheets.</w:t>
      </w:r>
    </w:p>
    <w:p>
      <w:pPr>
        <w:pStyle w:val="TextBody"/>
        <w:spacing w:before="0" w:after="0"/>
        <w:jc w:val="both"/>
        <w:rPr>
          <w:rFonts w:ascii="Times New Roman" w:hAnsi="Times New Roman"/>
          <w:sz w:val="20"/>
        </w:rPr>
      </w:pPr>
      <w:r>
        <w:rPr>
          <w:rFonts w:ascii="Times New Roman;serif" w:hAnsi="Times New Roman;serif"/>
          <w:b w:val="false"/>
          <w:sz w:val="20"/>
        </w:rPr>
        <w:t>Cash funds received in excess of revenue recognized that is contingent upon the satisfaction of performance obligations is accounted for as deferred revenue.</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Contract assets include unbilled receivables which are amounts resulting from timing differences between revenue recognition and billing in accordance with agreed-upon contractual terms, which typically occur subsequent to revenue being recognized.</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opening and closing balances of our accounts receivable, unbilled receivables, contract assets and deferred revenue are as follows:</w:t>
      </w:r>
    </w:p>
    <w:p>
      <w:pPr>
        <w:pStyle w:val="TextBody"/>
        <w:spacing w:before="0" w:after="0"/>
        <w:jc w:val="left"/>
        <w:rPr/>
      </w:pPr>
      <w:r>
        <w:rPr/>
        <w:t> </w:t>
      </w:r>
    </w:p>
    <w:tbl>
      <w:tblPr>
        <w:tblW w:w="10074" w:type="dxa"/>
        <w:jc w:val="left"/>
        <w:tblInd w:w="0" w:type="dxa"/>
        <w:tblCellMar>
          <w:top w:w="28" w:type="dxa"/>
          <w:left w:w="28" w:type="dxa"/>
          <w:bottom w:w="28" w:type="dxa"/>
          <w:right w:w="28" w:type="dxa"/>
        </w:tblCellMar>
      </w:tblPr>
      <w:tblGrid>
        <w:gridCol w:w="3061"/>
        <w:gridCol w:w="146"/>
        <w:gridCol w:w="448"/>
        <w:gridCol w:w="1172"/>
        <w:gridCol w:w="146"/>
        <w:gridCol w:w="146"/>
        <w:gridCol w:w="397"/>
        <w:gridCol w:w="1163"/>
        <w:gridCol w:w="166"/>
        <w:gridCol w:w="146"/>
        <w:gridCol w:w="441"/>
        <w:gridCol w:w="849"/>
        <w:gridCol w:w="146"/>
        <w:gridCol w:w="146"/>
        <w:gridCol w:w="466"/>
        <w:gridCol w:w="824"/>
        <w:gridCol w:w="211"/>
      </w:tblGrid>
      <w:tr>
        <w:trPr/>
        <w:tc>
          <w:tcPr>
            <w:tcW w:w="30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shd w:fill="auto" w:val="clear"/>
            <w:vAlign w:val="center"/>
          </w:tcPr>
          <w:p>
            <w:pPr>
              <w:pStyle w:val="TableContents"/>
              <w:spacing w:before="0" w:after="0"/>
              <w:ind w:left="0" w:right="0" w:hanging="0"/>
              <w:jc w:val="left"/>
              <w:rPr/>
            </w:pPr>
            <w:r>
              <w:rPr/>
              <w:t> </w:t>
            </w:r>
          </w:p>
        </w:tc>
        <w:tc>
          <w:tcPr>
            <w:tcW w:w="16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Accounts receivable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Unbilled receivable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Contract assets</w:t>
              <w:br/>
              <w:t>(current)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Contract assets</w:t>
              <w:br/>
              <w:t>(long-term)</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Ending Balance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44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7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6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211" w:type="dxa"/>
            <w:tcBorders/>
            <w:shd w:fill="auto" w:val="clear"/>
            <w:vAlign w:val="center"/>
          </w:tcPr>
          <w:p>
            <w:pPr>
              <w:pStyle w:val="TableContents"/>
              <w:spacing w:before="0" w:after="0"/>
              <w:ind w:left="0" w:right="0" w:hanging="0"/>
              <w:jc w:val="left"/>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Increase/(decrease), net</w:t>
            </w:r>
          </w:p>
        </w:tc>
        <w:tc>
          <w:tcPr>
            <w:tcW w:w="146" w:type="dxa"/>
            <w:tcBorders/>
            <w:shd w:fill="auto" w:val="clear"/>
            <w:vAlign w:val="center"/>
          </w:tcPr>
          <w:p>
            <w:pPr>
              <w:pStyle w:val="TableContents"/>
              <w:spacing w:before="0" w:after="0"/>
              <w:ind w:left="0" w:right="0" w:hanging="0"/>
              <w:jc w:val="left"/>
              <w:rPr/>
            </w:pPr>
            <w:r>
              <w:rPr/>
              <w:t> </w:t>
            </w:r>
          </w:p>
        </w:tc>
        <w:tc>
          <w:tcPr>
            <w:tcW w:w="4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4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Ending Balance as of March 31, 2023</w:t>
            </w:r>
          </w:p>
        </w:tc>
        <w:tc>
          <w:tcPr>
            <w:tcW w:w="146" w:type="dxa"/>
            <w:tcBorders/>
            <w:shd w:fill="auto" w:val="clear"/>
            <w:vAlign w:val="center"/>
          </w:tcPr>
          <w:p>
            <w:pPr>
              <w:pStyle w:val="TableContents"/>
              <w:spacing w:before="0" w:after="0"/>
              <w:ind w:left="0" w:right="0" w:hanging="0"/>
              <w:jc w:val="left"/>
              <w:rPr/>
            </w:pPr>
            <w:r>
              <w:rPr/>
              <w:t> </w:t>
            </w:r>
          </w:p>
        </w:tc>
        <w:tc>
          <w:tcPr>
            <w:tcW w:w="4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2,314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2,321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Company recorded its current contract assets, long-term contract assets and current deferred revenue within prepaid expenses and other current assets, other non-current assets and accrued liabilities, respectively. During the three months ended March 31, 2023</w:t>
      </w:r>
      <w:r>
        <w:rPr>
          <w:rFonts w:ascii="Times New Roman" w:hAnsi="Times New Roman"/>
          <w:sz w:val="20"/>
        </w:rPr>
        <w:t xml:space="preserve"> </w:t>
      </w:r>
      <w:r>
        <w:rPr>
          <w:rFonts w:ascii="Times New Roman;serif" w:hAnsi="Times New Roman;serif"/>
          <w:b w:val="false"/>
          <w:sz w:val="20"/>
        </w:rPr>
        <w:t>and 2022, the Company did not recognize any revenue related to deferred revenue which existed at December 31, 2022 and 2021, respectively.</w:t>
      </w:r>
    </w:p>
    <w:p>
      <w:pPr>
        <w:pStyle w:val="TextBody"/>
        <w:spacing w:before="0" w:after="0"/>
        <w:jc w:val="both"/>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Remaining Performance Obligations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As of March 31, 2023, the Company had backlog, or revenue related to remaining performance obligations, of $3.8</w:t>
      </w:r>
      <w:r>
        <w:rPr>
          <w:rFonts w:ascii="Times New Roman" w:hAnsi="Times New Roman"/>
          <w:sz w:val="20"/>
        </w:rPr>
        <w:t xml:space="preserve"> </w:t>
      </w:r>
      <w:r>
        <w:rPr>
          <w:rFonts w:ascii="Times New Roman;serif" w:hAnsi="Times New Roman;serif"/>
          <w:b w:val="false"/>
          <w:sz w:val="20"/>
        </w:rPr>
        <w:t>million, the Company expects most of this backlog to be recognized over the next 12 months.</w:t>
      </w:r>
    </w:p>
    <w:p>
      <w:pPr>
        <w:pStyle w:val="TextBody"/>
        <w:spacing w:before="0" w:after="0"/>
        <w:jc w:val="both"/>
        <w:rPr>
          <w:rFonts w:ascii="Times New Roman" w:hAnsi="Times New Roman"/>
          <w:sz w:val="20"/>
        </w:rPr>
      </w:pPr>
      <w:r>
        <w:rPr>
          <w:rFonts w:ascii="Times New Roman;serif" w:hAnsi="Times New Roman;serif"/>
          <w:b w:val="false"/>
          <w:sz w:val="20"/>
        </w:rPr>
        <w:br/>
      </w:r>
      <w:r>
        <w:rPr>
          <w:rFonts w:ascii="Times New Roman;serif" w:hAnsi="Times New Roman;serif"/>
          <w:b/>
          <w:sz w:val="20"/>
        </w:rPr>
        <w:t>Recently Adopted Accounting Pronouncements</w:t>
      </w:r>
      <w:r>
        <w:rPr>
          <w:rFonts w:ascii="Times New Roman;serif" w:hAnsi="Times New Roman;serif"/>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pStyle w:val="TextBody"/>
        <w:spacing w:before="0" w:after="0"/>
        <w:jc w:val="both"/>
        <w:rPr>
          <w:rFonts w:ascii="Times New Roman" w:hAnsi="Times New Roman"/>
          <w:sz w:val="20"/>
        </w:rPr>
      </w:pPr>
      <w:r>
        <w:rPr>
          <w:rFonts w:ascii="Times New Roman;serif" w:hAnsi="Times New Roman;serif"/>
          <w:b w:val="false"/>
          <w:sz w:val="20"/>
        </w:rPr>
        <w:t xml:space="preserve">In June 2016, the FASB issued ASU 2016-13, </w:t>
      </w:r>
      <w:r>
        <w:rPr>
          <w:rFonts w:ascii="Times New Roman;serif" w:hAnsi="Times New Roman;serif"/>
          <w:b w:val="false"/>
          <w:i/>
          <w:sz w:val="20"/>
        </w:rPr>
        <w:t>Financial Instruments—Credit Losses</w:t>
      </w:r>
      <w:r>
        <w:rPr>
          <w:rFonts w:ascii="Times New Roman" w:hAnsi="Times New Roman"/>
          <w:sz w:val="20"/>
        </w:rPr>
        <w:t xml:space="preserve"> </w:t>
      </w:r>
      <w:r>
        <w:rPr>
          <w:rFonts w:ascii="Times New Roman;serif" w:hAnsi="Times New Roman;serif"/>
          <w:b w:val="false"/>
          <w:sz w:val="20"/>
        </w:rPr>
        <w:t xml:space="preserve">(Topic 326): </w:t>
      </w:r>
      <w:r>
        <w:rPr>
          <w:rFonts w:ascii="Times New Roman;serif" w:hAnsi="Times New Roman;serif"/>
          <w:b w:val="false"/>
          <w:i/>
          <w:sz w:val="20"/>
        </w:rPr>
        <w:t>Measurement of Credit Losses on Financial Instruments</w:t>
      </w:r>
      <w:r>
        <w:rPr>
          <w:rFonts w:ascii="Times New Roman;serif" w:hAnsi="Times New Roman;serif"/>
          <w:b w:val="false"/>
          <w:sz w:val="20"/>
        </w:rPr>
        <w:t>. The new standard requires financial assets measured at amortized cost to be presented at the net amount expected to be collected, through an allowance for credit losses that is deducted from the amortized cost basis. The Company adopted</w:t>
      </w:r>
      <w:r>
        <w:rPr>
          <w:rFonts w:ascii="Times New Roman" w:hAnsi="Times New Roman"/>
          <w:sz w:val="20"/>
        </w:rPr>
        <w:t xml:space="preserve"> </w:t>
      </w:r>
      <w:r>
        <w:rPr>
          <w:rFonts w:ascii="Times New Roman;serif" w:hAnsi="Times New Roman;serif"/>
          <w:b w:val="false"/>
          <w:sz w:val="20"/>
        </w:rPr>
        <w:t>ASU 2016-13 on January 1, 2023. The adoption of ASU 2016-13 did not</w:t>
      </w:r>
      <w:r>
        <w:rPr>
          <w:rFonts w:ascii="Times New Roman" w:hAnsi="Times New Roman"/>
          <w:sz w:val="20"/>
        </w:rPr>
        <w:t xml:space="preserve"> </w:t>
      </w:r>
      <w:r>
        <w:rPr>
          <w:rFonts w:ascii="Times New Roman;serif" w:hAnsi="Times New Roman;serif"/>
          <w:b w:val="false"/>
          <w:sz w:val="20"/>
        </w:rPr>
        <w:t>have a material impact on the Company's condensed consolidated financial statements and related disclosures.</w:t>
      </w:r>
    </w:p>
    <w:p>
      <w:pPr>
        <w:pStyle w:val="TextBody"/>
        <w:spacing w:before="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center"/>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2. Fair Value Measurements</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ASC Topic 820, Fair Value Measurement, defines fair value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Level 1—Fair value is based on observable inputs such as quoted prices for identical assets or liabilities in active markets.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Level 2—Fair value is determined using quoted prices for similar assets or liabilities in active markets or quoted prices for identical or similar assets or liabilities in markets that are not active or are directly or indirectly observable.</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Level 3—Fair value is determined using one or more significant inputs that are unobservable in active markets at the measurement date, such as an option pricing model, discounted cash flow or similar technique.</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Financial Assets and Liabilities Measured at Fair Value on a Recurring Basis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On a recurring basis, the Company measures certain of its financial assets and liabilities at fair value. The fair value of the Company’s financial assets and liabilities measured at fair value on a recurring basis was determined using the following inputs:</w:t>
      </w:r>
    </w:p>
    <w:p>
      <w:pPr>
        <w:pStyle w:val="TextBody"/>
        <w:spacing w:before="0" w:after="0"/>
        <w:jc w:val="left"/>
        <w:rPr/>
      </w:pPr>
      <w:r>
        <w:rPr/>
        <w:t> </w:t>
      </w:r>
    </w:p>
    <w:tbl>
      <w:tblPr>
        <w:tblW w:w="6068" w:type="dxa"/>
        <w:jc w:val="left"/>
        <w:tblInd w:w="0" w:type="dxa"/>
        <w:tblCellMar>
          <w:top w:w="28" w:type="dxa"/>
          <w:left w:w="28" w:type="dxa"/>
          <w:bottom w:w="28" w:type="dxa"/>
          <w:right w:w="28" w:type="dxa"/>
        </w:tblCellMar>
      </w:tblPr>
      <w:tblGrid>
        <w:gridCol w:w="1771"/>
        <w:gridCol w:w="146"/>
        <w:gridCol w:w="196"/>
        <w:gridCol w:w="601"/>
        <w:gridCol w:w="146"/>
        <w:gridCol w:w="146"/>
        <w:gridCol w:w="221"/>
        <w:gridCol w:w="424"/>
        <w:gridCol w:w="146"/>
        <w:gridCol w:w="146"/>
        <w:gridCol w:w="233"/>
        <w:gridCol w:w="412"/>
        <w:gridCol w:w="146"/>
        <w:gridCol w:w="146"/>
        <w:gridCol w:w="196"/>
        <w:gridCol w:w="601"/>
        <w:gridCol w:w="391"/>
      </w:tblGrid>
      <w:tr>
        <w:trPr/>
        <w:tc>
          <w:tcPr>
            <w:tcW w:w="17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77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3760"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As of 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4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4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77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69,352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2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1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69,352</w:t>
            </w:r>
          </w:p>
        </w:tc>
        <w:tc>
          <w:tcPr>
            <w:tcW w:w="391" w:type="dxa"/>
            <w:tcBorders/>
            <w:shd w:fill="auto" w:val="clear"/>
            <w:vAlign w:val="center"/>
          </w:tcPr>
          <w:p>
            <w:pPr>
              <w:pStyle w:val="TableContents"/>
              <w:spacing w:before="0" w:after="0"/>
              <w:ind w:left="0" w:right="0" w:hanging="0"/>
              <w:jc w:val="left"/>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69,352</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2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1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69,352</w:t>
            </w:r>
          </w:p>
        </w:tc>
        <w:tc>
          <w:tcPr>
            <w:tcW w:w="3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17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Liabilities:</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77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Warrant liability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6068" w:type="dxa"/>
        <w:jc w:val="left"/>
        <w:tblInd w:w="0" w:type="dxa"/>
        <w:tblCellMar>
          <w:top w:w="28" w:type="dxa"/>
          <w:left w:w="28" w:type="dxa"/>
          <w:bottom w:w="28" w:type="dxa"/>
          <w:right w:w="28" w:type="dxa"/>
        </w:tblCellMar>
      </w:tblPr>
      <w:tblGrid>
        <w:gridCol w:w="1771"/>
        <w:gridCol w:w="146"/>
        <w:gridCol w:w="196"/>
        <w:gridCol w:w="601"/>
        <w:gridCol w:w="146"/>
        <w:gridCol w:w="146"/>
        <w:gridCol w:w="221"/>
        <w:gridCol w:w="424"/>
        <w:gridCol w:w="146"/>
        <w:gridCol w:w="146"/>
        <w:gridCol w:w="233"/>
        <w:gridCol w:w="412"/>
        <w:gridCol w:w="146"/>
        <w:gridCol w:w="146"/>
        <w:gridCol w:w="196"/>
        <w:gridCol w:w="601"/>
        <w:gridCol w:w="391"/>
      </w:tblGrid>
      <w:tr>
        <w:trPr/>
        <w:tc>
          <w:tcPr>
            <w:tcW w:w="17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771" w:type="dxa"/>
            <w:tcBorders/>
            <w:shd w:fill="auto" w:val="clear"/>
            <w:vAlign w:val="center"/>
          </w:tcPr>
          <w:p>
            <w:pPr>
              <w:pStyle w:val="TableContents"/>
              <w:spacing w:before="0" w:after="0"/>
              <w:ind w:left="0" w:right="0" w:hanging="0"/>
              <w:jc w:val="left"/>
              <w:rPr>
                <w:rFonts w:cs="Times New Roman;serif"/>
                <w:bCs/>
                <w:szCs w:val="18"/>
              </w:rPr>
            </w:pPr>
            <w:r>
              <w:rPr>
                <w:rFonts w:cs="Times New Roman;serif"/>
                <w:bCs/>
                <w:szCs w:val="18"/>
              </w:rPr>
              <w:t>﻿</w:t>
            </w:r>
          </w:p>
        </w:tc>
        <w:tc>
          <w:tcPr>
            <w:tcW w:w="146" w:type="dxa"/>
            <w:tcBorders/>
            <w:shd w:fill="auto" w:val="clear"/>
            <w:vAlign w:val="center"/>
          </w:tcPr>
          <w:p>
            <w:pPr>
              <w:pStyle w:val="TableContents"/>
              <w:spacing w:before="0" w:after="0"/>
              <w:ind w:left="0" w:right="0" w:hanging="0"/>
              <w:jc w:val="left"/>
              <w:rPr/>
            </w:pPr>
            <w:r>
              <w:rPr/>
              <w:t> </w:t>
            </w:r>
          </w:p>
        </w:tc>
        <w:tc>
          <w:tcPr>
            <w:tcW w:w="3760"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As of 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177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79,337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79,337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79,337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79,337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Liabilities:</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77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Warrant liability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serif" w:hAnsi="Times New Roman;serif"/>
          <w:b w:val="false"/>
          <w:sz w:val="20"/>
        </w:rPr>
        <w:t>As of March 31, 2023, the Company held $69.4</w:t>
      </w:r>
      <w:r>
        <w:rPr>
          <w:rFonts w:ascii="Times New Roman" w:hAnsi="Times New Roman"/>
          <w:sz w:val="20"/>
        </w:rPr>
        <w:t xml:space="preserve"> </w:t>
      </w:r>
      <w:r>
        <w:rPr>
          <w:rFonts w:ascii="Times New Roman;serif" w:hAnsi="Times New Roman;serif"/>
          <w:b w:val="false"/>
          <w:sz w:val="20"/>
        </w:rPr>
        <w:t>million of available-for-sale debt securities with maturity dates within one year. The fair value of the Company's available-for-sale debt securities approximates their amortized cost basis. The Company considers all highly liquid investments purchased with an original maturity of three months or less to be cash equivalents. The carrying amounts of accounts payable and accrued expenses approximate their fair values because of the relatively short periods until they are required to be settled.</w:t>
      </w:r>
    </w:p>
    <w:p>
      <w:pPr>
        <w:pStyle w:val="TextBody"/>
        <w:spacing w:before="0" w:after="0"/>
        <w:jc w:val="both"/>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3. Balance Sheet Components</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Inventories, Net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Inventories, net consist of the following:</w:t>
      </w:r>
    </w:p>
    <w:p>
      <w:pPr>
        <w:pStyle w:val="TextBody"/>
        <w:spacing w:before="0" w:after="0"/>
        <w:jc w:val="left"/>
        <w:rPr/>
      </w:pPr>
      <w:r>
        <w:rPr/>
        <w:t> </w:t>
      </w:r>
    </w:p>
    <w:tbl>
      <w:tblPr>
        <w:tblW w:w="5270" w:type="dxa"/>
        <w:jc w:val="left"/>
        <w:tblInd w:w="0" w:type="dxa"/>
        <w:tblCellMar>
          <w:top w:w="28" w:type="dxa"/>
          <w:left w:w="28" w:type="dxa"/>
          <w:bottom w:w="28" w:type="dxa"/>
          <w:right w:w="28" w:type="dxa"/>
        </w:tblCellMar>
      </w:tblPr>
      <w:tblGrid>
        <w:gridCol w:w="1606"/>
        <w:gridCol w:w="146"/>
        <w:gridCol w:w="357"/>
        <w:gridCol w:w="933"/>
        <w:gridCol w:w="146"/>
        <w:gridCol w:w="146"/>
        <w:gridCol w:w="427"/>
        <w:gridCol w:w="1118"/>
        <w:gridCol w:w="391"/>
      </w:tblGrid>
      <w:tr>
        <w:trPr/>
        <w:tc>
          <w:tcPr>
            <w:tcW w:w="1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Raw materials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1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2,081</w:t>
            </w:r>
          </w:p>
        </w:tc>
        <w:tc>
          <w:tcPr>
            <w:tcW w:w="391"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Work-in-process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9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7" w:type="dxa"/>
            <w:tcBorders/>
            <w:shd w:fill="auto" w:val="clear"/>
            <w:vAlign w:val="center"/>
          </w:tcPr>
          <w:p>
            <w:pPr>
              <w:pStyle w:val="TableContents"/>
              <w:spacing w:before="0" w:after="0"/>
              <w:ind w:left="0" w:right="0" w:hanging="0"/>
              <w:jc w:val="left"/>
              <w:rPr/>
            </w:pPr>
            <w:r>
              <w:rPr/>
              <w:t> </w:t>
            </w:r>
          </w:p>
        </w:tc>
        <w:tc>
          <w:tcPr>
            <w:tcW w:w="111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180</w:t>
            </w:r>
          </w:p>
        </w:tc>
        <w:tc>
          <w:tcPr>
            <w:tcW w:w="391"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Finished goods, net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1,541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1,301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60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Total inventories, net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6,058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3,562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Company had inventory reserves of $0.4</w:t>
      </w:r>
      <w:r>
        <w:rPr>
          <w:rFonts w:ascii="Times New Roman" w:hAnsi="Times New Roman"/>
          <w:sz w:val="20"/>
        </w:rPr>
        <w:t xml:space="preserve"> </w:t>
      </w:r>
      <w:r>
        <w:rPr>
          <w:rFonts w:ascii="Times New Roman;serif" w:hAnsi="Times New Roman;serif"/>
          <w:b w:val="false"/>
          <w:sz w:val="20"/>
        </w:rPr>
        <w:t>million as of March 31, 2023 and December 31, 2022.</w:t>
      </w:r>
    </w:p>
    <w:p>
      <w:pPr>
        <w:pStyle w:val="TextBody"/>
        <w:spacing w:before="0" w:after="0"/>
        <w:jc w:val="both"/>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Prepaid Expenses and Other Current Assets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Prepaid expenses and other current assets consist of the following:</w:t>
      </w:r>
    </w:p>
    <w:p>
      <w:pPr>
        <w:pStyle w:val="TextBody"/>
        <w:spacing w:before="0" w:after="0"/>
        <w:jc w:val="left"/>
        <w:rPr/>
      </w:pPr>
      <w:r>
        <w:rPr/>
        <w:t> </w:t>
      </w:r>
    </w:p>
    <w:tbl>
      <w:tblPr>
        <w:tblW w:w="7115" w:type="dxa"/>
        <w:jc w:val="left"/>
        <w:tblInd w:w="0" w:type="dxa"/>
        <w:tblCellMar>
          <w:top w:w="28" w:type="dxa"/>
          <w:left w:w="28" w:type="dxa"/>
          <w:bottom w:w="28" w:type="dxa"/>
          <w:right w:w="28" w:type="dxa"/>
        </w:tblCellMar>
      </w:tblPr>
      <w:tblGrid>
        <w:gridCol w:w="3451"/>
        <w:gridCol w:w="146"/>
        <w:gridCol w:w="357"/>
        <w:gridCol w:w="933"/>
        <w:gridCol w:w="146"/>
        <w:gridCol w:w="146"/>
        <w:gridCol w:w="427"/>
        <w:gridCol w:w="1118"/>
        <w:gridCol w:w="391"/>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Prepaid insurance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1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3,420</w:t>
            </w:r>
          </w:p>
        </w:tc>
        <w:tc>
          <w:tcPr>
            <w:tcW w:w="3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Software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9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7" w:type="dxa"/>
            <w:tcBorders/>
            <w:shd w:fill="auto" w:val="clear"/>
            <w:vAlign w:val="center"/>
          </w:tcPr>
          <w:p>
            <w:pPr>
              <w:pStyle w:val="TableContents"/>
              <w:spacing w:before="0" w:after="0"/>
              <w:ind w:left="0" w:right="0" w:hanging="0"/>
              <w:jc w:val="left"/>
              <w:rPr/>
            </w:pPr>
            <w:r>
              <w:rPr/>
              <w:t> </w:t>
            </w:r>
          </w:p>
        </w:tc>
        <w:tc>
          <w:tcPr>
            <w:tcW w:w="111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1,191</w:t>
            </w:r>
          </w:p>
        </w:tc>
        <w:tc>
          <w:tcPr>
            <w:tcW w:w="3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prepaid expenses and assets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45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Total 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5,046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5,015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Property and Equipment, Net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Property and equipment, net consist of the following:</w:t>
      </w:r>
    </w:p>
    <w:p>
      <w:pPr>
        <w:pStyle w:val="TextBody"/>
        <w:spacing w:before="0" w:after="0"/>
        <w:jc w:val="left"/>
        <w:rPr/>
      </w:pPr>
      <w:r>
        <w:rPr/>
        <w:t> </w:t>
      </w:r>
    </w:p>
    <w:tbl>
      <w:tblPr>
        <w:tblW w:w="6990" w:type="dxa"/>
        <w:jc w:val="left"/>
        <w:tblInd w:w="0" w:type="dxa"/>
        <w:tblCellMar>
          <w:top w:w="28" w:type="dxa"/>
          <w:left w:w="28" w:type="dxa"/>
          <w:bottom w:w="28" w:type="dxa"/>
          <w:right w:w="28" w:type="dxa"/>
        </w:tblCellMar>
      </w:tblPr>
      <w:tblGrid>
        <w:gridCol w:w="3286"/>
        <w:gridCol w:w="146"/>
        <w:gridCol w:w="317"/>
        <w:gridCol w:w="973"/>
        <w:gridCol w:w="166"/>
        <w:gridCol w:w="146"/>
        <w:gridCol w:w="379"/>
        <w:gridCol w:w="1166"/>
        <w:gridCol w:w="411"/>
      </w:tblGrid>
      <w:tr>
        <w:trPr/>
        <w:tc>
          <w:tcPr>
            <w:tcW w:w="3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Robotics and manufacturing equipment</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1,610</w:t>
            </w:r>
          </w:p>
        </w:tc>
        <w:tc>
          <w:tcPr>
            <w:tcW w:w="41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9" w:type="dxa"/>
            <w:tcBorders/>
            <w:shd w:fill="auto" w:val="clear"/>
            <w:vAlign w:val="center"/>
          </w:tcPr>
          <w:p>
            <w:pPr>
              <w:pStyle w:val="TableContents"/>
              <w:spacing w:before="0" w:after="0"/>
              <w:ind w:left="0" w:right="0" w:hanging="0"/>
              <w:jc w:val="left"/>
              <w:rPr/>
            </w:pPr>
            <w:r>
              <w:rPr/>
              <w:t> </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4,442</w:t>
            </w:r>
          </w:p>
        </w:tc>
        <w:tc>
          <w:tcPr>
            <w:tcW w:w="41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Computer equipment</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9" w:type="dxa"/>
            <w:tcBorders/>
            <w:shd w:fill="auto" w:val="clear"/>
            <w:vAlign w:val="center"/>
          </w:tcPr>
          <w:p>
            <w:pPr>
              <w:pStyle w:val="TableContents"/>
              <w:spacing w:before="0" w:after="0"/>
              <w:ind w:left="0" w:right="0" w:hanging="0"/>
              <w:jc w:val="left"/>
              <w:rPr/>
            </w:pPr>
            <w:r>
              <w:rPr/>
              <w:t> </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1,719</w:t>
            </w:r>
          </w:p>
        </w:tc>
        <w:tc>
          <w:tcPr>
            <w:tcW w:w="41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Financed leased computer equipment</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9" w:type="dxa"/>
            <w:tcBorders/>
            <w:shd w:fill="auto" w:val="clear"/>
            <w:vAlign w:val="center"/>
          </w:tcPr>
          <w:p>
            <w:pPr>
              <w:pStyle w:val="TableContents"/>
              <w:spacing w:before="0" w:after="0"/>
              <w:ind w:left="0" w:right="0" w:hanging="0"/>
              <w:jc w:val="left"/>
              <w:rPr/>
            </w:pPr>
            <w:r>
              <w:rPr/>
              <w:t> </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271</w:t>
            </w:r>
          </w:p>
        </w:tc>
        <w:tc>
          <w:tcPr>
            <w:tcW w:w="41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Software</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9" w:type="dxa"/>
            <w:tcBorders/>
            <w:shd w:fill="auto" w:val="clear"/>
            <w:vAlign w:val="center"/>
          </w:tcPr>
          <w:p>
            <w:pPr>
              <w:pStyle w:val="TableContents"/>
              <w:spacing w:before="0" w:after="0"/>
              <w:ind w:left="0" w:right="0" w:hanging="0"/>
              <w:jc w:val="left"/>
              <w:rPr/>
            </w:pPr>
            <w:r>
              <w:rPr/>
              <w:t> </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389</w:t>
            </w:r>
          </w:p>
        </w:tc>
        <w:tc>
          <w:tcPr>
            <w:tcW w:w="41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Furniture and fixtures, and other fixed assets</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9" w:type="dxa"/>
            <w:tcBorders/>
            <w:shd w:fill="auto" w:val="clear"/>
            <w:vAlign w:val="center"/>
          </w:tcPr>
          <w:p>
            <w:pPr>
              <w:pStyle w:val="TableContents"/>
              <w:spacing w:before="0" w:after="0"/>
              <w:ind w:left="0" w:right="0" w:hanging="0"/>
              <w:jc w:val="left"/>
              <w:rPr/>
            </w:pPr>
            <w:r>
              <w:rPr/>
              <w:t> </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1,835</w:t>
            </w:r>
          </w:p>
        </w:tc>
        <w:tc>
          <w:tcPr>
            <w:tcW w:w="411" w:type="dxa"/>
            <w:tcBorders/>
            <w:shd w:fill="auto" w:val="clear"/>
            <w:vAlign w:val="center"/>
          </w:tcPr>
          <w:p>
            <w:pPr>
              <w:pStyle w:val="TableContents"/>
              <w:spacing w:before="0" w:after="0"/>
              <w:ind w:left="0" w:right="0" w:firstLine="200"/>
              <w:jc w:val="left"/>
              <w:rPr/>
            </w:pPr>
            <w:r>
              <w:rPr/>
              <w:t> </w:t>
            </w:r>
          </w:p>
        </w:tc>
      </w:tr>
      <w:tr>
        <w:trPr/>
        <w:tc>
          <w:tcPr>
            <w:tcW w:w="328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Property and equipment, gross</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973"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10,685</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9"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10,266</w:t>
            </w:r>
          </w:p>
        </w:tc>
        <w:tc>
          <w:tcPr>
            <w:tcW w:w="4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Accumulated depreciation</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(3,051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(2,626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328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7,634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7,640</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Depreciation expenses were $0.4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$0.3</w:t>
      </w:r>
      <w:r>
        <w:rPr>
          <w:rFonts w:ascii="Times New Roman" w:hAnsi="Times New Roman"/>
          <w:sz w:val="20"/>
        </w:rPr>
        <w:t xml:space="preserve"> </w:t>
      </w:r>
      <w:r>
        <w:rPr>
          <w:rFonts w:ascii="Times New Roman;serif" w:hAnsi="Times New Roman;serif"/>
          <w:b w:val="false"/>
          <w:sz w:val="20"/>
        </w:rPr>
        <w:t>million, for the three months ended March 31, 2023 and 2022, respectively.</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Accrued Liabilities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Accrued liabilities consist of the following:</w:t>
      </w:r>
    </w:p>
    <w:p>
      <w:pPr>
        <w:pStyle w:val="TextBody"/>
        <w:spacing w:before="0" w:after="0"/>
        <w:jc w:val="left"/>
        <w:rPr/>
      </w:pPr>
      <w:r>
        <w:rPr/>
        <w:t> </w:t>
      </w:r>
    </w:p>
    <w:tbl>
      <w:tblPr>
        <w:tblW w:w="6980" w:type="dxa"/>
        <w:jc w:val="left"/>
        <w:tblInd w:w="0" w:type="dxa"/>
        <w:tblCellMar>
          <w:top w:w="28" w:type="dxa"/>
          <w:left w:w="28" w:type="dxa"/>
          <w:bottom w:w="28" w:type="dxa"/>
          <w:right w:w="28" w:type="dxa"/>
        </w:tblCellMar>
      </w:tblPr>
      <w:tblGrid>
        <w:gridCol w:w="3316"/>
        <w:gridCol w:w="146"/>
        <w:gridCol w:w="357"/>
        <w:gridCol w:w="933"/>
        <w:gridCol w:w="146"/>
        <w:gridCol w:w="146"/>
        <w:gridCol w:w="427"/>
        <w:gridCol w:w="1118"/>
        <w:gridCol w:w="391"/>
      </w:tblGrid>
      <w:tr>
        <w:trPr/>
        <w:tc>
          <w:tcPr>
            <w:tcW w:w="3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Payroll and related costs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1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4,271</w:t>
            </w:r>
          </w:p>
        </w:tc>
        <w:tc>
          <w:tcPr>
            <w:tcW w:w="391" w:type="dxa"/>
            <w:tcBorders/>
            <w:shd w:fill="auto" w:val="cle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accrued expenses and current liabilities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3,104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1,754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31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Total accrued liabilities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5,856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6,025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4. Acquisitions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On April 25, 2022, the Company acquired RE2, Inc. a Pittsburgh, PA based developer of autonomous and teleoperated mobile robotic systems. This acquisition significantly increased our engineering team and added additional products and target markets to the Company’s</w:t>
      </w:r>
      <w:r>
        <w:rPr>
          <w:rFonts w:ascii="Times New Roman" w:hAnsi="Times New Roman"/>
          <w:sz w:val="20"/>
        </w:rPr>
        <w:t xml:space="preserve"> </w:t>
      </w:r>
      <w:r>
        <w:rPr>
          <w:rFonts w:ascii="Times New Roman;serif" w:hAnsi="Times New Roman;serif"/>
          <w:b w:val="false"/>
          <w:sz w:val="20"/>
        </w:rPr>
        <w:t>total addressable market. The aggregate consideration transferred was $90.1</w:t>
      </w:r>
      <w:r>
        <w:rPr>
          <w:rFonts w:ascii="Times New Roman" w:hAnsi="Times New Roman"/>
          <w:sz w:val="20"/>
        </w:rPr>
        <w:t xml:space="preserve"> </w:t>
      </w:r>
      <w:r>
        <w:rPr>
          <w:rFonts w:ascii="Times New Roman;serif" w:hAnsi="Times New Roman;serif"/>
          <w:b w:val="false"/>
          <w:sz w:val="20"/>
        </w:rPr>
        <w:t>million, of which $30.7</w:t>
      </w:r>
      <w:r>
        <w:rPr>
          <w:rFonts w:ascii="Times New Roman" w:hAnsi="Times New Roman"/>
          <w:sz w:val="20"/>
        </w:rPr>
        <w:t xml:space="preserve"> </w:t>
      </w:r>
      <w:r>
        <w:rPr>
          <w:rFonts w:ascii="Times New Roman;serif" w:hAnsi="Times New Roman;serif"/>
          <w:b w:val="false"/>
          <w:sz w:val="20"/>
        </w:rPr>
        <w:t>million was paid in cash, $44.0</w:t>
      </w:r>
      <w:r>
        <w:rPr>
          <w:rFonts w:ascii="Times New Roman" w:hAnsi="Times New Roman"/>
          <w:sz w:val="20"/>
        </w:rPr>
        <w:t xml:space="preserve"> </w:t>
      </w:r>
      <w:r>
        <w:rPr>
          <w:rFonts w:ascii="Times New Roman;serif" w:hAnsi="Times New Roman;serif"/>
          <w:b w:val="false"/>
          <w:sz w:val="20"/>
        </w:rPr>
        <w:t>million was comprised of 9,372,674</w:t>
      </w:r>
      <w:r>
        <w:rPr>
          <w:rFonts w:ascii="Times New Roman" w:hAnsi="Times New Roman"/>
          <w:sz w:val="20"/>
        </w:rPr>
        <w:t xml:space="preserve"> </w:t>
      </w:r>
      <w:r>
        <w:rPr>
          <w:rFonts w:ascii="Times New Roman;serif" w:hAnsi="Times New Roman;serif"/>
          <w:b w:val="false"/>
          <w:sz w:val="20"/>
        </w:rPr>
        <w:t>shares of common stock and $15.4</w:t>
      </w:r>
      <w:r>
        <w:rPr>
          <w:rFonts w:ascii="Times New Roman" w:hAnsi="Times New Roman"/>
          <w:sz w:val="20"/>
        </w:rPr>
        <w:t xml:space="preserve"> </w:t>
      </w:r>
      <w:r>
        <w:rPr>
          <w:rFonts w:ascii="Times New Roman;serif" w:hAnsi="Times New Roman;serif"/>
          <w:b w:val="false"/>
          <w:sz w:val="20"/>
        </w:rPr>
        <w:t>million was comprised of assumed options to purchase 3,877,039</w:t>
      </w:r>
      <w:r>
        <w:rPr>
          <w:rFonts w:ascii="Times New Roman" w:hAnsi="Times New Roman"/>
          <w:sz w:val="20"/>
        </w:rPr>
        <w:t xml:space="preserve"> </w:t>
      </w:r>
      <w:r>
        <w:rPr>
          <w:rFonts w:ascii="Times New Roman;serif" w:hAnsi="Times New Roman;serif"/>
          <w:b w:val="false"/>
          <w:sz w:val="20"/>
        </w:rPr>
        <w:t>shares of common stock. Additionally, 1,400,000</w:t>
      </w:r>
      <w:r>
        <w:rPr>
          <w:rFonts w:ascii="Times New Roman" w:hAnsi="Times New Roman"/>
          <w:sz w:val="20"/>
        </w:rPr>
        <w:t xml:space="preserve"> </w:t>
      </w:r>
      <w:r>
        <w:rPr>
          <w:rFonts w:ascii="Times New Roman;serif" w:hAnsi="Times New Roman;serif"/>
          <w:b w:val="false"/>
          <w:sz w:val="20"/>
        </w:rPr>
        <w:t>shares of common stock were issued with a fair value of $6.6</w:t>
      </w:r>
      <w:r>
        <w:rPr>
          <w:rFonts w:ascii="Times New Roman" w:hAnsi="Times New Roman"/>
          <w:sz w:val="20"/>
        </w:rPr>
        <w:t xml:space="preserve"> </w:t>
      </w:r>
      <w:r>
        <w:rPr>
          <w:rFonts w:ascii="Times New Roman;serif" w:hAnsi="Times New Roman;serif"/>
          <w:b w:val="false"/>
          <w:sz w:val="20"/>
        </w:rPr>
        <w:t>million at the time of grant. These shares are subject to risk of forfeiture which lapses in full four years</w:t>
      </w:r>
      <w:r>
        <w:rPr>
          <w:rFonts w:ascii="Times New Roman" w:hAnsi="Times New Roman"/>
          <w:sz w:val="20"/>
        </w:rPr>
        <w:t xml:space="preserve"> </w:t>
      </w:r>
      <w:r>
        <w:rPr>
          <w:rFonts w:ascii="Times New Roman;serif" w:hAnsi="Times New Roman;serif"/>
          <w:b w:val="false"/>
          <w:sz w:val="20"/>
        </w:rPr>
        <w:t>after the acquisition date. These shares were excluded from the consideration transferred and are being recorded as stock-based compensation expense.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acquisition was accounted for as a business combination and the total purchase consideration was allocated to the net tangible and intangible assets and liabilities based on their fair values on the acquisition date and the excess was recorded as goodwill. The values assigned to the assets acquired and liabilities assumed are based on preliminary estimates of fair value available as of the issuance date of these consolidated financial statements and may be adjusted during the measurement period of up to 12 months from the date of acquisition as further information becomes available. Any changes in the fair values of the assets acquired and liabilities assumed during the measurement period may result in adjustments to goodwill. As of March 31, 2023, the primary areas that remain preliminary relate to the valuation of certain intangible items and various tax implications resulting from the acquisition.</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 presents the preliminary purchase consideration allocation recorded in the Company’s consolidated balance sheet as of the acquisition date:</w:t>
      </w:r>
    </w:p>
    <w:p>
      <w:pPr>
        <w:pStyle w:val="TextBody"/>
        <w:spacing w:before="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center"/>
        <w:rPr/>
      </w:pPr>
      <w:r>
        <w:rPr/>
        <w:t> </w:t>
      </w:r>
    </w:p>
    <w:tbl>
      <w:tblPr>
        <w:tblW w:w="4415" w:type="dxa"/>
        <w:jc w:val="left"/>
        <w:tblInd w:w="0" w:type="dxa"/>
        <w:tblCellMar>
          <w:top w:w="28" w:type="dxa"/>
          <w:left w:w="28" w:type="dxa"/>
          <w:bottom w:w="28" w:type="dxa"/>
          <w:right w:w="28" w:type="dxa"/>
        </w:tblCellMar>
      </w:tblPr>
      <w:tblGrid>
        <w:gridCol w:w="3061"/>
        <w:gridCol w:w="146"/>
        <w:gridCol w:w="196"/>
        <w:gridCol w:w="601"/>
        <w:gridCol w:w="411"/>
      </w:tblGrid>
      <w:tr>
        <w:trPr/>
        <w:tc>
          <w:tcPr>
            <w:tcW w:w="30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981</w:t>
            </w:r>
          </w:p>
        </w:tc>
        <w:tc>
          <w:tcPr>
            <w:tcW w:w="411" w:type="dxa"/>
            <w:tcBorders/>
            <w:shd w:fill="auto" w:val="clear"/>
            <w:vAlign w:val="center"/>
          </w:tcPr>
          <w:p>
            <w:pPr>
              <w:pStyle w:val="TableContents"/>
              <w:spacing w:before="0" w:after="0"/>
              <w:ind w:left="0" w:right="0" w:hanging="0"/>
              <w:jc w:val="left"/>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821</w:t>
            </w:r>
          </w:p>
        </w:tc>
        <w:tc>
          <w:tcPr>
            <w:tcW w:w="411" w:type="dxa"/>
            <w:tcBorders/>
            <w:shd w:fill="auto" w:val="clear"/>
            <w:vAlign w:val="center"/>
          </w:tcPr>
          <w:p>
            <w:pPr>
              <w:pStyle w:val="TableContents"/>
              <w:spacing w:before="0" w:after="0"/>
              <w:ind w:left="0" w:right="0" w:hanging="0"/>
              <w:jc w:val="left"/>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Unbilled receivables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1,968</w:t>
            </w:r>
          </w:p>
        </w:tc>
        <w:tc>
          <w:tcPr>
            <w:tcW w:w="411" w:type="dxa"/>
            <w:tcBorders/>
            <w:shd w:fill="auto" w:val="clear"/>
            <w:vAlign w:val="center"/>
          </w:tcPr>
          <w:p>
            <w:pPr>
              <w:pStyle w:val="TableContents"/>
              <w:spacing w:before="0" w:after="0"/>
              <w:ind w:left="0" w:right="0" w:hanging="0"/>
              <w:jc w:val="left"/>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Inventories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465</w:t>
            </w:r>
          </w:p>
        </w:tc>
        <w:tc>
          <w:tcPr>
            <w:tcW w:w="411" w:type="dxa"/>
            <w:tcBorders/>
            <w:shd w:fill="auto" w:val="clear"/>
            <w:vAlign w:val="center"/>
          </w:tcPr>
          <w:p>
            <w:pPr>
              <w:pStyle w:val="TableContents"/>
              <w:spacing w:before="0" w:after="0"/>
              <w:ind w:left="0" w:right="0" w:hanging="0"/>
              <w:jc w:val="left"/>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253</w:t>
            </w:r>
          </w:p>
        </w:tc>
        <w:tc>
          <w:tcPr>
            <w:tcW w:w="411" w:type="dxa"/>
            <w:tcBorders/>
            <w:shd w:fill="auto" w:val="clear"/>
            <w:vAlign w:val="center"/>
          </w:tcPr>
          <w:p>
            <w:pPr>
              <w:pStyle w:val="TableContents"/>
              <w:spacing w:before="0" w:after="0"/>
              <w:ind w:left="0" w:right="0" w:hanging="0"/>
              <w:jc w:val="left"/>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1,084</w:t>
            </w:r>
          </w:p>
        </w:tc>
        <w:tc>
          <w:tcPr>
            <w:tcW w:w="411" w:type="dxa"/>
            <w:tcBorders/>
            <w:shd w:fill="auto" w:val="clear"/>
            <w:vAlign w:val="center"/>
          </w:tcPr>
          <w:p>
            <w:pPr>
              <w:pStyle w:val="TableContents"/>
              <w:spacing w:before="0" w:after="0"/>
              <w:ind w:left="0" w:right="0" w:hanging="0"/>
              <w:jc w:val="left"/>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Intangible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21,300</w:t>
            </w:r>
          </w:p>
        </w:tc>
        <w:tc>
          <w:tcPr>
            <w:tcW w:w="411" w:type="dxa"/>
            <w:tcBorders/>
            <w:shd w:fill="auto" w:val="clear"/>
            <w:vAlign w:val="center"/>
          </w:tcPr>
          <w:p>
            <w:pPr>
              <w:pStyle w:val="TableContents"/>
              <w:spacing w:before="0" w:after="0"/>
              <w:ind w:left="0" w:right="0" w:hanging="0"/>
              <w:jc w:val="left"/>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Goodwill</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70,236</w:t>
            </w:r>
          </w:p>
        </w:tc>
        <w:tc>
          <w:tcPr>
            <w:tcW w:w="411" w:type="dxa"/>
            <w:tcBorders/>
            <w:shd w:fill="auto" w:val="clear"/>
            <w:vAlign w:val="center"/>
          </w:tcPr>
          <w:p>
            <w:pPr>
              <w:pStyle w:val="TableContents"/>
              <w:spacing w:before="0" w:after="0"/>
              <w:ind w:left="0" w:right="0" w:hanging="0"/>
              <w:jc w:val="left"/>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lease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1,486</w:t>
            </w:r>
          </w:p>
        </w:tc>
        <w:tc>
          <w:tcPr>
            <w:tcW w:w="411" w:type="dxa"/>
            <w:tcBorders/>
            <w:shd w:fill="auto" w:val="clear"/>
            <w:vAlign w:val="center"/>
          </w:tcPr>
          <w:p>
            <w:pPr>
              <w:pStyle w:val="TableContents"/>
              <w:spacing w:before="0" w:after="0"/>
              <w:ind w:left="0" w:right="0" w:hanging="0"/>
              <w:jc w:val="left"/>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w:t>
            </w:r>
          </w:p>
        </w:tc>
        <w:tc>
          <w:tcPr>
            <w:tcW w:w="411" w:type="dxa"/>
            <w:tcBorders/>
            <w:shd w:fill="auto" w:val="clear"/>
            <w:vAlign w:val="center"/>
          </w:tcPr>
          <w:p>
            <w:pPr>
              <w:pStyle w:val="TableContents"/>
              <w:spacing w:before="0" w:after="0"/>
              <w:ind w:left="0" w:right="0" w:hanging="0"/>
              <w:jc w:val="left"/>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(822</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(2,334</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(458</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(1,028</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Deferred tax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(3,895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306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Total acquisition consideration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90,078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 sets forth the components of identifiable intangible assets acquired and their estimated useful lives as of the date of acquisition (in thousands):</w:t>
      </w:r>
    </w:p>
    <w:p>
      <w:pPr>
        <w:pStyle w:val="TextBody"/>
        <w:spacing w:before="0" w:after="0"/>
        <w:jc w:val="both"/>
        <w:rPr/>
      </w:pPr>
      <w:r>
        <w:rPr/>
        <w:t> </w:t>
      </w:r>
    </w:p>
    <w:tbl>
      <w:tblPr>
        <w:tblW w:w="6891" w:type="dxa"/>
        <w:jc w:val="left"/>
        <w:tblInd w:w="0" w:type="dxa"/>
        <w:tblCellMar>
          <w:top w:w="28" w:type="dxa"/>
          <w:left w:w="28" w:type="dxa"/>
          <w:bottom w:w="28" w:type="dxa"/>
          <w:right w:w="28" w:type="dxa"/>
        </w:tblCellMar>
      </w:tblPr>
      <w:tblGrid>
        <w:gridCol w:w="2071"/>
        <w:gridCol w:w="146"/>
        <w:gridCol w:w="203"/>
        <w:gridCol w:w="623"/>
        <w:gridCol w:w="146"/>
        <w:gridCol w:w="146"/>
        <w:gridCol w:w="1351"/>
        <w:gridCol w:w="1814"/>
        <w:gridCol w:w="391"/>
      </w:tblGrid>
      <w:tr>
        <w:trPr/>
        <w:tc>
          <w:tcPr>
            <w:tcW w:w="20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81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Amounts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Weighted Average Useful Life (in years)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Trade name and trademarks</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2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1" w:type="dxa"/>
            <w:tcBorders/>
            <w:shd w:fill="auto" w:val="clear"/>
            <w:vAlign w:val="center"/>
          </w:tcPr>
          <w:p>
            <w:pPr>
              <w:pStyle w:val="TableContents"/>
              <w:spacing w:before="0" w:after="0"/>
              <w:ind w:left="0" w:right="0" w:hanging="0"/>
              <w:jc w:val="left"/>
              <w:rPr/>
            </w:pPr>
            <w:r>
              <w:rPr/>
              <w:t> </w:t>
            </w:r>
          </w:p>
        </w:tc>
        <w:tc>
          <w:tcPr>
            <w:tcW w:w="181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391" w:type="dxa"/>
            <w:tcBorders/>
            <w:shd w:fill="auto" w:val="clear"/>
            <w:vAlign w:val="center"/>
          </w:tcPr>
          <w:p>
            <w:pPr>
              <w:pStyle w:val="TableContents"/>
              <w:spacing w:before="0" w:after="0"/>
              <w:ind w:left="0" w:right="0" w:hanging="0"/>
              <w:jc w:val="left"/>
              <w:rPr/>
            </w:pPr>
            <w:r>
              <w:rPr/>
              <w:t> </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Developed technology</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62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1" w:type="dxa"/>
            <w:tcBorders/>
            <w:shd w:fill="auto" w:val="clear"/>
            <w:vAlign w:val="center"/>
          </w:tcPr>
          <w:p>
            <w:pPr>
              <w:pStyle w:val="TableContents"/>
              <w:spacing w:before="0" w:after="0"/>
              <w:ind w:left="0" w:right="0" w:hanging="0"/>
              <w:jc w:val="left"/>
              <w:rPr/>
            </w:pPr>
            <w:r>
              <w:rPr/>
              <w:t> </w:t>
            </w:r>
          </w:p>
        </w:tc>
        <w:tc>
          <w:tcPr>
            <w:tcW w:w="181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391" w:type="dxa"/>
            <w:tcBorders/>
            <w:shd w:fill="auto" w:val="clear"/>
            <w:vAlign w:val="center"/>
          </w:tcPr>
          <w:p>
            <w:pPr>
              <w:pStyle w:val="TableContents"/>
              <w:spacing w:before="0" w:after="0"/>
              <w:ind w:left="0" w:right="0" w:hanging="0"/>
              <w:jc w:val="left"/>
              <w:rPr/>
            </w:pPr>
            <w:r>
              <w:rPr/>
              <w:t> </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Customer relationships</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10,700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1" w:type="dxa"/>
            <w:tcBorders/>
            <w:shd w:fill="auto" w:val="clear"/>
            <w:vAlign w:val="center"/>
          </w:tcPr>
          <w:p>
            <w:pPr>
              <w:pStyle w:val="TableContents"/>
              <w:spacing w:before="0" w:after="0"/>
              <w:ind w:left="0" w:right="0" w:hanging="0"/>
              <w:jc w:val="left"/>
              <w:rPr/>
            </w:pPr>
            <w:r>
              <w:rPr/>
              <w:t> </w:t>
            </w:r>
          </w:p>
        </w:tc>
        <w:tc>
          <w:tcPr>
            <w:tcW w:w="181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391" w:type="dxa"/>
            <w:tcBorders/>
            <w:shd w:fill="auto" w:val="clear"/>
            <w:vAlign w:val="center"/>
          </w:tcPr>
          <w:p>
            <w:pPr>
              <w:pStyle w:val="TableContents"/>
              <w:spacing w:before="0" w:after="0"/>
              <w:ind w:left="0" w:right="0" w:firstLine="200"/>
              <w:jc w:val="left"/>
              <w:rPr/>
            </w:pPr>
            <w:r>
              <w:rPr/>
              <w:t> </w:t>
            </w:r>
          </w:p>
        </w:tc>
      </w:tr>
      <w:tr>
        <w:trPr/>
        <w:tc>
          <w:tcPr>
            <w:tcW w:w="207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Total intangible assets</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21,300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1" w:type="dxa"/>
            <w:tcBorders/>
            <w:shd w:fill="auto" w:val="clear"/>
            <w:vAlign w:val="center"/>
          </w:tcPr>
          <w:p>
            <w:pPr>
              <w:pStyle w:val="TableContents"/>
              <w:spacing w:before="0" w:after="0"/>
              <w:ind w:left="0" w:right="0" w:hanging="0"/>
              <w:jc w:val="left"/>
              <w:rPr/>
            </w:pPr>
            <w:r>
              <w:rPr/>
              <w:t> </w:t>
            </w:r>
          </w:p>
        </w:tc>
        <w:tc>
          <w:tcPr>
            <w:tcW w:w="181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Goodwill represents the future economic benefits arising from other assets that could not be individually identified and separately recognized, such as the acquired assembled workforce and synergies expected to be achieved from the integration of RE2. Goodwill is not deductible for tax purposes.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results of operations of RE2 from the date of acquisition have been included in the Company’s consolidated financial statements. Pro forma revenue and results of operations have not been presented because the historical results of RE2 are not material to the Company’s consolidated financial statements in any period presented.</w:t>
      </w:r>
    </w:p>
    <w:p>
      <w:pPr>
        <w:pStyle w:val="TextBody"/>
        <w:spacing w:before="0" w:after="0"/>
        <w:jc w:val="both"/>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5. Goodwill and Intangible Assets</w:t>
      </w:r>
    </w:p>
    <w:p>
      <w:pPr>
        <w:pStyle w:val="TextBody"/>
        <w:spacing w:before="0" w:after="0"/>
        <w:jc w:val="left"/>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Goodwill</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a result of sustained decreases in the Company’s publicly quoted share price during the fourth quarter of 2022, the Company conducted an analysis of its goodwill as of December 31, 2022, and performed a quantitative goodwill impairment assessment. Based on the Company's quantitative goodwill impairment assessment, it concluded that the carrying value of its reporting unit exceeded its fair value and that all of its goodwill was fully impaired as of December 31, 2022.</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Acquired Intangible Assets</w:t>
      </w:r>
    </w:p>
    <w:p>
      <w:pPr>
        <w:pStyle w:val="TextBody"/>
        <w:spacing w:before="0" w:after="0"/>
        <w:jc w:val="both"/>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Acquired intangible assets, net consisted of the following: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567"/>
        <w:gridCol w:w="146"/>
        <w:gridCol w:w="349"/>
        <w:gridCol w:w="1076"/>
        <w:gridCol w:w="346"/>
        <w:gridCol w:w="146"/>
        <w:gridCol w:w="465"/>
        <w:gridCol w:w="1213"/>
        <w:gridCol w:w="346"/>
        <w:gridCol w:w="146"/>
        <w:gridCol w:w="326"/>
        <w:gridCol w:w="1006"/>
        <w:gridCol w:w="346"/>
        <w:gridCol w:w="146"/>
        <w:gridCol w:w="667"/>
        <w:gridCol w:w="1518"/>
        <w:gridCol w:w="396"/>
      </w:tblGrid>
      <w:tr>
        <w:trPr/>
        <w:tc>
          <w:tcPr>
            <w:tcW w:w="15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518"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r>
      <w:tr>
        <w:trPr/>
        <w:tc>
          <w:tcPr>
            <w:tcW w:w="15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96"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 2023</w:t>
            </w:r>
          </w:p>
        </w:tc>
        <w:tc>
          <w:tcPr>
            <w:tcW w:w="3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67"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shd w:fill="auto" w:val="clear"/>
            <w:vAlign w:val="center"/>
          </w:tcPr>
          <w:p>
            <w:pPr>
              <w:pStyle w:val="TableContents"/>
              <w:spacing w:before="0" w:after="0"/>
              <w:ind w:left="0" w:right="0" w:hanging="0"/>
              <w:jc w:val="left"/>
              <w:rPr/>
            </w:pPr>
            <w:r>
              <w:rPr/>
              <w:t> </w:t>
            </w:r>
          </w:p>
        </w:tc>
        <w:tc>
          <w:tcPr>
            <w:tcW w:w="14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Gross Carrying Amount</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Accumulated Amortization</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Net Carrying Amount</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 xml:space="preserve">Weighted Average Remaining Useful Life </w:t>
              <w:br/>
              <w:t>(in years)</w:t>
            </w:r>
          </w:p>
        </w:tc>
        <w:tc>
          <w:tcPr>
            <w:tcW w:w="3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6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Trade name and trademarks</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1,000</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21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153</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847</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7" w:type="dxa"/>
            <w:tcBorders/>
            <w:shd w:fill="auto" w:val="clear"/>
            <w:vAlign w:val="center"/>
          </w:tcPr>
          <w:p>
            <w:pPr>
              <w:pStyle w:val="TableContents"/>
              <w:spacing w:before="0" w:after="0"/>
              <w:ind w:left="0" w:right="0" w:hanging="0"/>
              <w:jc w:val="left"/>
              <w:rPr/>
            </w:pPr>
            <w:r>
              <w:rPr/>
              <w:t> </w:t>
            </w:r>
          </w:p>
        </w:tc>
        <w:tc>
          <w:tcPr>
            <w:tcW w:w="151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5.1</w:t>
            </w:r>
          </w:p>
        </w:tc>
        <w:tc>
          <w:tcPr>
            <w:tcW w:w="396" w:type="dxa"/>
            <w:tcBorders/>
            <w:shd w:fill="auto" w:val="clear"/>
            <w:vAlign w:val="center"/>
          </w:tcPr>
          <w:p>
            <w:pPr>
              <w:pStyle w:val="TableContents"/>
              <w:spacing w:before="0" w:after="0"/>
              <w:ind w:left="0" w:right="0" w:hanging="0"/>
              <w:jc w:val="left"/>
              <w:rPr/>
            </w:pPr>
            <w:r>
              <w:rPr/>
              <w:t> </w:t>
            </w:r>
          </w:p>
        </w:tc>
      </w:tr>
      <w:tr>
        <w:trPr/>
        <w:tc>
          <w:tcPr>
            <w:tcW w:w="156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Developed technology</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9,600</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pPr>
            <w:r>
              <w:rPr/>
              <w:t> </w:t>
            </w:r>
          </w:p>
        </w:tc>
        <w:tc>
          <w:tcPr>
            <w:tcW w:w="121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1,760</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7,840</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7" w:type="dxa"/>
            <w:tcBorders/>
            <w:shd w:fill="auto" w:val="clear"/>
            <w:vAlign w:val="center"/>
          </w:tcPr>
          <w:p>
            <w:pPr>
              <w:pStyle w:val="TableContents"/>
              <w:spacing w:before="0" w:after="0"/>
              <w:ind w:left="0" w:right="0" w:hanging="0"/>
              <w:jc w:val="left"/>
              <w:rPr/>
            </w:pPr>
            <w:r>
              <w:rPr/>
              <w:t> </w:t>
            </w:r>
          </w:p>
        </w:tc>
        <w:tc>
          <w:tcPr>
            <w:tcW w:w="151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396" w:type="dxa"/>
            <w:tcBorders/>
            <w:shd w:fill="auto" w:val="clear"/>
            <w:vAlign w:val="center"/>
          </w:tcPr>
          <w:p>
            <w:pPr>
              <w:pStyle w:val="TableContents"/>
              <w:spacing w:before="0" w:after="0"/>
              <w:ind w:left="0" w:right="0" w:hanging="0"/>
              <w:jc w:val="left"/>
              <w:rPr/>
            </w:pPr>
            <w:r>
              <w:rPr/>
              <w:t> </w:t>
            </w:r>
          </w:p>
        </w:tc>
      </w:tr>
      <w:tr>
        <w:trPr/>
        <w:tc>
          <w:tcPr>
            <w:tcW w:w="156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Customer relationships</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10,700</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1,090</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9,610</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7" w:type="dxa"/>
            <w:tcBorders/>
            <w:shd w:fill="auto" w:val="clear"/>
            <w:vAlign w:val="center"/>
          </w:tcPr>
          <w:p>
            <w:pPr>
              <w:pStyle w:val="TableContents"/>
              <w:spacing w:before="0" w:after="0"/>
              <w:ind w:left="0" w:right="0" w:hanging="0"/>
              <w:jc w:val="left"/>
              <w:rPr/>
            </w:pPr>
            <w:r>
              <w:rPr/>
              <w:t> </w:t>
            </w:r>
          </w:p>
        </w:tc>
        <w:tc>
          <w:tcPr>
            <w:tcW w:w="151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8.1</w:t>
            </w:r>
          </w:p>
        </w:tc>
        <w:tc>
          <w:tcPr>
            <w:tcW w:w="396" w:type="dxa"/>
            <w:tcBorders/>
            <w:shd w:fill="auto" w:val="clear"/>
            <w:vAlign w:val="center"/>
          </w:tcPr>
          <w:p>
            <w:pPr>
              <w:pStyle w:val="TableContents"/>
              <w:spacing w:before="0" w:after="0"/>
              <w:ind w:left="0" w:right="0" w:firstLine="200"/>
              <w:jc w:val="left"/>
              <w:rPr/>
            </w:pPr>
            <w:r>
              <w:rPr/>
              <w:t> </w:t>
            </w:r>
          </w:p>
        </w:tc>
      </w:tr>
      <w:tr>
        <w:trPr/>
        <w:tc>
          <w:tcPr>
            <w:tcW w:w="1567"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Total</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21,300</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4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3,003</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3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18,297</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2185" w:type="dxa"/>
            <w:gridSpan w:val="2"/>
            <w:tcBorders/>
            <w:shd w:fill="auto" w:val="clear"/>
            <w:vAlign w:val="center"/>
          </w:tcPr>
          <w:p>
            <w:pPr>
              <w:pStyle w:val="TableContents"/>
              <w:spacing w:before="0" w:after="0"/>
              <w:ind w:left="0" w:right="0" w:hanging="0"/>
              <w:jc w:val="right"/>
              <w:rPr/>
            </w:pPr>
            <w:r>
              <w:rPr/>
              <w:t> </w:t>
            </w:r>
          </w:p>
        </w:tc>
        <w:tc>
          <w:tcPr>
            <w:tcW w:w="396"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recorded $0.8</w:t>
      </w:r>
      <w:r>
        <w:rPr>
          <w:rFonts w:ascii="Times New Roman" w:hAnsi="Times New Roman"/>
          <w:sz w:val="20"/>
        </w:rPr>
        <w:t xml:space="preserve"> </w:t>
      </w:r>
      <w:r>
        <w:rPr>
          <w:rFonts w:ascii="Times New Roman;serif" w:hAnsi="Times New Roman;serif"/>
          <w:b w:val="false"/>
          <w:sz w:val="20"/>
        </w:rPr>
        <w:t>million of amortization expense during the three months ended March 31, 2023, which was recorded as intangible amortization expense in the condensed consolidated statement of operations. There was no</w:t>
      </w:r>
      <w:r>
        <w:rPr>
          <w:rFonts w:ascii="Times New Roman" w:hAnsi="Times New Roman"/>
          <w:sz w:val="20"/>
        </w:rPr>
        <w:t xml:space="preserve"> </w:t>
      </w:r>
      <w:r>
        <w:rPr>
          <w:rFonts w:ascii="Times New Roman;serif" w:hAnsi="Times New Roman;serif"/>
          <w:b w:val="false"/>
          <w:sz w:val="20"/>
        </w:rPr>
        <w:t>amortization expense during the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center"/>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three months ended March 31, 2022. There was no</w:t>
      </w:r>
      <w:r>
        <w:rPr>
          <w:rFonts w:ascii="Times New Roman" w:hAnsi="Times New Roman"/>
          <w:sz w:val="20"/>
        </w:rPr>
        <w:t xml:space="preserve"> </w:t>
      </w:r>
      <w:r>
        <w:rPr>
          <w:rFonts w:ascii="Times New Roman;serif" w:hAnsi="Times New Roman;serif"/>
          <w:b w:val="false"/>
          <w:sz w:val="20"/>
        </w:rPr>
        <w:t>impairment of intangible assets recorded for the three months ended March 31, 2023 and 2022.</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of March 31, 2023, future amortization expense related to acquired intangible assets was as follows:</w:t>
      </w:r>
    </w:p>
    <w:p>
      <w:pPr>
        <w:pStyle w:val="TextBody"/>
        <w:spacing w:before="0" w:after="0"/>
        <w:jc w:val="left"/>
        <w:rPr/>
      </w:pPr>
      <w:r>
        <w:rPr/>
        <w:t> </w:t>
      </w:r>
    </w:p>
    <w:tbl>
      <w:tblPr>
        <w:tblW w:w="3838" w:type="dxa"/>
        <w:jc w:val="left"/>
        <w:tblInd w:w="0" w:type="dxa"/>
        <w:tblCellMar>
          <w:top w:w="28" w:type="dxa"/>
          <w:left w:w="28" w:type="dxa"/>
          <w:bottom w:w="28" w:type="dxa"/>
          <w:right w:w="28" w:type="dxa"/>
        </w:tblCellMar>
      </w:tblPr>
      <w:tblGrid>
        <w:gridCol w:w="1486"/>
        <w:gridCol w:w="146"/>
        <w:gridCol w:w="445"/>
        <w:gridCol w:w="1370"/>
        <w:gridCol w:w="391"/>
      </w:tblGrid>
      <w:tr>
        <w:trPr/>
        <w:tc>
          <w:tcPr>
            <w:tcW w:w="14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Amortization Expense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2023</w:t>
            </w:r>
          </w:p>
        </w:tc>
        <w:tc>
          <w:tcPr>
            <w:tcW w:w="146" w:type="dxa"/>
            <w:tcBorders/>
            <w:shd w:fill="auto" w:val="clear"/>
            <w:vAlign w:val="center"/>
          </w:tcPr>
          <w:p>
            <w:pPr>
              <w:pStyle w:val="TableContents"/>
              <w:spacing w:before="0" w:after="0"/>
              <w:ind w:left="0" w:right="0" w:hanging="0"/>
              <w:jc w:val="left"/>
              <w:rPr/>
            </w:pPr>
            <w:r>
              <w:rPr/>
              <w:t> </w:t>
            </w:r>
          </w:p>
        </w:tc>
        <w:tc>
          <w:tcPr>
            <w:tcW w:w="44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37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2,457</w:t>
            </w:r>
          </w:p>
        </w:tc>
        <w:tc>
          <w:tcPr>
            <w:tcW w:w="391" w:type="dxa"/>
            <w:tcBorders/>
            <w:shd w:fill="auto" w:val="clear"/>
            <w:vAlign w:val="center"/>
          </w:tcPr>
          <w:p>
            <w:pPr>
              <w:pStyle w:val="TableContents"/>
              <w:spacing w:before="0" w:after="0"/>
              <w:ind w:left="0" w:right="0" w:hanging="0"/>
              <w:jc w:val="left"/>
              <w:rPr/>
            </w:pPr>
            <w:r>
              <w:rPr/>
              <w:t> </w:t>
            </w:r>
          </w:p>
        </w:tc>
      </w:tr>
      <w:tr>
        <w:trPr/>
        <w:tc>
          <w:tcPr>
            <w:tcW w:w="14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2024</w:t>
            </w:r>
          </w:p>
        </w:tc>
        <w:tc>
          <w:tcPr>
            <w:tcW w:w="146" w:type="dxa"/>
            <w:tcBorders/>
            <w:shd w:fill="auto" w:val="clear"/>
            <w:vAlign w:val="center"/>
          </w:tcPr>
          <w:p>
            <w:pPr>
              <w:pStyle w:val="TableContents"/>
              <w:spacing w:before="0" w:after="0"/>
              <w:ind w:left="0" w:right="0" w:hanging="0"/>
              <w:jc w:val="left"/>
              <w:rPr/>
            </w:pPr>
            <w:r>
              <w:rPr/>
              <w:t> </w:t>
            </w:r>
          </w:p>
        </w:tc>
        <w:tc>
          <w:tcPr>
            <w:tcW w:w="445" w:type="dxa"/>
            <w:tcBorders/>
            <w:shd w:fill="auto" w:val="clear"/>
            <w:vAlign w:val="center"/>
          </w:tcPr>
          <w:p>
            <w:pPr>
              <w:pStyle w:val="TableContents"/>
              <w:spacing w:before="0" w:after="0"/>
              <w:ind w:left="0" w:right="0" w:hanging="0"/>
              <w:jc w:val="left"/>
              <w:rPr/>
            </w:pPr>
            <w:r>
              <w:rPr/>
              <w:t> </w:t>
            </w:r>
          </w:p>
        </w:tc>
        <w:tc>
          <w:tcPr>
            <w:tcW w:w="137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3,276</w:t>
            </w:r>
          </w:p>
        </w:tc>
        <w:tc>
          <w:tcPr>
            <w:tcW w:w="391" w:type="dxa"/>
            <w:tcBorders/>
            <w:shd w:fill="auto" w:val="clear"/>
            <w:vAlign w:val="center"/>
          </w:tcPr>
          <w:p>
            <w:pPr>
              <w:pStyle w:val="TableContents"/>
              <w:spacing w:before="0" w:after="0"/>
              <w:ind w:left="0" w:right="0" w:hanging="0"/>
              <w:jc w:val="left"/>
              <w:rPr/>
            </w:pPr>
            <w:r>
              <w:rPr/>
              <w:t> </w:t>
            </w:r>
          </w:p>
        </w:tc>
      </w:tr>
      <w:tr>
        <w:trPr/>
        <w:tc>
          <w:tcPr>
            <w:tcW w:w="14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2025</w:t>
            </w:r>
          </w:p>
        </w:tc>
        <w:tc>
          <w:tcPr>
            <w:tcW w:w="146" w:type="dxa"/>
            <w:tcBorders/>
            <w:shd w:fill="auto" w:val="clear"/>
            <w:vAlign w:val="center"/>
          </w:tcPr>
          <w:p>
            <w:pPr>
              <w:pStyle w:val="TableContents"/>
              <w:spacing w:before="0" w:after="0"/>
              <w:ind w:left="0" w:right="0" w:hanging="0"/>
              <w:jc w:val="left"/>
              <w:rPr/>
            </w:pPr>
            <w:r>
              <w:rPr/>
              <w:t> </w:t>
            </w:r>
          </w:p>
        </w:tc>
        <w:tc>
          <w:tcPr>
            <w:tcW w:w="445" w:type="dxa"/>
            <w:tcBorders/>
            <w:shd w:fill="auto" w:val="clear"/>
            <w:vAlign w:val="center"/>
          </w:tcPr>
          <w:p>
            <w:pPr>
              <w:pStyle w:val="TableContents"/>
              <w:spacing w:before="0" w:after="0"/>
              <w:ind w:left="0" w:right="0" w:hanging="0"/>
              <w:jc w:val="left"/>
              <w:rPr/>
            </w:pPr>
            <w:r>
              <w:rPr/>
              <w:t> </w:t>
            </w:r>
          </w:p>
        </w:tc>
        <w:tc>
          <w:tcPr>
            <w:tcW w:w="137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3,276</w:t>
            </w:r>
          </w:p>
        </w:tc>
        <w:tc>
          <w:tcPr>
            <w:tcW w:w="391" w:type="dxa"/>
            <w:tcBorders/>
            <w:shd w:fill="auto" w:val="clear"/>
            <w:vAlign w:val="center"/>
          </w:tcPr>
          <w:p>
            <w:pPr>
              <w:pStyle w:val="TableContents"/>
              <w:spacing w:before="0" w:after="0"/>
              <w:ind w:left="0" w:right="0" w:hanging="0"/>
              <w:jc w:val="left"/>
              <w:rPr/>
            </w:pPr>
            <w:r>
              <w:rPr/>
              <w:t> </w:t>
            </w:r>
          </w:p>
        </w:tc>
      </w:tr>
      <w:tr>
        <w:trPr/>
        <w:tc>
          <w:tcPr>
            <w:tcW w:w="14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2026</w:t>
            </w:r>
          </w:p>
        </w:tc>
        <w:tc>
          <w:tcPr>
            <w:tcW w:w="146" w:type="dxa"/>
            <w:tcBorders/>
            <w:shd w:fill="auto" w:val="clear"/>
            <w:vAlign w:val="center"/>
          </w:tcPr>
          <w:p>
            <w:pPr>
              <w:pStyle w:val="TableContents"/>
              <w:spacing w:before="0" w:after="0"/>
              <w:ind w:left="0" w:right="0" w:hanging="0"/>
              <w:jc w:val="left"/>
              <w:rPr/>
            </w:pPr>
            <w:r>
              <w:rPr/>
              <w:t> </w:t>
            </w:r>
          </w:p>
        </w:tc>
        <w:tc>
          <w:tcPr>
            <w:tcW w:w="445" w:type="dxa"/>
            <w:tcBorders/>
            <w:shd w:fill="auto" w:val="clear"/>
            <w:vAlign w:val="center"/>
          </w:tcPr>
          <w:p>
            <w:pPr>
              <w:pStyle w:val="TableContents"/>
              <w:spacing w:before="0" w:after="0"/>
              <w:ind w:left="0" w:right="0" w:hanging="0"/>
              <w:jc w:val="left"/>
              <w:rPr/>
            </w:pPr>
            <w:r>
              <w:rPr/>
              <w:t> </w:t>
            </w:r>
          </w:p>
        </w:tc>
        <w:tc>
          <w:tcPr>
            <w:tcW w:w="137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3,276</w:t>
            </w:r>
          </w:p>
        </w:tc>
        <w:tc>
          <w:tcPr>
            <w:tcW w:w="391" w:type="dxa"/>
            <w:tcBorders/>
            <w:shd w:fill="auto" w:val="clear"/>
            <w:vAlign w:val="center"/>
          </w:tcPr>
          <w:p>
            <w:pPr>
              <w:pStyle w:val="TableContents"/>
              <w:spacing w:before="0" w:after="0"/>
              <w:ind w:left="0" w:right="0" w:hanging="0"/>
              <w:jc w:val="left"/>
              <w:rPr/>
            </w:pPr>
            <w:r>
              <w:rPr/>
              <w:t> </w:t>
            </w:r>
          </w:p>
        </w:tc>
      </w:tr>
      <w:tr>
        <w:trPr/>
        <w:tc>
          <w:tcPr>
            <w:tcW w:w="14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2027</w:t>
            </w:r>
          </w:p>
        </w:tc>
        <w:tc>
          <w:tcPr>
            <w:tcW w:w="146" w:type="dxa"/>
            <w:tcBorders/>
            <w:shd w:fill="auto" w:val="clear"/>
            <w:vAlign w:val="center"/>
          </w:tcPr>
          <w:p>
            <w:pPr>
              <w:pStyle w:val="TableContents"/>
              <w:spacing w:before="0" w:after="0"/>
              <w:ind w:left="0" w:right="0" w:hanging="0"/>
              <w:jc w:val="left"/>
              <w:rPr/>
            </w:pPr>
            <w:r>
              <w:rPr/>
              <w:t> </w:t>
            </w:r>
          </w:p>
        </w:tc>
        <w:tc>
          <w:tcPr>
            <w:tcW w:w="445" w:type="dxa"/>
            <w:tcBorders/>
            <w:shd w:fill="auto" w:val="clear"/>
            <w:vAlign w:val="center"/>
          </w:tcPr>
          <w:p>
            <w:pPr>
              <w:pStyle w:val="TableContents"/>
              <w:spacing w:before="0" w:after="0"/>
              <w:ind w:left="0" w:right="0" w:hanging="0"/>
              <w:jc w:val="left"/>
              <w:rPr/>
            </w:pPr>
            <w:r>
              <w:rPr/>
              <w:t> </w:t>
            </w:r>
          </w:p>
        </w:tc>
        <w:tc>
          <w:tcPr>
            <w:tcW w:w="137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1,996</w:t>
            </w:r>
          </w:p>
        </w:tc>
        <w:tc>
          <w:tcPr>
            <w:tcW w:w="391" w:type="dxa"/>
            <w:tcBorders/>
            <w:shd w:fill="auto" w:val="clear"/>
            <w:vAlign w:val="center"/>
          </w:tcPr>
          <w:p>
            <w:pPr>
              <w:pStyle w:val="TableContents"/>
              <w:spacing w:before="0" w:after="0"/>
              <w:ind w:left="0" w:right="0" w:hanging="0"/>
              <w:jc w:val="left"/>
              <w:rPr/>
            </w:pPr>
            <w:r>
              <w:rPr/>
              <w:t> </w:t>
            </w:r>
          </w:p>
        </w:tc>
      </w:tr>
      <w:tr>
        <w:trPr/>
        <w:tc>
          <w:tcPr>
            <w:tcW w:w="14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2028 and thereafter</w:t>
            </w:r>
          </w:p>
        </w:tc>
        <w:tc>
          <w:tcPr>
            <w:tcW w:w="146" w:type="dxa"/>
            <w:tcBorders/>
            <w:shd w:fill="auto" w:val="clear"/>
            <w:vAlign w:val="center"/>
          </w:tcPr>
          <w:p>
            <w:pPr>
              <w:pStyle w:val="TableContents"/>
              <w:spacing w:before="0" w:after="0"/>
              <w:ind w:left="0" w:right="0" w:hanging="0"/>
              <w:jc w:val="left"/>
              <w:rPr/>
            </w:pPr>
            <w:r>
              <w:rPr/>
              <w:t> </w:t>
            </w:r>
          </w:p>
        </w:tc>
        <w:tc>
          <w:tcPr>
            <w:tcW w:w="4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4,016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48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Total</w:t>
            </w:r>
          </w:p>
        </w:tc>
        <w:tc>
          <w:tcPr>
            <w:tcW w:w="146" w:type="dxa"/>
            <w:tcBorders/>
            <w:shd w:fill="auto" w:val="clear"/>
            <w:vAlign w:val="center"/>
          </w:tcPr>
          <w:p>
            <w:pPr>
              <w:pStyle w:val="TableContents"/>
              <w:spacing w:before="0" w:after="0"/>
              <w:ind w:left="0" w:right="0" w:hanging="0"/>
              <w:jc w:val="left"/>
              <w:rPr/>
            </w:pPr>
            <w:r>
              <w:rPr/>
              <w:t> </w:t>
            </w:r>
          </w:p>
        </w:tc>
        <w:tc>
          <w:tcPr>
            <w:tcW w:w="4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3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18,297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6. Reverse Recapitalization</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 xml:space="preserve">Pursuant to ASC 805, </w:t>
      </w:r>
      <w:r>
        <w:rPr>
          <w:rFonts w:ascii="Times New Roman;serif" w:hAnsi="Times New Roman;serif"/>
          <w:b w:val="false"/>
          <w:i/>
          <w:sz w:val="20"/>
        </w:rPr>
        <w:t>Business Combinations</w:t>
      </w:r>
      <w:r>
        <w:rPr>
          <w:rFonts w:ascii="Times New Roman;serif" w:hAnsi="Times New Roman;serif"/>
          <w:b w:val="false"/>
          <w:sz w:val="20"/>
        </w:rPr>
        <w:t>, the Business Combination was accounted for as a reverse recapitalization, rather than a business combination, for financial accounting and reporting purposes. Accordingly, Old Sarcos was deemed the accounting acquirer (and legal acquiree) and Rotor was treated as the accounting acquiree (and legal acquirer). Under this method of accounting, the reverse recapitalization was treated as the equivalent of Old Sarcos issuing stock for the net assets of Rotor, accompanied by a recapitalization. The net assets of Rotor are stated at historical cost, with no goodwill or other intangible assets recorded. The consolidated assets, liabilities, and results of operations prior to the Merger are those of Old Sarcos. The shares and corresponding capital amounts and earnings per share available for common stockholders, prior to the Merger, have been retroactively restated as shares reflecting the Exchange Ratio.</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Earn-Out Shares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Each holder of Old Sarcos capital stock is entitled to Contingent Merger Consideration following the closing of the Business Combination in the form of earn-outs, up to an aggregate of 28,125,000</w:t>
      </w:r>
      <w:r>
        <w:rPr>
          <w:rFonts w:ascii="Times New Roman" w:hAnsi="Times New Roman"/>
          <w:sz w:val="20"/>
        </w:rPr>
        <w:t xml:space="preserve"> </w:t>
      </w:r>
      <w:r>
        <w:rPr>
          <w:rFonts w:ascii="Times New Roman;serif" w:hAnsi="Times New Roman;serif"/>
          <w:b w:val="false"/>
          <w:sz w:val="20"/>
        </w:rPr>
        <w:t>shares of Common Stock (the “Earn-Out Shares”). The Earn-Out Shares will become payable as follows:</w:t>
      </w:r>
    </w:p>
    <w:p>
      <w:pPr>
        <w:pStyle w:val="TextBody"/>
        <w:spacing w:before="120" w:after="0"/>
        <w:jc w:val="both"/>
        <w:rPr/>
      </w:pPr>
      <w:r>
        <w:rPr/>
        <w:t>•</w:t>
      </w:r>
    </w:p>
    <w:p>
      <w:pPr>
        <w:pStyle w:val="TextBody"/>
        <w:spacing w:before="120" w:after="0"/>
        <w:jc w:val="both"/>
        <w:rPr>
          <w:rFonts w:ascii="Times New Roman;serif" w:hAnsi="Times New Roman;serif"/>
          <w:sz w:val="20"/>
        </w:rPr>
      </w:pPr>
      <w:r>
        <w:rPr>
          <w:rFonts w:ascii="Times New Roman;serif" w:hAnsi="Times New Roman;serif"/>
          <w:b w:val="false"/>
          <w:sz w:val="20"/>
        </w:rPr>
        <w:t>14,062,500</w:t>
      </w:r>
      <w:r>
        <w:rPr>
          <w:rFonts w:ascii="Times New Roman;serif" w:hAnsi="Times New Roman;serif"/>
          <w:sz w:val="20"/>
        </w:rPr>
        <w:t xml:space="preserve"> </w:t>
      </w:r>
      <w:r>
        <w:rPr>
          <w:rFonts w:ascii="Times New Roman;serif" w:hAnsi="Times New Roman;serif"/>
          <w:b w:val="false"/>
          <w:sz w:val="20"/>
        </w:rPr>
        <w:t>shares of Common Stock of the Company in the aggregate if the closing share price of a share of Common Stock of the Company is equal to or exceeds $15.00</w:t>
      </w:r>
      <w:r>
        <w:rPr>
          <w:rFonts w:ascii="Times New Roman;serif" w:hAnsi="Times New Roman;serif"/>
          <w:sz w:val="20"/>
        </w:rPr>
        <w:t xml:space="preserve"> </w:t>
      </w:r>
      <w:r>
        <w:rPr>
          <w:rFonts w:ascii="Times New Roman;serif" w:hAnsi="Times New Roman;serif"/>
          <w:b w:val="false"/>
          <w:sz w:val="20"/>
        </w:rPr>
        <w:t>for 20</w:t>
      </w:r>
      <w:r>
        <w:rPr>
          <w:rFonts w:ascii="Times New Roman;serif" w:hAnsi="Times New Roman;serif"/>
          <w:sz w:val="20"/>
        </w:rPr>
        <w:t xml:space="preserve"> </w:t>
      </w:r>
      <w:r>
        <w:rPr>
          <w:rFonts w:ascii="Times New Roman;serif" w:hAnsi="Times New Roman;serif"/>
          <w:b w:val="false"/>
          <w:sz w:val="20"/>
        </w:rPr>
        <w:t>trading days in any 30</w:t>
      </w:r>
      <w:r>
        <w:rPr>
          <w:rFonts w:ascii="Times New Roman;serif" w:hAnsi="Times New Roman;serif"/>
          <w:sz w:val="20"/>
        </w:rPr>
        <w:t xml:space="preserve"> </w:t>
      </w:r>
      <w:r>
        <w:rPr>
          <w:rFonts w:ascii="Times New Roman;serif" w:hAnsi="Times New Roman;serif"/>
          <w:b w:val="false"/>
          <w:sz w:val="20"/>
        </w:rPr>
        <w:t>consecutive trading day period at any time during the period beginning on the first anniversary of the Closing Date and ending on the fourth anniversary of the Closing Date.</w:t>
      </w:r>
    </w:p>
    <w:p>
      <w:pPr>
        <w:pStyle w:val="TextBody"/>
        <w:spacing w:before="120" w:after="0"/>
        <w:jc w:val="both"/>
        <w:rPr/>
      </w:pPr>
      <w:r>
        <w:rPr/>
        <w:t>•</w:t>
      </w:r>
    </w:p>
    <w:p>
      <w:pPr>
        <w:pStyle w:val="TextBody"/>
        <w:spacing w:before="120" w:after="283"/>
        <w:jc w:val="both"/>
        <w:rPr>
          <w:rFonts w:ascii="Times New Roman;serif" w:hAnsi="Times New Roman;serif"/>
          <w:sz w:val="20"/>
        </w:rPr>
      </w:pPr>
      <w:r>
        <w:rPr>
          <w:rFonts w:ascii="Times New Roman;serif" w:hAnsi="Times New Roman;serif"/>
          <w:b w:val="false"/>
          <w:sz w:val="20"/>
        </w:rPr>
        <w:t>14,062,500</w:t>
      </w:r>
      <w:r>
        <w:rPr>
          <w:rFonts w:ascii="Times New Roman;serif" w:hAnsi="Times New Roman;serif"/>
          <w:sz w:val="20"/>
        </w:rPr>
        <w:t xml:space="preserve"> </w:t>
      </w:r>
      <w:r>
        <w:rPr>
          <w:rFonts w:ascii="Times New Roman;serif" w:hAnsi="Times New Roman;serif"/>
          <w:b w:val="false"/>
          <w:sz w:val="20"/>
        </w:rPr>
        <w:t>shares of Common Stock of the Company if the closing share price of a share of Common Stock of the Company is equal to or exceeds $20.00</w:t>
      </w:r>
      <w:r>
        <w:rPr>
          <w:rFonts w:ascii="Times New Roman;serif" w:hAnsi="Times New Roman;serif"/>
          <w:sz w:val="20"/>
        </w:rPr>
        <w:t xml:space="preserve"> </w:t>
      </w:r>
      <w:r>
        <w:rPr>
          <w:rFonts w:ascii="Times New Roman;serif" w:hAnsi="Times New Roman;serif"/>
          <w:b w:val="false"/>
          <w:sz w:val="20"/>
        </w:rPr>
        <w:t>for 20</w:t>
      </w:r>
      <w:r>
        <w:rPr>
          <w:rFonts w:ascii="Times New Roman;serif" w:hAnsi="Times New Roman;serif"/>
          <w:sz w:val="20"/>
        </w:rPr>
        <w:t xml:space="preserve"> </w:t>
      </w:r>
      <w:r>
        <w:rPr>
          <w:rFonts w:ascii="Times New Roman;serif" w:hAnsi="Times New Roman;serif"/>
          <w:b w:val="false"/>
          <w:sz w:val="20"/>
        </w:rPr>
        <w:t>trading days in any 30</w:t>
      </w:r>
      <w:r>
        <w:rPr>
          <w:rFonts w:ascii="Times New Roman;serif" w:hAnsi="Times New Roman;serif"/>
          <w:sz w:val="20"/>
        </w:rPr>
        <w:t xml:space="preserve"> </w:t>
      </w:r>
      <w:r>
        <w:rPr>
          <w:rFonts w:ascii="Times New Roman;serif" w:hAnsi="Times New Roman;serif"/>
          <w:b w:val="false"/>
          <w:sz w:val="20"/>
        </w:rPr>
        <w:t>consecutive trading day period at any time during the period beginning on the first anniversary of the Closing Date and ending on the fifth anniversary of the Closing Date.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Earn-Out Shares issuable to holders of Old Sarcos capital stock are accounted for as equity-linked instruments and recorded in additional paid-in capital, and the Earn-Out Shares issuable to holders of Old Sarcos capital stock subject to restricted stock awards are accounted for as share-based compensation. The Earn-Out Shares are treated as equity-linked instruments as opposed to shares outstanding, and as such are not included in shares outstanding on the Company’s condensed consolidated balance sheets. As of March 31, 2023, there remained 28,125,000</w:t>
      </w:r>
      <w:r>
        <w:rPr>
          <w:rFonts w:ascii="Times New Roman" w:hAnsi="Times New Roman"/>
          <w:sz w:val="20"/>
        </w:rPr>
        <w:t xml:space="preserve"> </w:t>
      </w:r>
      <w:r>
        <w:rPr>
          <w:rFonts w:ascii="Times New Roman;serif" w:hAnsi="Times New Roman;serif"/>
          <w:b w:val="false"/>
          <w:sz w:val="20"/>
        </w:rPr>
        <w:t>Earn-Out Shares potentially issuable.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7. Warrants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On January 20, 2021, Rotor consummated the initial public offering (“IPO”) of 27,600,000</w:t>
      </w:r>
      <w:r>
        <w:rPr>
          <w:rFonts w:ascii="Times New Roman" w:hAnsi="Times New Roman"/>
          <w:sz w:val="20"/>
        </w:rPr>
        <w:t xml:space="preserve"> </w:t>
      </w:r>
      <w:r>
        <w:rPr>
          <w:rFonts w:ascii="Times New Roman;serif" w:hAnsi="Times New Roman;serif"/>
          <w:b w:val="false"/>
          <w:sz w:val="20"/>
        </w:rPr>
        <w:t>units (the “Units”), including the full exercise by the underwriters of their over-allotment option. Each Unit included one share of Class A Common Stock and one half of one warrant (the “Public Warrants”). Simultaneously with the closing of the IPO, Rotor consummated the sale of 7,270,000</w:t>
      </w:r>
      <w:r>
        <w:rPr>
          <w:rFonts w:ascii="Times New Roman" w:hAnsi="Times New Roman"/>
          <w:sz w:val="20"/>
        </w:rPr>
        <w:t xml:space="preserve"> </w:t>
      </w:r>
      <w:r>
        <w:rPr>
          <w:rFonts w:ascii="Times New Roman;serif" w:hAnsi="Times New Roman;serif"/>
          <w:b w:val="false"/>
          <w:sz w:val="20"/>
        </w:rPr>
        <w:t>warrants (the “Private Placement Warrants”) in a private placement to Rotor Sponsor LLC (the “Sponsor”), an affiliate of Rotor’s officers and directors, and certain funds and accounts managed by two qualified institutional buyers. At the Closing Date, Old Sarcos acquired the net liabilities from Rotor, including the Public Warrants, that were recorded as equity instruments, and the Private Placement Warrants, that were recorded as warrant liabilities (together the “Warrants”).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Each whole Warrant entitles the registered holder to purchase one</w:t>
      </w:r>
      <w:r>
        <w:rPr>
          <w:rFonts w:ascii="Times New Roman" w:hAnsi="Times New Roman"/>
          <w:sz w:val="20"/>
        </w:rPr>
        <w:t xml:space="preserve"> </w:t>
      </w:r>
      <w:r>
        <w:rPr>
          <w:rFonts w:ascii="Times New Roman;serif" w:hAnsi="Times New Roman;serif"/>
          <w:b w:val="false"/>
          <w:sz w:val="20"/>
        </w:rPr>
        <w:t>share of the Company's Common Stock at a price of $11.50</w:t>
      </w:r>
      <w:r>
        <w:rPr>
          <w:rFonts w:ascii="Times New Roman" w:hAnsi="Times New Roman"/>
          <w:sz w:val="20"/>
        </w:rPr>
        <w:t xml:space="preserve"> </w:t>
      </w:r>
      <w:r>
        <w:rPr>
          <w:rFonts w:ascii="Times New Roman;serif" w:hAnsi="Times New Roman;serif"/>
          <w:b w:val="false"/>
          <w:sz w:val="20"/>
        </w:rPr>
        <w:t>per share, subject to adjustment as discussed below, at any time commencing on January 20, 2022, provided that the Company has an effective registration statement under the Securities Act of 1933, as amended (the “Securities Act”) covering the shares of the Common Stock issuable upon exercise of the Warrants and a current prospectus relating to them is available (or the Company permits holders to exercise their Warrants on a cashless basis under the circumstances specified in the warrant agreement (the “Warrant Agreement”) entered into</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serif" w:hAnsi="Times New Roman;serif"/>
          <w:b w:val="false"/>
          <w:sz w:val="20"/>
        </w:rPr>
        <w:t>between Continental Stock Transfer &amp; Trust Company and Rotor and such shares are registered, qualified or exempt from registration under the securities laws of the state of residence of the holder. Pursuant to the Warrant Agreement, a Warrant holder may exercise its Warrants only for a whole number of shares of the Company's Common Stock. The Warrants will expire five years</w:t>
      </w:r>
      <w:r>
        <w:rPr>
          <w:rFonts w:ascii="Times New Roman" w:hAnsi="Times New Roman"/>
          <w:sz w:val="20"/>
        </w:rPr>
        <w:t xml:space="preserve"> </w:t>
      </w:r>
      <w:r>
        <w:rPr>
          <w:rFonts w:ascii="Times New Roman;serif" w:hAnsi="Times New Roman;serif"/>
          <w:b w:val="false"/>
          <w:sz w:val="20"/>
        </w:rPr>
        <w:t>after the completion of the Business Combination, or September 24, 2026, at 5:00 p.m., New York City time, or earlier upon redemption or liquidation. As of March 31, 2023, there were outstanding Warrants to purchase 20,549,453</w:t>
      </w:r>
      <w:r>
        <w:rPr>
          <w:rFonts w:ascii="Times New Roman" w:hAnsi="Times New Roman"/>
          <w:sz w:val="20"/>
        </w:rPr>
        <w:t xml:space="preserve"> </w:t>
      </w:r>
      <w:r>
        <w:rPr>
          <w:rFonts w:ascii="Times New Roman;serif" w:hAnsi="Times New Roman;serif"/>
          <w:b w:val="false"/>
          <w:sz w:val="20"/>
        </w:rPr>
        <w:t>shares of Common Stock.</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Company will not be obligated to deliver any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the Company satisfying its obligations described below with respect to registration, or a valid exemption from registration is available. No Warrant will be exercisable, and the Company will not be obligated to issue a share of Common Stock upon exercise of a Warrant unless the share of the Company's Common Stock issuable upon such Warrant exercise has been registered, qualified or deemed to be exempt under the securities laws of the state of residence of the registered holder of the Warrants. If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a registration statement is not effective for the exercised Warrants, the purchaser in the Rotor IPO of a Unit containing such Warrant will have paid the full purchase price for the Unit solely for the share of the Company's Common Stock underlying such Unit.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Except as described herein, the Private Placement Warrants have terms and provisions that are identical to those of the Public Warrants. If the Private Placement Warrants are held by holders other than the initial purchasers or their permitted transferees, the Private Placement Warrants will be redeemable by the Company in all redemption scenarios and exercisable by the holders on the same basis as the Public Warrants. The Private Placement Warrants will not be redeemable by the Company so long as they are held by the initial purchasers or their permitted transferees, subject to certain exceptions. The initial purchasers or their permitted transferees, have the option to exercise the Private Placement Warrants on a cashless basis.</w:t>
      </w:r>
    </w:p>
    <w:p>
      <w:pPr>
        <w:pStyle w:val="TextBody"/>
        <w:spacing w:before="0" w:after="0"/>
        <w:jc w:val="both"/>
        <w:rPr>
          <w:rFonts w:ascii="Times New Roman" w:hAnsi="Times New Roman"/>
          <w:sz w:val="20"/>
        </w:rPr>
      </w:pPr>
      <w:r>
        <w:rPr>
          <w:rFonts w:ascii="Times New Roman;serif" w:hAnsi="Times New Roman;serif"/>
          <w:b w:val="false"/>
          <w:i/>
          <w:sz w:val="20"/>
        </w:rPr>
        <w:t xml:space="preserve">Redemption of Warrants When the Price per Share of the Company's Common Stock Equals or Exceeds $18.00. </w:t>
      </w:r>
      <w:r>
        <w:rPr>
          <w:rFonts w:ascii="Times New Roman;serif" w:hAnsi="Times New Roman;serif"/>
          <w:b w:val="false"/>
          <w:sz w:val="20"/>
        </w:rPr>
        <w:t>Once the Warrants become exercisable, the Company may call the Warrants for redemption:</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whole and not in part;</w:t>
      </w:r>
    </w:p>
    <w:p>
      <w:pPr>
        <w:pStyle w:val="TextBody"/>
        <w:spacing w:before="200" w:after="0"/>
        <w:jc w:val="both"/>
        <w:rPr/>
      </w:pPr>
      <w:r>
        <w:rPr/>
        <w:t>•</w:t>
      </w:r>
    </w:p>
    <w:p>
      <w:pPr>
        <w:pStyle w:val="TextBody"/>
        <w:spacing w:before="200" w:after="0"/>
        <w:jc w:val="both"/>
        <w:rPr>
          <w:rFonts w:ascii="Times New Roman;serif" w:hAnsi="Times New Roman;serif"/>
          <w:sz w:val="20"/>
        </w:rPr>
      </w:pPr>
      <w:r>
        <w:rPr>
          <w:rFonts w:ascii="Times New Roman;serif" w:hAnsi="Times New Roman;serif"/>
          <w:b w:val="false"/>
          <w:sz w:val="20"/>
        </w:rPr>
        <w:t>at a price of $0.01</w:t>
      </w:r>
      <w:r>
        <w:rPr>
          <w:rFonts w:ascii="Times New Roman;serif" w:hAnsi="Times New Roman;serif"/>
          <w:sz w:val="20"/>
        </w:rPr>
        <w:t xml:space="preserve"> </w:t>
      </w:r>
      <w:r>
        <w:rPr>
          <w:rFonts w:ascii="Times New Roman;serif" w:hAnsi="Times New Roman;serif"/>
          <w:b w:val="false"/>
          <w:sz w:val="20"/>
        </w:rPr>
        <w:t>per Warrant;</w:t>
      </w:r>
    </w:p>
    <w:p>
      <w:pPr>
        <w:pStyle w:val="TextBody"/>
        <w:spacing w:before="200" w:after="0"/>
        <w:jc w:val="both"/>
        <w:rPr/>
      </w:pPr>
      <w:r>
        <w:rPr/>
        <w:t>•</w:t>
      </w:r>
    </w:p>
    <w:p>
      <w:pPr>
        <w:pStyle w:val="TextBody"/>
        <w:spacing w:before="200" w:after="0"/>
        <w:jc w:val="both"/>
        <w:rPr>
          <w:rFonts w:ascii="Times New Roman;serif" w:hAnsi="Times New Roman;serif"/>
          <w:sz w:val="20"/>
        </w:rPr>
      </w:pPr>
      <w:r>
        <w:rPr>
          <w:rFonts w:ascii="Times New Roman;serif" w:hAnsi="Times New Roman;serif"/>
          <w:b w:val="false"/>
          <w:sz w:val="20"/>
        </w:rPr>
        <w:t>upon not less than 30 days</w:t>
      </w:r>
      <w:r>
        <w:rPr>
          <w:rFonts w:ascii="Times New Roman;serif" w:hAnsi="Times New Roman;serif"/>
          <w:sz w:val="20"/>
        </w:rPr>
        <w:t xml:space="preserve">’ </w:t>
      </w:r>
      <w:r>
        <w:rPr>
          <w:rFonts w:ascii="Times New Roman;serif" w:hAnsi="Times New Roman;serif"/>
          <w:b w:val="false"/>
          <w:sz w:val="20"/>
        </w:rPr>
        <w:t>prior written notice of redemption (the “30-day redemption period”) to each Warrant holder; and</w:t>
      </w:r>
    </w:p>
    <w:p>
      <w:pPr>
        <w:pStyle w:val="TextBody"/>
        <w:spacing w:before="200" w:after="0"/>
        <w:jc w:val="both"/>
        <w:rPr/>
      </w:pPr>
      <w:r>
        <w:rPr/>
        <w:t>•</w:t>
      </w:r>
    </w:p>
    <w:p>
      <w:pPr>
        <w:pStyle w:val="TextBody"/>
        <w:spacing w:before="200" w:after="283"/>
        <w:jc w:val="both"/>
        <w:rPr>
          <w:rFonts w:ascii="Times New Roman;serif" w:hAnsi="Times New Roman;serif"/>
          <w:sz w:val="20"/>
        </w:rPr>
      </w:pPr>
      <w:r>
        <w:rPr>
          <w:rFonts w:ascii="Times New Roman;serif" w:hAnsi="Times New Roman;serif"/>
          <w:b w:val="false"/>
          <w:sz w:val="20"/>
        </w:rPr>
        <w:t>if, and only if, the last reported sale price of the shares of the Company's Common Stock for any 20</w:t>
      </w:r>
      <w:r>
        <w:rPr>
          <w:rFonts w:ascii="Times New Roman;serif" w:hAnsi="Times New Roman;serif"/>
          <w:sz w:val="20"/>
        </w:rPr>
        <w:t xml:space="preserve"> </w:t>
      </w:r>
      <w:r>
        <w:rPr>
          <w:rFonts w:ascii="Times New Roman;serif" w:hAnsi="Times New Roman;serif"/>
          <w:b w:val="false"/>
          <w:sz w:val="20"/>
        </w:rPr>
        <w:t>trading days within a 30-trading day period commencing after the Warrants become exercisable and ending three business days before the Company sends the notice of redemption to the Warrant holders (which is referred to as the “Reference Value”) equals or exceeds $18.00</w:t>
      </w:r>
      <w:r>
        <w:rPr>
          <w:rFonts w:ascii="Times New Roman;serif" w:hAnsi="Times New Roman;serif"/>
          <w:sz w:val="20"/>
        </w:rPr>
        <w:t xml:space="preserve"> </w:t>
      </w:r>
      <w:r>
        <w:rPr>
          <w:rFonts w:ascii="Times New Roman;serif" w:hAnsi="Times New Roman;serif"/>
          <w:b w:val="false"/>
          <w:sz w:val="20"/>
        </w:rPr>
        <w:t>per share (as adjusted for stock splits, stock dividends, reorganizations, recapitalizations and the like).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If and when the Warrants become redeemable by the Company, the Company may exercise its redemption right even if it is unable to register or qualify the underlying securities for sale under all applicable state securities laws. However, the Company will not redeem the Warrants unless an effective registration statement under the Securities Act covering the shares of the Company's Common Stock issuable upon exercise of the Warrants is effective and a current prospectus relating to those shares of the Company's Common Stock is available throughout the 30-day redemption period.</w:t>
      </w:r>
    </w:p>
    <w:p>
      <w:pPr>
        <w:pStyle w:val="TextBody"/>
        <w:spacing w:before="0" w:after="0"/>
        <w:jc w:val="both"/>
        <w:rPr>
          <w:rFonts w:ascii="Times New Roman" w:hAnsi="Times New Roman"/>
          <w:sz w:val="20"/>
        </w:rPr>
      </w:pPr>
      <w:r>
        <w:rPr>
          <w:rFonts w:ascii="Times New Roman;serif" w:hAnsi="Times New Roman;serif"/>
          <w:b w:val="false"/>
          <w:i/>
          <w:sz w:val="20"/>
        </w:rPr>
        <w:t xml:space="preserve">Redemption of Warrants When the Price per Share of Our Common Stock Equals or Exceeds $10.00. </w:t>
      </w:r>
      <w:r>
        <w:rPr>
          <w:rFonts w:ascii="Times New Roman;serif" w:hAnsi="Times New Roman;serif"/>
          <w:b w:val="false"/>
          <w:sz w:val="20"/>
        </w:rPr>
        <w:t>Once the Warrants become exercisable, the Company may redeem the outstanding Warrants (except as described herein with respect to the Private Placement Warrants if the Company does not utilize this redemption provision):</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whole and not in part;</w:t>
      </w:r>
    </w:p>
    <w:p>
      <w:pPr>
        <w:pStyle w:val="TextBody"/>
        <w:spacing w:before="200" w:after="0"/>
        <w:jc w:val="both"/>
        <w:rPr/>
      </w:pPr>
      <w:r>
        <w:rPr/>
        <w:t>•</w:t>
      </w:r>
    </w:p>
    <w:p>
      <w:pPr>
        <w:pStyle w:val="TextBody"/>
        <w:spacing w:before="200" w:after="0"/>
        <w:jc w:val="both"/>
        <w:rPr>
          <w:rFonts w:ascii="Times New Roman;serif" w:hAnsi="Times New Roman;serif"/>
          <w:sz w:val="20"/>
        </w:rPr>
      </w:pPr>
      <w:r>
        <w:rPr>
          <w:rFonts w:ascii="Times New Roman;serif" w:hAnsi="Times New Roman;serif"/>
          <w:b w:val="false"/>
          <w:sz w:val="20"/>
        </w:rPr>
        <w:t>at $0.10</w:t>
      </w:r>
      <w:r>
        <w:rPr>
          <w:rFonts w:ascii="Times New Roman;serif" w:hAnsi="Times New Roman;serif"/>
          <w:sz w:val="20"/>
        </w:rPr>
        <w:t xml:space="preserve"> </w:t>
      </w:r>
      <w:r>
        <w:rPr>
          <w:rFonts w:ascii="Times New Roman;serif" w:hAnsi="Times New Roman;serif"/>
          <w:b w:val="false"/>
          <w:sz w:val="20"/>
        </w:rPr>
        <w:t>per Warrant upon a minimum of 30 days</w:t>
      </w:r>
      <w:r>
        <w:rPr>
          <w:rFonts w:ascii="Times New Roman;serif" w:hAnsi="Times New Roman;serif"/>
          <w:sz w:val="20"/>
        </w:rPr>
        <w:t xml:space="preserve">’ </w:t>
      </w:r>
      <w:r>
        <w:rPr>
          <w:rFonts w:ascii="Times New Roman;serif" w:hAnsi="Times New Roman;serif"/>
          <w:b w:val="false"/>
          <w:sz w:val="20"/>
        </w:rPr>
        <w:t>prior written notice of redemption; provided that holders will be able to exercise their Warrants on a cashless basis prior to redemption and receive that number of shares determined by reference to an agreed table based on the redemption date and the “fair market value” of the Company's Common Stock;</w:t>
      </w:r>
    </w:p>
    <w:p>
      <w:pPr>
        <w:pStyle w:val="TextBody"/>
        <w:spacing w:before="200" w:after="0"/>
        <w:jc w:val="both"/>
        <w:rPr/>
      </w:pPr>
      <w:r>
        <w:rPr/>
        <w:t>•</w:t>
      </w:r>
    </w:p>
    <w:p>
      <w:pPr>
        <w:pStyle w:val="TextBody"/>
        <w:spacing w:before="200" w:after="0"/>
        <w:jc w:val="both"/>
        <w:rPr>
          <w:rFonts w:ascii="Times New Roman;serif" w:hAnsi="Times New Roman;serif"/>
          <w:sz w:val="20"/>
        </w:rPr>
      </w:pPr>
      <w:r>
        <w:rPr>
          <w:rFonts w:ascii="Times New Roman;serif" w:hAnsi="Times New Roman;serif"/>
          <w:b w:val="false"/>
          <w:sz w:val="20"/>
        </w:rPr>
        <w:t>if, and only if, the Reference Value (as defined above) equals or exceeds $10.00</w:t>
      </w:r>
      <w:r>
        <w:rPr>
          <w:rFonts w:ascii="Times New Roman;serif" w:hAnsi="Times New Roman;serif"/>
          <w:sz w:val="20"/>
        </w:rPr>
        <w:t xml:space="preserve"> </w:t>
      </w:r>
      <w:r>
        <w:rPr>
          <w:rFonts w:ascii="Times New Roman;serif" w:hAnsi="Times New Roman;serif"/>
          <w:b w:val="false"/>
          <w:sz w:val="20"/>
        </w:rPr>
        <w:t>per share (as adjusted for stock splits, stock dividends, reorganizations, recapitalizations and the like); and</w:t>
      </w:r>
    </w:p>
    <w:p>
      <w:pPr>
        <w:pStyle w:val="TextBody"/>
        <w:spacing w:before="200" w:after="0"/>
        <w:jc w:val="both"/>
        <w:rPr/>
      </w:pPr>
      <w:r>
        <w:rPr/>
        <w:t>•</w:t>
      </w:r>
    </w:p>
    <w:p>
      <w:pPr>
        <w:pStyle w:val="TextBody"/>
        <w:spacing w:before="200" w:after="283"/>
        <w:jc w:val="both"/>
        <w:rPr>
          <w:rFonts w:ascii="Times New Roman;serif" w:hAnsi="Times New Roman;serif"/>
          <w:sz w:val="20"/>
        </w:rPr>
      </w:pPr>
      <w:r>
        <w:rPr>
          <w:rFonts w:ascii="Times New Roman;serif" w:hAnsi="Times New Roman;serif"/>
          <w:b w:val="false"/>
          <w:sz w:val="20"/>
        </w:rPr>
        <w:t>if the Reference Value is less than $18.00</w:t>
      </w:r>
      <w:r>
        <w:rPr>
          <w:rFonts w:ascii="Times New Roman;serif" w:hAnsi="Times New Roman;serif"/>
          <w:sz w:val="20"/>
        </w:rPr>
        <w:t xml:space="preserve"> </w:t>
      </w:r>
      <w:r>
        <w:rPr>
          <w:rFonts w:ascii="Times New Roman;serif" w:hAnsi="Times New Roman;serif"/>
          <w:b w:val="false"/>
          <w:sz w:val="20"/>
        </w:rPr>
        <w:t xml:space="preserve">per share (as adjusted for stock splits, stock dividends, reorganizations, recapitalizations and the like) the Private Placement Warrants must also be concurrently called for redemption on the same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center"/>
        <w:rPr/>
      </w:pPr>
      <w:r>
        <w:rPr/>
        <w:t> </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terms (except as described above with respect to a holder’s ability to cashless exercise its Warrants) as the outstanding Public Warrants, as described above.</w:t>
      </w:r>
    </w:p>
    <w:p>
      <w:pPr>
        <w:pStyle w:val="TextBody"/>
        <w:spacing w:before="200" w:after="0"/>
        <w:jc w:val="both"/>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8. Stock-based Compensation</w:t>
      </w:r>
    </w:p>
    <w:p>
      <w:pPr>
        <w:pStyle w:val="TextBody"/>
        <w:spacing w:before="0" w:after="0"/>
        <w:jc w:val="left"/>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2021 Stock Plan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On September 15, 2021, the stockholders of the Company approved the Sarcos Technology and Robotics Corporation 2021 Equity Incentive Plan (the “2021 Plan”), and on the Closing Date, the 2021 Plan was approved by the board of directors. The 2021 Plan provides stock option awards, RSUs and RSAs for issuance to Company employees, officers, directors, non-employee agents and consultants. In general, these awards vest over one</w:t>
      </w:r>
      <w:r>
        <w:rPr>
          <w:rFonts w:ascii="Times New Roman" w:hAnsi="Times New Roman"/>
          <w:sz w:val="20"/>
        </w:rPr>
        <w:t xml:space="preserve"> </w:t>
      </w:r>
      <w:r>
        <w:rPr>
          <w:rFonts w:ascii="Times New Roman;serif" w:hAnsi="Times New Roman;serif"/>
          <w:b w:val="false"/>
          <w:sz w:val="20"/>
        </w:rPr>
        <w:t>to four years</w:t>
      </w:r>
      <w:r>
        <w:rPr>
          <w:rFonts w:ascii="Times New Roman" w:hAnsi="Times New Roman"/>
          <w:sz w:val="20"/>
        </w:rPr>
        <w:t xml:space="preserve"> </w:t>
      </w:r>
      <w:r>
        <w:rPr>
          <w:rFonts w:ascii="Times New Roman;serif" w:hAnsi="Times New Roman;serif"/>
          <w:b w:val="false"/>
          <w:sz w:val="20"/>
        </w:rPr>
        <w:t>and, in the case of options, are exercisable up to 10 years</w:t>
      </w:r>
      <w:r>
        <w:rPr>
          <w:rFonts w:ascii="Times New Roman" w:hAnsi="Times New Roman"/>
          <w:sz w:val="20"/>
        </w:rPr>
        <w:t xml:space="preserve"> </w:t>
      </w:r>
      <w:r>
        <w:rPr>
          <w:rFonts w:ascii="Times New Roman;serif" w:hAnsi="Times New Roman;serif"/>
          <w:b w:val="false"/>
          <w:sz w:val="20"/>
        </w:rPr>
        <w:t>from the date of grant. The maximum number of shares of Common Stock that may be issued pursuant to the 2021 Plan is (i) 30.0</w:t>
      </w:r>
      <w:r>
        <w:rPr>
          <w:rFonts w:ascii="Times New Roman" w:hAnsi="Times New Roman"/>
          <w:sz w:val="20"/>
        </w:rPr>
        <w:t xml:space="preserve"> </w:t>
      </w:r>
      <w:r>
        <w:rPr>
          <w:rFonts w:ascii="Times New Roman;serif" w:hAnsi="Times New Roman;serif"/>
          <w:b w:val="false"/>
          <w:sz w:val="20"/>
        </w:rPr>
        <w:t>million shares of Common Stock of the Company plus (ii) any shares of Common Stock subject to stock options and other awards that were assumed in the Business Combination and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pursuant to clause (ii) equal to 12.8</w:t>
      </w:r>
      <w:r>
        <w:rPr>
          <w:rFonts w:ascii="Times New Roman" w:hAnsi="Times New Roman"/>
          <w:sz w:val="20"/>
        </w:rPr>
        <w:t xml:space="preserve"> </w:t>
      </w:r>
      <w:r>
        <w:rPr>
          <w:rFonts w:ascii="Times New Roman;serif" w:hAnsi="Times New Roman;serif"/>
          <w:b w:val="false"/>
          <w:sz w:val="20"/>
        </w:rPr>
        <w:t>million shares of Common Stock. As of March 31, 2023, 9.7</w:t>
      </w:r>
      <w:r>
        <w:rPr>
          <w:rFonts w:ascii="Times New Roman" w:hAnsi="Times New Roman"/>
          <w:sz w:val="20"/>
        </w:rPr>
        <w:t xml:space="preserve"> </w:t>
      </w:r>
      <w:r>
        <w:rPr>
          <w:rFonts w:ascii="Times New Roman;serif" w:hAnsi="Times New Roman;serif"/>
          <w:b w:val="false"/>
          <w:sz w:val="20"/>
        </w:rPr>
        <w:t>million shares were available to grant under the 2021 Plan.</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2015 Stock Plan</w:t>
      </w:r>
    </w:p>
    <w:p>
      <w:pPr>
        <w:pStyle w:val="TextBody"/>
        <w:spacing w:before="0" w:after="0"/>
        <w:jc w:val="both"/>
        <w:rPr>
          <w:rFonts w:ascii="Times New Roman" w:hAnsi="Times New Roman"/>
          <w:sz w:val="20"/>
        </w:rPr>
      </w:pPr>
      <w:r>
        <w:rPr>
          <w:rFonts w:ascii="Times New Roman;serif" w:hAnsi="Times New Roman;serif"/>
          <w:b w:val="false"/>
          <w:sz w:val="20"/>
        </w:rPr>
        <w:t>The Old Sarcos 2015 Equity Incentive Plan (the “2015 Plan”) provided stock option awards, RSUs and RSAs for issuance to Company employees, officers, directors, non-employee agents and consultants. These awards generally vest over three</w:t>
      </w:r>
      <w:r>
        <w:rPr>
          <w:rFonts w:ascii="Times New Roman" w:hAnsi="Times New Roman"/>
          <w:sz w:val="20"/>
        </w:rPr>
        <w:t xml:space="preserve"> </w:t>
      </w:r>
      <w:r>
        <w:rPr>
          <w:rFonts w:ascii="Times New Roman;serif" w:hAnsi="Times New Roman;serif"/>
          <w:b w:val="false"/>
          <w:sz w:val="20"/>
        </w:rPr>
        <w:t>to five years</w:t>
      </w:r>
      <w:r>
        <w:rPr>
          <w:rFonts w:ascii="Times New Roman" w:hAnsi="Times New Roman"/>
          <w:sz w:val="20"/>
        </w:rPr>
        <w:t xml:space="preserve"> </w:t>
      </w:r>
      <w:r>
        <w:rPr>
          <w:rFonts w:ascii="Times New Roman;serif" w:hAnsi="Times New Roman;serif"/>
          <w:b w:val="false"/>
          <w:sz w:val="20"/>
        </w:rPr>
        <w:t>and are exercisable up to 10 years</w:t>
      </w:r>
      <w:r>
        <w:rPr>
          <w:rFonts w:ascii="Times New Roman" w:hAnsi="Times New Roman"/>
          <w:sz w:val="20"/>
        </w:rPr>
        <w:t xml:space="preserve"> </w:t>
      </w:r>
      <w:r>
        <w:rPr>
          <w:rFonts w:ascii="Times New Roman;serif" w:hAnsi="Times New Roman;serif"/>
          <w:b w:val="false"/>
          <w:sz w:val="20"/>
        </w:rPr>
        <w:t>from the date of grant. Unvested options are forfeited upon termination. Following the closing of the Business Combination, no further awards may be made under the 2015 Plan. Any forfeited awards will be added to the 2021 Plan.</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RE2 Stock Plans</w:t>
      </w:r>
    </w:p>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connection with the acquisition of RE2, the Company assumed the outstanding stock plans and certain outstanding stock options of RE2. These stock options are governed by the plans and agreements under which they were originally issued, but are now exercisable for shares of Common Stock.</w:t>
      </w:r>
      <w:r>
        <w:rPr>
          <w:rFonts w:ascii="Times New Roman" w:hAnsi="Times New Roman"/>
          <w:sz w:val="20"/>
        </w:rPr>
        <w:t xml:space="preserve"> </w:t>
      </w:r>
    </w:p>
    <w:p>
      <w:pPr>
        <w:pStyle w:val="TextBody"/>
        <w:spacing w:before="0" w:after="0"/>
        <w:jc w:val="left"/>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Stock Option Activity</w:t>
      </w:r>
    </w:p>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following summarizes the Company’s stock option activity for the three months ended March 31, 2023:</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23"/>
        <w:gridCol w:w="146"/>
        <w:gridCol w:w="174"/>
        <w:gridCol w:w="1097"/>
        <w:gridCol w:w="166"/>
        <w:gridCol w:w="146"/>
        <w:gridCol w:w="527"/>
        <w:gridCol w:w="1135"/>
        <w:gridCol w:w="146"/>
        <w:gridCol w:w="146"/>
        <w:gridCol w:w="804"/>
        <w:gridCol w:w="1827"/>
        <w:gridCol w:w="146"/>
        <w:gridCol w:w="146"/>
        <w:gridCol w:w="505"/>
        <w:gridCol w:w="974"/>
        <w:gridCol w:w="397"/>
      </w:tblGrid>
      <w:tr>
        <w:trPr/>
        <w:tc>
          <w:tcPr>
            <w:tcW w:w="17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8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172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324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Options Outstanding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3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79" w:type="dxa"/>
            <w:gridSpan w:val="2"/>
            <w:tcBorders/>
            <w:shd w:fill="auto" w:val="clear"/>
            <w:vAlign w:val="center"/>
          </w:tcPr>
          <w:p>
            <w:pPr>
              <w:pStyle w:val="TableContents"/>
              <w:spacing w:before="0" w:after="0"/>
              <w:ind w:left="0" w:right="0" w:hanging="0"/>
              <w:jc w:val="center"/>
              <w:rPr/>
            </w:pPr>
            <w:r>
              <w:rPr/>
              <w:t> </w:t>
            </w:r>
          </w:p>
        </w:tc>
        <w:tc>
          <w:tcPr>
            <w:tcW w:w="397" w:type="dxa"/>
            <w:tcBorders/>
            <w:shd w:fill="auto" w:val="clear"/>
            <w:vAlign w:val="center"/>
          </w:tcPr>
          <w:p>
            <w:pPr>
              <w:pStyle w:val="TableContents"/>
              <w:spacing w:before="0" w:after="0"/>
              <w:ind w:left="0" w:right="0" w:hanging="0"/>
              <w:jc w:val="center"/>
              <w:rPr/>
            </w:pPr>
            <w:r>
              <w:rPr/>
              <w:t> </w:t>
            </w:r>
          </w:p>
        </w:tc>
      </w:tr>
      <w:tr>
        <w:trPr/>
        <w:tc>
          <w:tcPr>
            <w:tcW w:w="17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Number of 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Weighted Average Exercise 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 xml:space="preserve">Weighted-Average Remaining Contractual Term </w:t>
              <w:br/>
              <w:t>(in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 xml:space="preserve">Aggregate Intrinsic Value </w:t>
              <w:br/>
              <w:t>(in thousands)</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2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Outstanding – December 31, 2022</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109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14,263,165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2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3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left"/>
              <w:rPr/>
            </w:pPr>
            <w:r>
              <w:rPr/>
              <w:t> </w:t>
            </w:r>
          </w:p>
        </w:tc>
        <w:tc>
          <w:tcPr>
            <w:tcW w:w="182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698</w:t>
            </w:r>
          </w:p>
        </w:tc>
        <w:tc>
          <w:tcPr>
            <w:tcW w:w="397" w:type="dxa"/>
            <w:tcBorders/>
            <w:shd w:fill="auto" w:val="clear"/>
            <w:vAlign w:val="center"/>
          </w:tcPr>
          <w:p>
            <w:pPr>
              <w:pStyle w:val="TableContents"/>
              <w:spacing w:before="0" w:after="0"/>
              <w:ind w:left="0" w:right="0" w:firstLine="200"/>
              <w:jc w:val="left"/>
              <w:rPr/>
            </w:pPr>
            <w:r>
              <w:rPr/>
              <w:t> </w:t>
            </w:r>
          </w:p>
        </w:tc>
      </w:tr>
      <w:tr>
        <w:trPr/>
        <w:tc>
          <w:tcPr>
            <w:tcW w:w="1723"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Granted</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109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10,046,677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0.47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9" w:type="dxa"/>
            <w:gridSpan w:val="2"/>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397" w:type="dxa"/>
            <w:tcBorders/>
            <w:shd w:fill="auto" w:val="clear"/>
            <w:vAlign w:val="center"/>
          </w:tcPr>
          <w:p>
            <w:pPr>
              <w:pStyle w:val="TableContents"/>
              <w:spacing w:before="0" w:after="0"/>
              <w:ind w:left="0" w:right="0" w:firstLine="200"/>
              <w:jc w:val="right"/>
              <w:rPr/>
            </w:pPr>
            <w:r>
              <w:rPr/>
              <w:t> </w:t>
            </w:r>
          </w:p>
        </w:tc>
      </w:tr>
      <w:tr>
        <w:trPr/>
        <w:tc>
          <w:tcPr>
            <w:tcW w:w="1723"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Cancelled</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(586,561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1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172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Outstanding – March 31, 2023</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23,723,281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536</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2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Exercisable – December 31, 2022</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8,489,185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698</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2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Exercisable – March 31, 2023</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8,378,704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1" w:type="dxa"/>
            <w:gridSpan w:val="2"/>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488</w:t>
            </w:r>
          </w:p>
        </w:tc>
        <w:tc>
          <w:tcPr>
            <w:tcW w:w="3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center"/>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Restricted Stock Units Activity</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summarizes the Company’s RSU activity for the three months ended March 31, 2023:</w:t>
      </w:r>
    </w:p>
    <w:p>
      <w:pPr>
        <w:pStyle w:val="TextBody"/>
        <w:spacing w:before="0" w:after="0"/>
        <w:jc w:val="left"/>
        <w:rPr/>
      </w:pPr>
      <w:r>
        <w:rPr/>
        <w:t> </w:t>
      </w:r>
    </w:p>
    <w:tbl>
      <w:tblPr>
        <w:tblW w:w="8399" w:type="dxa"/>
        <w:jc w:val="left"/>
        <w:tblInd w:w="0" w:type="dxa"/>
        <w:tblCellMar>
          <w:top w:w="28" w:type="dxa"/>
          <w:left w:w="28" w:type="dxa"/>
          <w:bottom w:w="28" w:type="dxa"/>
          <w:right w:w="28" w:type="dxa"/>
        </w:tblCellMar>
      </w:tblPr>
      <w:tblGrid>
        <w:gridCol w:w="2566"/>
        <w:gridCol w:w="146"/>
        <w:gridCol w:w="226"/>
        <w:gridCol w:w="1289"/>
        <w:gridCol w:w="248"/>
        <w:gridCol w:w="218"/>
        <w:gridCol w:w="1052"/>
        <w:gridCol w:w="2263"/>
        <w:gridCol w:w="391"/>
      </w:tblGrid>
      <w:tr>
        <w:trPr/>
        <w:tc>
          <w:tcPr>
            <w:tcW w:w="25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226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5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52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Restricted Stock Units Outstanding</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15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Number of Shares</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8" w:type="dxa"/>
            <w:tcBorders/>
            <w:shd w:fill="auto" w:val="clear"/>
            <w:vAlign w:val="center"/>
          </w:tcPr>
          <w:p>
            <w:pPr>
              <w:pStyle w:val="TableContents"/>
              <w:spacing w:before="0" w:after="0"/>
              <w:ind w:left="0" w:right="0" w:hanging="0"/>
              <w:jc w:val="center"/>
              <w:rPr/>
            </w:pPr>
            <w:r>
              <w:rPr/>
              <w:t> </w:t>
            </w:r>
          </w:p>
        </w:tc>
        <w:tc>
          <w:tcPr>
            <w:tcW w:w="33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Weighted-Average Grant-Date 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Outstanding – December 31, 2022</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3,614,708</w:t>
            </w:r>
          </w:p>
        </w:tc>
        <w:tc>
          <w:tcPr>
            <w:tcW w:w="248"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right"/>
              <w:rPr/>
            </w:pPr>
            <w:r>
              <w:rPr/>
              <w:t> </w:t>
            </w:r>
          </w:p>
        </w:tc>
        <w:tc>
          <w:tcPr>
            <w:tcW w:w="105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26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3.91</w:t>
            </w:r>
          </w:p>
        </w:tc>
        <w:tc>
          <w:tcPr>
            <w:tcW w:w="391" w:type="dxa"/>
            <w:tcBorders/>
            <w:shd w:fill="auto" w:val="clear"/>
            <w:vAlign w:val="center"/>
          </w:tcPr>
          <w:p>
            <w:pPr>
              <w:pStyle w:val="TableContents"/>
              <w:spacing w:before="0" w:after="0"/>
              <w:ind w:left="0" w:right="0" w:firstLine="200"/>
              <w:jc w:val="left"/>
              <w:rPr/>
            </w:pPr>
            <w:r>
              <w:rPr/>
              <w:t> </w:t>
            </w:r>
          </w:p>
        </w:tc>
      </w:tr>
      <w:tr>
        <w:trPr/>
        <w:tc>
          <w:tcPr>
            <w:tcW w:w="2566"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Granted</w:t>
            </w:r>
          </w:p>
        </w:tc>
        <w:tc>
          <w:tcPr>
            <w:tcW w:w="146" w:type="dxa"/>
            <w:tcBorders/>
            <w:shd w:fill="auto" w:val="clear"/>
            <w:vAlign w:val="center"/>
          </w:tcPr>
          <w:p>
            <w:pPr>
              <w:pStyle w:val="TableContents"/>
              <w:spacing w:before="0" w:after="0"/>
              <w:ind w:left="20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5,643,844</w:t>
            </w:r>
          </w:p>
        </w:tc>
        <w:tc>
          <w:tcPr>
            <w:tcW w:w="248"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right"/>
              <w:rPr/>
            </w:pPr>
            <w:r>
              <w:rPr/>
              <w:t> </w:t>
            </w:r>
          </w:p>
        </w:tc>
        <w:tc>
          <w:tcPr>
            <w:tcW w:w="1052" w:type="dxa"/>
            <w:tcBorders/>
            <w:shd w:fill="auto" w:val="clear"/>
            <w:vAlign w:val="center"/>
          </w:tcPr>
          <w:p>
            <w:pPr>
              <w:pStyle w:val="TableContents"/>
              <w:spacing w:before="0" w:after="0"/>
              <w:ind w:left="0" w:right="0" w:hanging="0"/>
              <w:jc w:val="left"/>
              <w:rPr/>
            </w:pPr>
            <w:r>
              <w:rPr/>
              <w:t> </w:t>
            </w:r>
          </w:p>
        </w:tc>
        <w:tc>
          <w:tcPr>
            <w:tcW w:w="226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0.47</w:t>
            </w:r>
          </w:p>
        </w:tc>
        <w:tc>
          <w:tcPr>
            <w:tcW w:w="391" w:type="dxa"/>
            <w:tcBorders/>
            <w:shd w:fill="auto" w:val="clear"/>
            <w:vAlign w:val="center"/>
          </w:tcPr>
          <w:p>
            <w:pPr>
              <w:pStyle w:val="TableContents"/>
              <w:spacing w:before="0" w:after="0"/>
              <w:ind w:left="0" w:right="0" w:firstLine="200"/>
              <w:jc w:val="left"/>
              <w:rPr/>
            </w:pPr>
            <w:r>
              <w:rPr/>
              <w:t> </w:t>
            </w:r>
          </w:p>
        </w:tc>
      </w:tr>
      <w:tr>
        <w:trPr/>
        <w:tc>
          <w:tcPr>
            <w:tcW w:w="2566"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Released</w:t>
            </w:r>
          </w:p>
        </w:tc>
        <w:tc>
          <w:tcPr>
            <w:tcW w:w="146" w:type="dxa"/>
            <w:tcBorders/>
            <w:shd w:fill="auto" w:val="clear"/>
            <w:vAlign w:val="center"/>
          </w:tcPr>
          <w:p>
            <w:pPr>
              <w:pStyle w:val="TableContents"/>
              <w:spacing w:before="0" w:after="0"/>
              <w:ind w:left="20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(43,183</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18" w:type="dxa"/>
            <w:tcBorders/>
            <w:shd w:fill="auto" w:val="clear"/>
            <w:vAlign w:val="center"/>
          </w:tcPr>
          <w:p>
            <w:pPr>
              <w:pStyle w:val="TableContents"/>
              <w:spacing w:before="0" w:after="0"/>
              <w:ind w:left="0" w:right="0" w:hanging="0"/>
              <w:jc w:val="right"/>
              <w:rPr/>
            </w:pPr>
            <w:r>
              <w:rPr/>
              <w:t> </w:t>
            </w:r>
          </w:p>
        </w:tc>
        <w:tc>
          <w:tcPr>
            <w:tcW w:w="1052" w:type="dxa"/>
            <w:tcBorders/>
            <w:shd w:fill="auto" w:val="clear"/>
            <w:vAlign w:val="center"/>
          </w:tcPr>
          <w:p>
            <w:pPr>
              <w:pStyle w:val="TableContents"/>
              <w:spacing w:before="0" w:after="0"/>
              <w:ind w:left="0" w:right="0" w:hanging="0"/>
              <w:jc w:val="left"/>
              <w:rPr/>
            </w:pPr>
            <w:r>
              <w:rPr/>
              <w:t> </w:t>
            </w:r>
          </w:p>
        </w:tc>
        <w:tc>
          <w:tcPr>
            <w:tcW w:w="226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7.04</w:t>
            </w:r>
          </w:p>
        </w:tc>
        <w:tc>
          <w:tcPr>
            <w:tcW w:w="391" w:type="dxa"/>
            <w:tcBorders/>
            <w:shd w:fill="auto" w:val="clear"/>
            <w:vAlign w:val="center"/>
          </w:tcPr>
          <w:p>
            <w:pPr>
              <w:pStyle w:val="TableContents"/>
              <w:spacing w:before="0" w:after="0"/>
              <w:ind w:left="0" w:right="0" w:firstLine="200"/>
              <w:jc w:val="left"/>
              <w:rPr/>
            </w:pPr>
            <w:r>
              <w:rPr/>
              <w:t> </w:t>
            </w:r>
          </w:p>
        </w:tc>
      </w:tr>
      <w:tr>
        <w:trPr/>
        <w:tc>
          <w:tcPr>
            <w:tcW w:w="2566"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Cancelled</w:t>
            </w:r>
          </w:p>
        </w:tc>
        <w:tc>
          <w:tcPr>
            <w:tcW w:w="146" w:type="dxa"/>
            <w:tcBorders/>
            <w:shd w:fill="auto" w:val="clear"/>
            <w:vAlign w:val="center"/>
          </w:tcPr>
          <w:p>
            <w:pPr>
              <w:pStyle w:val="TableContents"/>
              <w:spacing w:before="0" w:after="0"/>
              <w:ind w:left="20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(65,698</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18" w:type="dxa"/>
            <w:tcBorders/>
            <w:shd w:fill="auto" w:val="clear"/>
            <w:vAlign w:val="center"/>
          </w:tcPr>
          <w:p>
            <w:pPr>
              <w:pStyle w:val="TableContents"/>
              <w:spacing w:before="0" w:after="0"/>
              <w:ind w:left="0" w:right="0" w:hanging="0"/>
              <w:jc w:val="right"/>
              <w:rPr/>
            </w:pPr>
            <w:r>
              <w:rPr/>
              <w:t> </w:t>
            </w:r>
          </w:p>
        </w:tc>
        <w:tc>
          <w:tcPr>
            <w:tcW w:w="33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3.71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25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Outstanding – March 31, 2023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9,149,671</w:t>
            </w:r>
          </w:p>
        </w:tc>
        <w:tc>
          <w:tcPr>
            <w:tcW w:w="2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right"/>
              <w:rPr/>
            </w:pPr>
            <w:r>
              <w:rPr/>
              <w:t> </w:t>
            </w:r>
          </w:p>
        </w:tc>
        <w:tc>
          <w:tcPr>
            <w:tcW w:w="10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Stock-Based Compensation Expense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Company recognized stock-based compensation expense in the condensed consolidated statement of operations and comprehensive loss as follows:</w:t>
      </w:r>
      <w:r>
        <w:rPr>
          <w:rFonts w:ascii="Times New Roman" w:hAnsi="Times New Roman"/>
          <w:sz w:val="20"/>
        </w:rPr>
        <w:t xml:space="preserve"> </w:t>
      </w:r>
    </w:p>
    <w:p>
      <w:pPr>
        <w:pStyle w:val="TextBody"/>
        <w:spacing w:before="0" w:after="0"/>
        <w:jc w:val="left"/>
        <w:rPr/>
      </w:pPr>
      <w:r>
        <w:rPr/>
        <w:t> </w:t>
      </w:r>
    </w:p>
    <w:tbl>
      <w:tblPr>
        <w:tblW w:w="6596" w:type="dxa"/>
        <w:jc w:val="left"/>
        <w:tblInd w:w="0" w:type="dxa"/>
        <w:tblCellMar>
          <w:top w:w="28" w:type="dxa"/>
          <w:left w:w="28" w:type="dxa"/>
          <w:bottom w:w="28" w:type="dxa"/>
          <w:right w:w="28" w:type="dxa"/>
        </w:tblCellMar>
      </w:tblPr>
      <w:tblGrid>
        <w:gridCol w:w="3001"/>
        <w:gridCol w:w="146"/>
        <w:gridCol w:w="334"/>
        <w:gridCol w:w="870"/>
        <w:gridCol w:w="248"/>
        <w:gridCol w:w="248"/>
        <w:gridCol w:w="334"/>
        <w:gridCol w:w="1024"/>
        <w:gridCol w:w="391"/>
      </w:tblGrid>
      <w:tr>
        <w:trPr/>
        <w:tc>
          <w:tcPr>
            <w:tcW w:w="30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0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305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For the 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2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8" w:type="dxa"/>
            <w:tcBorders/>
            <w:shd w:fill="auto" w:val="clear"/>
            <w:vAlign w:val="center"/>
          </w:tcPr>
          <w:p>
            <w:pPr>
              <w:pStyle w:val="TableContents"/>
              <w:spacing w:before="0" w:after="0"/>
              <w:ind w:left="0" w:right="0" w:hanging="0"/>
              <w:jc w:val="center"/>
              <w:rPr/>
            </w:pPr>
            <w:r>
              <w:rPr/>
              <w:t> </w:t>
            </w:r>
          </w:p>
        </w:tc>
        <w:tc>
          <w:tcPr>
            <w:tcW w:w="135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248"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w:t>
            </w:r>
          </w:p>
        </w:tc>
        <w:tc>
          <w:tcPr>
            <w:tcW w:w="391" w:type="dxa"/>
            <w:tcBorders/>
            <w:shd w:fill="auto" w:val="clear"/>
            <w:vAlign w:val="center"/>
          </w:tcPr>
          <w:p>
            <w:pPr>
              <w:pStyle w:val="TableContents"/>
              <w:spacing w:before="0" w:after="0"/>
              <w:ind w:left="0" w:right="0" w:hanging="0"/>
              <w:jc w:val="left"/>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87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210</w:t>
            </w:r>
          </w:p>
        </w:tc>
        <w:tc>
          <w:tcPr>
            <w:tcW w:w="248"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155</w:t>
            </w:r>
          </w:p>
        </w:tc>
        <w:tc>
          <w:tcPr>
            <w:tcW w:w="391" w:type="dxa"/>
            <w:tcBorders/>
            <w:shd w:fill="auto" w:val="clear"/>
            <w:vAlign w:val="center"/>
          </w:tcPr>
          <w:p>
            <w:pPr>
              <w:pStyle w:val="TableContents"/>
              <w:spacing w:before="0" w:after="0"/>
              <w:ind w:left="0" w:right="0" w:hanging="0"/>
              <w:jc w:val="left"/>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87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207</w:t>
            </w:r>
          </w:p>
        </w:tc>
        <w:tc>
          <w:tcPr>
            <w:tcW w:w="248"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132</w:t>
            </w:r>
          </w:p>
        </w:tc>
        <w:tc>
          <w:tcPr>
            <w:tcW w:w="391" w:type="dxa"/>
            <w:tcBorders/>
            <w:shd w:fill="auto" w:val="clear"/>
            <w:vAlign w:val="center"/>
          </w:tcPr>
          <w:p>
            <w:pPr>
              <w:pStyle w:val="TableContents"/>
              <w:spacing w:before="0" w:after="0"/>
              <w:ind w:left="0" w:right="0" w:hanging="0"/>
              <w:jc w:val="left"/>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2,240</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10,549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00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Total 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2,664</w:t>
            </w:r>
          </w:p>
        </w:tc>
        <w:tc>
          <w:tcPr>
            <w:tcW w:w="2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3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10,850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9. Net Loss Per Share</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following table sets forth the computation of the basic and diluted net loss per share attributable to common stockholders for the three months ended March 31, 2023 and 2022:</w:t>
      </w:r>
      <w:r>
        <w:rPr>
          <w:rFonts w:ascii="Times New Roman" w:hAnsi="Times New Roman"/>
          <w:sz w:val="20"/>
        </w:rPr>
        <w:t xml:space="preserve"> </w:t>
      </w:r>
    </w:p>
    <w:p>
      <w:pPr>
        <w:pStyle w:val="TextBody"/>
        <w:spacing w:before="0" w:after="0"/>
        <w:jc w:val="left"/>
        <w:rPr/>
      </w:pPr>
      <w:r>
        <w:rPr/>
        <w:t> </w:t>
      </w:r>
    </w:p>
    <w:tbl>
      <w:tblPr>
        <w:tblW w:w="7615" w:type="dxa"/>
        <w:jc w:val="left"/>
        <w:tblInd w:w="0" w:type="dxa"/>
        <w:tblCellMar>
          <w:top w:w="28" w:type="dxa"/>
          <w:left w:w="28" w:type="dxa"/>
          <w:bottom w:w="28" w:type="dxa"/>
          <w:right w:w="28" w:type="dxa"/>
        </w:tblCellMar>
      </w:tblPr>
      <w:tblGrid>
        <w:gridCol w:w="4021"/>
        <w:gridCol w:w="146"/>
        <w:gridCol w:w="220"/>
        <w:gridCol w:w="1133"/>
        <w:gridCol w:w="187"/>
        <w:gridCol w:w="164"/>
        <w:gridCol w:w="220"/>
        <w:gridCol w:w="1133"/>
        <w:gridCol w:w="391"/>
      </w:tblGrid>
      <w:tr>
        <w:trPr/>
        <w:tc>
          <w:tcPr>
            <w:tcW w:w="40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021" w:type="dxa"/>
            <w:tcBorders/>
            <w:shd w:fill="auto" w:val="clear"/>
            <w:vAlign w:val="center"/>
          </w:tcPr>
          <w:p>
            <w:pPr>
              <w:pStyle w:val="TableContents"/>
              <w:spacing w:before="0" w:after="0"/>
              <w:ind w:left="0" w:right="0" w:hanging="0"/>
              <w:jc w:val="left"/>
              <w:rPr>
                <w:rFonts w:cs="Times New Roman;serif"/>
                <w:bCs w:val="false"/>
                <w:szCs w:val="18"/>
              </w:rPr>
            </w:pPr>
            <w:r>
              <w:rPr>
                <w:rFonts w:cs="Times New Roman;serif"/>
                <w:bCs w:val="false"/>
                <w:szCs w:val="18"/>
              </w:rPr>
              <w:t>﻿</w:t>
            </w:r>
          </w:p>
        </w:tc>
        <w:tc>
          <w:tcPr>
            <w:tcW w:w="146" w:type="dxa"/>
            <w:tcBorders/>
            <w:shd w:fill="auto" w:val="clear"/>
            <w:vAlign w:val="center"/>
          </w:tcPr>
          <w:p>
            <w:pPr>
              <w:pStyle w:val="TableContents"/>
              <w:spacing w:before="0" w:after="0"/>
              <w:ind w:left="0" w:right="0" w:hanging="0"/>
              <w:jc w:val="left"/>
              <w:rPr/>
            </w:pPr>
            <w:r>
              <w:rPr/>
              <w:t> </w:t>
            </w:r>
          </w:p>
        </w:tc>
        <w:tc>
          <w:tcPr>
            <w:tcW w:w="305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For the 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 thousands, except share and per share data)</w:t>
            </w:r>
          </w:p>
        </w:tc>
        <w:tc>
          <w:tcPr>
            <w:tcW w:w="146" w:type="dxa"/>
            <w:tcBorders/>
            <w:shd w:fill="auto" w:val="clear"/>
            <w:vAlign w:val="center"/>
          </w:tcPr>
          <w:p>
            <w:pPr>
              <w:pStyle w:val="TableContents"/>
              <w:spacing w:before="0" w:after="0"/>
              <w:ind w:left="0" w:right="0" w:hanging="0"/>
              <w:jc w:val="left"/>
              <w:rPr/>
            </w:pPr>
            <w:r>
              <w:rPr/>
              <w:t> </w:t>
            </w:r>
          </w:p>
        </w:tc>
        <w:tc>
          <w:tcPr>
            <w:tcW w:w="135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135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Numerator:</w:t>
            </w:r>
          </w:p>
        </w:tc>
        <w:tc>
          <w:tcPr>
            <w:tcW w:w="146" w:type="dxa"/>
            <w:tcBorders/>
            <w:shd w:fill="auto" w:val="clear"/>
            <w:vAlign w:val="center"/>
          </w:tcPr>
          <w:p>
            <w:pPr>
              <w:pStyle w:val="TableContents"/>
              <w:spacing w:before="0" w:after="0"/>
              <w:ind w:left="0" w:right="0" w:hanging="0"/>
              <w:jc w:val="left"/>
              <w:rPr/>
            </w:pPr>
            <w:r>
              <w:rPr/>
              <w:t> </w:t>
            </w:r>
          </w:p>
        </w:tc>
        <w:tc>
          <w:tcPr>
            <w:tcW w:w="1353" w:type="dxa"/>
            <w:gridSpan w:val="2"/>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87" w:type="dxa"/>
            <w:tcBorders/>
            <w:shd w:fill="auto" w:val="clear"/>
            <w:vAlign w:val="center"/>
          </w:tcPr>
          <w:p>
            <w:pPr>
              <w:pStyle w:val="TableContents"/>
              <w:spacing w:before="0" w:after="0"/>
              <w:ind w:left="0" w:right="0" w:hanging="0"/>
              <w:jc w:val="righ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1353" w:type="dxa"/>
            <w:gridSpan w:val="2"/>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391" w:type="dxa"/>
            <w:tcBorders/>
            <w:shd w:fill="auto" w:val="clear"/>
            <w:vAlign w:val="center"/>
          </w:tcPr>
          <w:p>
            <w:pPr>
              <w:pStyle w:val="TableContents"/>
              <w:spacing w:before="0" w:after="0"/>
              <w:ind w:left="0" w:right="0" w:firstLine="200"/>
              <w:jc w:val="right"/>
              <w:rPr/>
            </w:pPr>
            <w:r>
              <w:rPr/>
              <w:t> </w:t>
            </w:r>
          </w:p>
        </w:tc>
      </w:tr>
      <w:tr>
        <w:trPr/>
        <w:tc>
          <w:tcPr>
            <w:tcW w:w="402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(21,476</w:t>
            </w:r>
          </w:p>
        </w:tc>
        <w:tc>
          <w:tcPr>
            <w:tcW w:w="1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4"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(19,202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Denominator:</w:t>
            </w:r>
          </w:p>
        </w:tc>
        <w:tc>
          <w:tcPr>
            <w:tcW w:w="146" w:type="dxa"/>
            <w:tcBorders/>
            <w:shd w:fill="auto" w:val="clear"/>
            <w:vAlign w:val="center"/>
          </w:tcPr>
          <w:p>
            <w:pPr>
              <w:pStyle w:val="TableContents"/>
              <w:spacing w:before="0" w:after="0"/>
              <w:ind w:left="0" w:right="0" w:hanging="0"/>
              <w:jc w:val="left"/>
              <w:rPr/>
            </w:pPr>
            <w:r>
              <w:rPr/>
              <w:t> </w:t>
            </w:r>
          </w:p>
        </w:tc>
        <w:tc>
          <w:tcPr>
            <w:tcW w:w="1353" w:type="dxa"/>
            <w:gridSpan w:val="2"/>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187" w:type="dxa"/>
            <w:tcBorders/>
            <w:shd w:fill="auto" w:val="clear"/>
            <w:vAlign w:val="center"/>
          </w:tcPr>
          <w:p>
            <w:pPr>
              <w:pStyle w:val="TableContents"/>
              <w:spacing w:before="0" w:after="0"/>
              <w:ind w:left="0" w:right="0" w:hanging="0"/>
              <w:jc w:val="righ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1353" w:type="dxa"/>
            <w:gridSpan w:val="2"/>
            <w:tcBorders/>
            <w:shd w:fill="auto" w:val="clear"/>
            <w:vAlign w:val="center"/>
          </w:tcPr>
          <w:p>
            <w:pPr>
              <w:pStyle w:val="TableContents"/>
              <w:spacing w:before="0" w:after="0"/>
              <w:ind w:left="0" w:right="0" w:hanging="0"/>
              <w:jc w:val="right"/>
              <w:rPr>
                <w:rFonts w:cs="Times New Roman;serif"/>
                <w:bCs w:val="false"/>
                <w:szCs w:val="18"/>
              </w:rPr>
            </w:pPr>
            <w:r>
              <w:rPr>
                <w:rFonts w:cs="Times New Roman;serif"/>
                <w:bCs w:val="false"/>
                <w:szCs w:val="18"/>
              </w:rPr>
              <w:t>﻿</w:t>
            </w:r>
          </w:p>
        </w:tc>
        <w:tc>
          <w:tcPr>
            <w:tcW w:w="391" w:type="dxa"/>
            <w:tcBorders/>
            <w:shd w:fill="auto" w:val="clear"/>
            <w:vAlign w:val="center"/>
          </w:tcPr>
          <w:p>
            <w:pPr>
              <w:pStyle w:val="TableContents"/>
              <w:spacing w:before="0" w:after="0"/>
              <w:ind w:left="0" w:right="0" w:firstLine="200"/>
              <w:jc w:val="right"/>
              <w:rPr/>
            </w:pPr>
            <w:r>
              <w:rPr/>
              <w:t> </w:t>
            </w:r>
          </w:p>
        </w:tc>
      </w:tr>
      <w:tr>
        <w:trPr/>
        <w:tc>
          <w:tcPr>
            <w:tcW w:w="402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Weighted average shares outstanding, basic and diluted</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152,827,729</w:t>
            </w:r>
          </w:p>
        </w:tc>
        <w:tc>
          <w:tcPr>
            <w:tcW w:w="1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137,908,690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Basic and diluted net loss per share</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(0.14</w:t>
            </w:r>
          </w:p>
        </w:tc>
        <w:tc>
          <w:tcPr>
            <w:tcW w:w="1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4"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(0.14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Anti-dilutive securities, excluded</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11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82,947,405</w:t>
            </w:r>
          </w:p>
        </w:tc>
        <w:tc>
          <w:tcPr>
            <w:tcW w:w="187"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11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62,564,533</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the Company incurred a net loss for the three months ended March 31, 2023 and 2022, none of the outstanding dilutive share-based awards were included in the diluted share calculation as they would have been anti-dilutive.</w:t>
      </w:r>
    </w:p>
    <w:p>
      <w:pPr>
        <w:pStyle w:val="TextBody"/>
        <w:spacing w:before="0" w:after="0"/>
        <w:jc w:val="both"/>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10. Income Taxes</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To determine the Company’s quarterly provision for income taxes, the Company used an estimated annual effective tax rate that is based on expected annual income and statutory tax rates in the various jurisdictions in which the Company operates. Certain significant unusual or infrequently occurring items that are separately reported are separately recognized in the quarter during which they occur and can be a source of variability in the effective tax rate from quarter to quarter.</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Company had no</w:t>
      </w:r>
      <w:r>
        <w:rPr>
          <w:rFonts w:ascii="Times New Roman" w:hAnsi="Times New Roman"/>
          <w:sz w:val="20"/>
        </w:rPr>
        <w:t xml:space="preserve"> </w:t>
      </w:r>
      <w:r>
        <w:rPr>
          <w:rFonts w:ascii="Times New Roman;serif" w:hAnsi="Times New Roman;serif"/>
          <w:b w:val="false"/>
          <w:sz w:val="20"/>
        </w:rPr>
        <w:t>income tax expense for the three months ended March 31, 2023 and 2022, respectively. The provision for income taxes for the three months ended March 31, 2023 and 2022 is based on the Company’s estimated annualized effective tax rate for the fiscal years ending December 31, 2023 and 2022, respectively. For the three months ended March 31, 2023, the Company’s recognized effective tax rate differs from the U.S. federal statutory rate as the Company recorded net losses during the period with a corresponding full valuation allowance on the net deferred tax assets created from the losses.</w:t>
      </w:r>
      <w:r>
        <w:rPr>
          <w:rFonts w:ascii="Times New Roman" w:hAnsi="Times New Roman"/>
          <w:sz w:val="20"/>
        </w:rPr>
        <w:t xml:space="preserve"> </w:t>
      </w:r>
    </w:p>
    <w:p>
      <w:pPr>
        <w:pStyle w:val="TextBody"/>
        <w:spacing w:before="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center"/>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11. Commitments and Contingencies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Legal Proceedings</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Company has been and may in the future be involved in various claims, lawsuits, investigations and other proceedings in the normal course of business. The Company accrues a liability when management believes information available prior to the issuance of the condensed consolidated financial statements indicates it is probable a loss has been incurred as of the date of the financial statements and the amount of loss can be reasonably estimated. The Company adjusts its accruals to reflect the impact of negotiation, settlements, rulings, advice of legal counsel and other information and events pertaining to a particular case. Legal costs are expensed as incurred. The Company has not recorded any material loss contingency related to legal proceedings in the balance sheet as of March 31, 2023 and December 31, 2022.</w:t>
      </w:r>
    </w:p>
    <w:p>
      <w:pPr>
        <w:pStyle w:val="TextBody"/>
        <w:spacing w:before="0" w:after="0"/>
        <w:jc w:val="both"/>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Indemnifications</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the ordinary course of business, the Company may provide indemnifications of varying scope and terms to investors, directors, officers, employees, customers or vendors with respect to certain matters, including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As of March 31, 2023 and December 31, 2022, the Company has not accrued a liability for these indemnification obligations as the likelihood of incurring a material payment obligation in connection with these indemnification obligations is either not probable or not reasonably estimable due to the unique facts and circumstances involved.</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Unconditional Purchase Commitment</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As of March 31, 2023, the Company has an unconditional purchase commitment of $4.0</w:t>
      </w:r>
      <w:r>
        <w:rPr>
          <w:rFonts w:ascii="Times New Roman" w:hAnsi="Times New Roman"/>
          <w:sz w:val="20"/>
        </w:rPr>
        <w:t xml:space="preserve"> </w:t>
      </w:r>
      <w:r>
        <w:rPr>
          <w:rFonts w:ascii="Times New Roman;serif" w:hAnsi="Times New Roman;serif"/>
          <w:b w:val="false"/>
          <w:sz w:val="20"/>
        </w:rPr>
        <w:t>million, which is related to operational expenses and all of which is expected to be settled during the year ended December 31, 2023. The Company expects this amount to be paid in two equal installments, one during each of the second and third quarters 2023.</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12. Segment Information</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Company’s Chief Executive Officer (“CEO”) is the Chief Operating Decision Maker (“CODM”). The CODM allocates resources and makes operating decisions based on financial information presented on a consolidated basis. The CODM does not evaluate profitability below the level of the consolidated company. Accordingly, the Company has determined that it has a single</w:t>
      </w:r>
      <w:r>
        <w:rPr>
          <w:rFonts w:ascii="Times New Roman" w:hAnsi="Times New Roman"/>
          <w:sz w:val="20"/>
        </w:rPr>
        <w:t xml:space="preserve"> </w:t>
      </w:r>
      <w:r>
        <w:rPr>
          <w:rFonts w:ascii="Times New Roman;serif" w:hAnsi="Times New Roman;serif"/>
          <w:b w:val="false"/>
          <w:sz w:val="20"/>
        </w:rPr>
        <w:t>reportable segment and operating segment structure.</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The Company’s revenue is derived primarily from U.S. customers. During the three months ended March 31, 2023, the Company had $0.7</w:t>
      </w:r>
      <w:r>
        <w:rPr>
          <w:rFonts w:ascii="Times New Roman" w:hAnsi="Times New Roman"/>
          <w:sz w:val="20"/>
        </w:rPr>
        <w:t xml:space="preserve"> </w:t>
      </w:r>
      <w:r>
        <w:rPr>
          <w:rFonts w:ascii="Times New Roman;serif" w:hAnsi="Times New Roman;serif"/>
          <w:b w:val="false"/>
          <w:sz w:val="20"/>
        </w:rPr>
        <w:t>million of revenue earned from customers located outside the United States. During the three months ended March 31, 2022, the Company had no</w:t>
      </w:r>
      <w:r>
        <w:rPr>
          <w:rFonts w:ascii="Times New Roman" w:hAnsi="Times New Roman"/>
          <w:sz w:val="20"/>
        </w:rPr>
        <w:t xml:space="preserve"> </w:t>
      </w:r>
      <w:r>
        <w:rPr>
          <w:rFonts w:ascii="Times New Roman;serif" w:hAnsi="Times New Roman;serif"/>
          <w:b w:val="false"/>
          <w:sz w:val="20"/>
        </w:rPr>
        <w:t>material revenue earned from customers located outside the United States.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All long-lived assets are maintained in the United States. All losses are attributable to operations within the United States.</w:t>
      </w:r>
    </w:p>
    <w:p>
      <w:pPr>
        <w:pStyle w:val="TextBody"/>
        <w:spacing w:before="0" w:after="0"/>
        <w:jc w:val="both"/>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13. Employee Benefits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Company has a defined contribution 401(k) plan covering substantially all employees as of March 31, 2023. The plan allows employees to defer up to 100% of their employment income (subject to annual contribution limits imposed by the I.R.S.) after all taxes and applicable benefit deductions. In April 2022 the Company began providing employees with 401(k) matching contributions.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bookmarkStart w:id="9" w:name="item_2_managements_discussion"/>
      <w:bookmarkEnd w:id="9"/>
      <w:r>
        <w:rPr>
          <w:rFonts w:ascii="Times New Roman;serif" w:hAnsi="Times New Roman;serif"/>
          <w:b/>
          <w:sz w:val="20"/>
        </w:rPr>
        <w:t>Item 2. Management</w:t>
      </w:r>
      <w:r>
        <w:rPr>
          <w:rFonts w:ascii="Times New Roman" w:hAnsi="Times New Roman"/>
          <w:sz w:val="20"/>
        </w:rPr>
        <w:t>’</w:t>
      </w:r>
      <w:r>
        <w:rPr>
          <w:rFonts w:ascii="Times New Roman;serif" w:hAnsi="Times New Roman;serif"/>
          <w:b/>
          <w:sz w:val="20"/>
        </w:rPr>
        <w:t>s Discussion and Analysis of Financial Condition and Results of Operations.</w:t>
      </w:r>
    </w:p>
    <w:p>
      <w:pPr>
        <w:pStyle w:val="TextBody"/>
        <w:spacing w:before="0" w:after="0"/>
        <w:jc w:val="both"/>
        <w:rPr/>
      </w:pPr>
      <w:r>
        <w:rPr/>
        <w:t> </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Throughout this section, unless otherwise noted, the “Company,” “Sarcos Technology and Robotics Corporation,” "Sarcos," “we,” “us,” and “our” refers to Sarcos Technology and Robotics Corporation, and its subsidiaries, collectively. You should read the following discussion and analysis of our financial condition and results of operations in conjunction with our unaudited interim condensed consolidated financial statements and related notes thereto included elsewhere in this Quarterly Report (this “Report”) as well as our Annual Report on Form 10-K for the fiscal year ended December 31, 2022 (the “2022 Form 10-K”) and our other filings, including Current Reports on Form 8-K, that we have filed with the SEC through the date of this Report. As discussed in the Special Note Regarding Forward-Looking Statements below, in addition to historical information, the following discussion and analysis contains forward-looking statements that involve risks, uncertainties and assumptions. Our actual results may differ materially from those anticipated in these forward-looking statements as a result of certain factors, including those set forth in Part II Item 1A Risk Factors and elsewhere in this Report.</w:t>
      </w:r>
    </w:p>
    <w:p>
      <w:pPr>
        <w:pStyle w:val="TextBody"/>
        <w:spacing w:before="0" w:after="0"/>
        <w:jc w:val="both"/>
        <w:rPr/>
      </w:pPr>
      <w:r>
        <w:rPr/>
        <w:t> </w:t>
      </w:r>
    </w:p>
    <w:p>
      <w:pPr>
        <w:pStyle w:val="TextBody"/>
        <w:spacing w:before="0" w:after="0"/>
        <w:jc w:val="both"/>
        <w:rPr>
          <w:rFonts w:ascii="Times New Roman;serif" w:hAnsi="Times New Roman;serif"/>
          <w:b/>
          <w:sz w:val="19"/>
        </w:rPr>
      </w:pPr>
      <w:r>
        <w:rPr>
          <w:rFonts w:ascii="Times New Roman;serif" w:hAnsi="Times New Roman;serif"/>
          <w:b/>
          <w:sz w:val="19"/>
        </w:rPr>
        <w:t>Special Note Regarding Forward-Looking Statements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Certain statements in this Report constitute “forward-looking statements” within the meaning of Section 27A of the Securities Act of 1933, as amended (the “Securities Act”) and Section 21E of the Securities Exchange Act of 1934, as amended (the “Exchange Act”). These forward-looking statements relate to expectations for future financial performance, business strategies or expectations for our business. Specifically, forward-looking statements may include statements relating to:</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ability to sell our products to new and existing customers;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ability to successfully integrate RE2 and achieve the expected benefits of the acquisition;</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product roadmap, including the expected timing of new product releases;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ability to manage and overcome supply chain challenges, including increases in the cost of and an interruption in the supply or availability of components, parts and materials;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competition from existing or future businesses and technologies;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ability to manage our growth and expenses;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ability to maintain, protect and enhance our intellectual property;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ability to comply with modified or new laws and regulations applicable to our business;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ability to attract and retain qualified personnel with the necessary experience;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ability to introduce new products that meet our customers’ requirements and to successfully transition to high volume manufacturing of our products by third-party manufacturers or by us;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projected financial and operating information and estimates of market size and opportunities;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future financial performance;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impact of the COVID-19 pandemic and global economic and geopolitical conditions on our business and the business of our customers;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changes in the market for our products and services;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expansion plans and opportunities, including plans to expand our product availability globally;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future capital requirements and sources and uses of cash;</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ability to defend and the outcome of any known and unknown litigation and regulatory proceedings;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ability to maintain and protect our brand;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other statements preceded by, followed by or that include the words “may,” “can,” “should,” “will,” “estimate,” “plan,” “project,” “forecast,” “intend,” “expect,” “anticipate,” “believe,” “seek,” “aim,” “target” or similar expressions.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II Item 1A Risk Factors of this Report. Should one or more of these risks or uncertainties materialize, or should any of the assumptions prove incorrect, actual results may vary in material respects from those projected in these forward-looking statements. Our Risk Factors are not guarantees that no such conditions exist as of the date of this Report and should not be interpreted as an affirmative statement that such risks or conditions have not materialized, in whole or in part.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spacing w:before="240" w:after="0"/>
        <w:jc w:val="both"/>
        <w:rPr>
          <w:rFonts w:ascii="Times New Roman;serif" w:hAnsi="Times New Roman;serif"/>
          <w:b/>
          <w:sz w:val="20"/>
        </w:rPr>
      </w:pPr>
      <w:r>
        <w:rPr>
          <w:rFonts w:ascii="Times New Roman;serif" w:hAnsi="Times New Roman;serif"/>
          <w:b/>
          <w:sz w:val="20"/>
        </w:rPr>
        <w:t>Overview</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are a technology leader in the design, development and manufacture of advanced robotic systems and solutions that redefine human possibilities. We design and produce highly-dexterous mobile robotic systems and solutions for use in dynamic and unstructured environments. Our mission is to increase worker productivity and longevity and prevent injuries through robotics. Our robotic systems are designed to augment and increase human productivity, rather than replace humans, by combining human intelligence, instinct and judgment with the strength, endurance and precision of machines.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Our core systems consist of the Guardian XM, Guardian XT and Guardian Sea Class teleoperated/semi-autonomous systems and the Guardian XO exoskeleton. We adapt these core systems for specific use-cases based on the capabilities and characteristics of each system to create solutions. We may also combine aspects of multiple systems or create a specific system for a particular solution.</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Based on feedback from our development customers and potential commercial customers, we have decided to offer our systems and solutions primarily through a sales business model where the customer purchases a system or solution for a one-time, upfront amount. We also plan to offer software upgrades and additional capabilities and to offer for sale add-on hardware components (such as additional interchangeable end-effectors).</w:t>
      </w:r>
      <w:r>
        <w:rPr>
          <w:rFonts w:ascii="Times New Roman" w:hAnsi="Times New Roman"/>
          <w:sz w:val="20"/>
        </w:rPr>
        <w:t xml:space="preserve"> </w:t>
      </w:r>
    </w:p>
    <w:p>
      <w:pPr>
        <w:pStyle w:val="TextBody"/>
        <w:spacing w:before="0" w:after="0"/>
        <w:jc w:val="both"/>
        <w:rPr>
          <w:rFonts w:ascii="Times New Roman;serif" w:hAnsi="Times New Roman;serif"/>
          <w:b/>
          <w:sz w:val="20"/>
        </w:rPr>
      </w:pPr>
      <w:r>
        <w:rPr>
          <w:rFonts w:ascii="Times New Roman;serif" w:hAnsi="Times New Roman;serif"/>
          <w:b/>
          <w:sz w:val="20"/>
        </w:rPr>
        <w:t>Response to COVID-19</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On January 30, 2020, the World Health Organization declared the COVID-19 outbreak a “Public Health Emergency of International Concern” and on March 11, 2020, declared it to be a pandemic. Actions taken around the world to help mitigate the spread of COVID-19 include restrictions on travel, quarantines in certain areas and forced closures for certain types of public places and businesses. COVID-19 and actions taken to mitigate its spread have had and may continue to have an adverse impact on the economies and financial markets of many countries, including the geographies in which Sarcos operates.</w:t>
      </w:r>
    </w:p>
    <w:p>
      <w:pPr>
        <w:pStyle w:val="TextBody"/>
        <w:spacing w:before="0" w:after="0"/>
        <w:jc w:val="both"/>
        <w:rPr>
          <w:rFonts w:ascii="Times New Roman" w:hAnsi="Times New Roman"/>
          <w:sz w:val="20"/>
        </w:rPr>
      </w:pPr>
      <w:r>
        <w:rPr>
          <w:rFonts w:ascii="Times New Roman;serif" w:hAnsi="Times New Roman;serif"/>
          <w:b w:val="false"/>
          <w:sz w:val="20"/>
        </w:rPr>
        <w:t>We took several actions in response to the COVID-19 pandemic that resulted in significant disruptions to how we operate our business. Our customers and partners adopted similar policies. These actions and policies of ours and our customers and partners are evolving as laws, regulations and recommendations evolve. Although many of these measures are no longer in effect, we have experienced, and may continue to experience, an adverse impact on certain parts of our business as a result of measures to mitigate the COVID-19 pandemic and their resulting economic effects. Further, discontinued measures could be reinstituted, for example as a result of government requirements or in response to new variants of COVID-19.</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We have experienced and may continue to experience disruptions in our supply chain, due in part to the global impact of the COVID-19 pandemic. Depending upon the duration of the ongoing COVID-19 pandemic and the associated business interruptions, our customers, suppliers, manufacturers and partners may suspend or delay their engagements with us, which could result in a material adverse effect on our financial condition and ability to meet current timelines. In an effort to manage potential supply chain risks, in particular long and unpredictable lead-times, we have accelerated and expect to continue to accelerate purchases of various materials, parts and components for the foreseeable future to support product development and current and future production of our commercial units, which has increased and will likely continue to increase our use of cash. In addition, the COVID-19 pandemic has affected and</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may continue to affect our ability to recruit skilled employees to join our team. The conditions caused by the pandemic have adversely affected and may continue to adversely affect, among other things, demand for our products and the ability to test and assess our robotic systems with potential customers any of which adversely affects our business, results of operations and financial condition. The duration and extent of the COVID-19 pandemic and its impacts cannot be accurately predicted at this time, and the ultimate direct and indirect impacts on our business, results of operations and financial condition will depend on future developments that are highly uncertain.</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will continue to monitor the global impact of COVID-19 and its effects on our business and operations closely. We do not yet know the full extent of potential impacts on our business or operations. In particular, the effect of the COVID-19 pandemic may not be fully reflected in our operating results until future periods. Given this uncertainty, we cannot reasonably estimate the impact of the COVID-19 pandemic on our future results of operations, cash flows, or financial condition.</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Key Factors Affecting Operating Results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believe that our performance and future success depend on several factors that present significant opportunities for us but also pose risks and challenges, including those discussed below and in Part II Item 1A Risk Factors.</w:t>
      </w:r>
    </w:p>
    <w:p>
      <w:pPr>
        <w:pStyle w:val="TextBody"/>
        <w:spacing w:before="0" w:after="0"/>
        <w:jc w:val="both"/>
        <w:rPr>
          <w:rFonts w:ascii="Times New Roman;serif" w:hAnsi="Times New Roman;serif"/>
          <w:b/>
          <w:i/>
          <w:sz w:val="20"/>
        </w:rPr>
      </w:pPr>
      <w:r>
        <w:rPr>
          <w:rFonts w:ascii="Times New Roman;serif" w:hAnsi="Times New Roman;serif"/>
          <w:b/>
          <w:i/>
          <w:sz w:val="20"/>
        </w:rPr>
        <w:t>Development, Testing and Commercial Launch of our Core Products</w:t>
      </w:r>
    </w:p>
    <w:p>
      <w:pPr>
        <w:pStyle w:val="TextBody"/>
        <w:spacing w:before="0" w:after="0"/>
        <w:jc w:val="both"/>
        <w:rPr>
          <w:rFonts w:ascii="Times New Roman" w:hAnsi="Times New Roman"/>
          <w:sz w:val="20"/>
        </w:rPr>
      </w:pPr>
      <w:r>
        <w:rPr>
          <w:rFonts w:ascii="Times New Roman;serif" w:hAnsi="Times New Roman;serif"/>
          <w:b w:val="false"/>
          <w:sz w:val="20"/>
        </w:rPr>
        <w:t>We expect that revenue from the commercial launch of teleoperated/semi-autonomous commercial products will determine our near-term financial success. We began initial production of commercial units of the Guardian XM during September 2022 and initial production of commercial units of the Guardian XT during December 2022. Development and production priorities are driven by a combination of our views and expectations of customer demand, supply chain constraints and overall manufacturing and product technical readiness. We expect that as our products continue to be tested, begin production and experience the rigors of regular customer use, we will continue to learn and make improvements to our products by integrating design and product feedback into current or future products. Timelines may be delayed, including due to challenges in recruiting skilled employees, difficulties in securing components and materials, development delays, difficulties relating to manufacturing of the units and other factors discussed under Part II Item 1A Risk Factors “</w:t>
      </w:r>
      <w:r>
        <w:rPr>
          <w:rFonts w:ascii="Times New Roman;serif" w:hAnsi="Times New Roman;serif"/>
          <w:b w:val="false"/>
          <w:i/>
          <w:sz w:val="20"/>
        </w:rPr>
        <w:t>Risks Related to Our Business and Industry.</w:t>
      </w:r>
      <w:r>
        <w:rPr>
          <w:rFonts w:ascii="Times New Roman" w:hAnsi="Times New Roman"/>
          <w:sz w:val="20"/>
        </w:rPr>
        <w:t xml:space="preserve">” </w:t>
      </w:r>
      <w:r>
        <w:rPr>
          <w:rFonts w:ascii="Times New Roman;serif" w:hAnsi="Times New Roman;serif"/>
          <w:b w:val="false"/>
          <w:sz w:val="20"/>
        </w:rPr>
        <w:t>Such challenges may result in further delay of the anticipated commercial launch of one or more of our products, which would adversely affect our financial condition and operating results.</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Financing of Operations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Prior to commercialization, we must complete the development, testing and manufacturing requirements of our products. As a result, we will spend a material portion of our cash on hand to develop our products and fund operations for the foreseeable future. The amount and timing of our future funding requirements will depend on many factors, including the pace and results of our product development efforts, our ability to manufacture, sell and deliver commercial products and thereby recognize associated revenue, capital requirements to build commercial products prior to receiving payments sufficient to cover our costs and our ability to lower product costs as volumes increase. We currently expect to obtain outside financing to help cover production costs for product orders. In addition, we have taken numerous steps to manage our use of cash and believe we have sufficient capital to fund our business for at least the next 12 months without seeking additional capital. We are satisfied with our liquidity and currently have no plans to do an equity financing in 2023. However, we may seek additional capital from time to time to bolster our cash reserves, reduce our financial risk, help finance product manufacturing and inventory costs and pursue business objectives. We will continue monitoring our liquidity, financial and business results and outlook and market conditions, and could change our plans if we determine it to be necessary or advisable. Any delays in the successful completion of the commercialization of our products will negatively impact our ability to generate revenue, our profitability and our overall operating performance.</w:t>
      </w:r>
    </w:p>
    <w:p>
      <w:pPr>
        <w:pStyle w:val="TextBody"/>
        <w:spacing w:before="0" w:after="0"/>
        <w:jc w:val="both"/>
        <w:rPr>
          <w:rFonts w:ascii="Times New Roman;serif" w:hAnsi="Times New Roman;serif"/>
          <w:b/>
          <w:i/>
          <w:sz w:val="20"/>
        </w:rPr>
      </w:pPr>
      <w:r>
        <w:rPr>
          <w:rFonts w:ascii="Times New Roman;serif" w:hAnsi="Times New Roman;serif"/>
          <w:b/>
          <w:i/>
          <w:sz w:val="20"/>
        </w:rPr>
        <w:t>Acquisition and Integration of RE2</w:t>
      </w:r>
    </w:p>
    <w:p>
      <w:pPr>
        <w:pStyle w:val="TextBody"/>
        <w:spacing w:before="0" w:after="0"/>
        <w:jc w:val="both"/>
        <w:rPr>
          <w:rFonts w:ascii="Times New Roman" w:hAnsi="Times New Roman"/>
          <w:sz w:val="20"/>
        </w:rPr>
      </w:pPr>
      <w:r>
        <w:rPr>
          <w:rFonts w:ascii="Times New Roman;serif" w:hAnsi="Times New Roman;serif"/>
          <w:b w:val="false"/>
          <w:sz w:val="20"/>
        </w:rPr>
        <w:t>On April 25, 2022, we acquired RE2, Inc., a Pittsburgh, PA based developer of manipulator arms with human-like performance, intuitive robot interfaces and advanced autonomy capabilities for use in any environment. The results presented and discussed below include the activity for RE2 from the acquisition date through March 31, 2023. Our results do not include RE2’s financial information prior to the acquisition.</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Customer Demand</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Although we have only recently begun production of commercial units of some of our products in limited quantities, we have received interest from potential customers that have tested or witnessed demonstrations of our pre-commercial units. However, because our robotic systems represent a new product category in markets that currently rely generally on conventional, manual systems, the market demand for our products is unproven, and important assumptions about the characteristics of targeted markets, pricing and sales cycles may be inaccurate. If customer demand does not develop as expected or we do not accurately forecast pricing, adoption rates and sales cycles for our products, our business, results of operations and financial condition will be adversely affected.</w:t>
      </w:r>
    </w:p>
    <w:p>
      <w:pPr>
        <w:pStyle w:val="TextBody"/>
        <w:spacing w:before="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Manufacturing of Our Products</w:t>
      </w:r>
    </w:p>
    <w:p>
      <w:pPr>
        <w:pStyle w:val="TextBody"/>
        <w:spacing w:before="0" w:after="0"/>
        <w:jc w:val="both"/>
        <w:rPr>
          <w:rFonts w:ascii="Times New Roman" w:hAnsi="Times New Roman"/>
          <w:sz w:val="20"/>
        </w:rPr>
      </w:pPr>
      <w:r>
        <w:rPr>
          <w:rFonts w:ascii="Times New Roman;serif" w:hAnsi="Times New Roman;serif"/>
          <w:b w:val="false"/>
          <w:sz w:val="20"/>
        </w:rPr>
        <w:t>To the extent we obtain commercial orders for our products, we will need to manufacture and deliver them to our customers. We have recently entered into an agreement with a third-party contract manufacturer and expect to generally outsource manufacturing of our products over time. However, engaging with a manufacturing partner will likely require significant time, ramp-up, testing and coordination before high-volume production capability by the partner is achieved. We currently do not anticipate high-volume production by our contract manufacturing partner to be in place until at least the end of 2023. We expect that this contract manufacturing partner will initially focus on helping us produce product sub-systems. We expect that in 2023 we will have the internal capability to manufacture a total of between 300 – 500 systems, depending on the mix. However, we do not believe that we will use all of that capacity in 2023. For additional information around the risks associated with contract manufacturing see Part II Item 1A Risk Factors “</w:t>
      </w:r>
      <w:r>
        <w:rPr>
          <w:rFonts w:ascii="Times New Roman;serif" w:hAnsi="Times New Roman;serif"/>
          <w:b w:val="false"/>
          <w:i/>
          <w:sz w:val="20"/>
        </w:rPr>
        <w:t>Our expected transition to an outsourced manufacturing business model may not be successful, which could harm our ability to deliver products and recognize revenue.</w:t>
      </w:r>
      <w:r>
        <w:rPr>
          <w:rFonts w:ascii="Times New Roman" w:hAnsi="Times New Roman"/>
          <w:sz w:val="20"/>
        </w:rPr>
        <w:t>”</w:t>
      </w:r>
    </w:p>
    <w:p>
      <w:pPr>
        <w:pStyle w:val="TextBody"/>
        <w:spacing w:before="0" w:after="0"/>
        <w:jc w:val="both"/>
        <w:rPr>
          <w:rFonts w:ascii="Times New Roman" w:hAnsi="Times New Roman"/>
          <w:sz w:val="20"/>
        </w:rPr>
      </w:pPr>
      <w:r>
        <w:rPr>
          <w:rFonts w:ascii="Times New Roman;serif" w:hAnsi="Times New Roman;serif"/>
          <w:b/>
          <w:i/>
          <w:sz w:val="20"/>
        </w:rPr>
        <w:t>Continued Investment and Innovation</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are a pioneer in the robotic systems industry and benefit from lessons learned over 30 years and significant investment in research and development in our proprietary technologies and our extensive patent portfolio. However, our financial performance is significantly dependent on our ability to maintain this leading position and further dependent on the investments we make in research and development. It is important that we continually identify and respond to rapidly evolving customer requirements, develop and introduce innovative new products, enhance and service existing products and generate active market demand for our robotic systems. If we fail to do this, our market position and revenue may be adversely affected, and our investments into these technologies will not be recovered.</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Geopolitical and Macro-economic Environment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Geopolitical and macro-economic factors, such as inflation, rising interest rates, oil prices, unemployment rates, the war in Ukraine, volatility in the stock market and political or social unrest, can have significant impacts on economic activity, which in turn could affect demand for our products or our ability to cost-effectively develop, sell and manufacture our products. Among other things, these and similar factors can affect our supply chain, our ability to hire qualified personnel, our labor and materials costs, the prices we charge for our products and the budgets of our customers and their expected return-on-investment from the purchase of or subscription for our products. Many of these factors are outside of our control but can have a significant impact on our business success and operating results. If we are unable to manage our business successfully in response to any such factors, our business and results of operations would be adversely affected.</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Results of Operations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discussion below regarding our results of operations for the three months ended March 31, 2023, includes the financial results of RE2 beginning on the acquisition date through March 31, 2023. Our results do not include RE2’s financial information prior to the acquisition.</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Comparison of the Three Months Ended March 31, 2023 and 2022</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Revenue, Net</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 presents our revenue for the three months ended March 31, 2023 and 2022:</w:t>
      </w:r>
    </w:p>
    <w:p>
      <w:pPr>
        <w:pStyle w:val="TextBody"/>
        <w:spacing w:before="0" w:after="0"/>
        <w:jc w:val="both"/>
        <w:rPr/>
      </w:pPr>
      <w:r>
        <w:rPr/>
        <w:t> </w:t>
      </w:r>
    </w:p>
    <w:tbl>
      <w:tblPr>
        <w:tblW w:w="8404" w:type="dxa"/>
        <w:jc w:val="left"/>
        <w:tblInd w:w="0" w:type="dxa"/>
        <w:tblCellMar>
          <w:top w:w="28" w:type="dxa"/>
          <w:left w:w="28" w:type="dxa"/>
          <w:bottom w:w="28" w:type="dxa"/>
          <w:right w:w="28" w:type="dxa"/>
        </w:tblCellMar>
      </w:tblPr>
      <w:tblGrid>
        <w:gridCol w:w="2971"/>
        <w:gridCol w:w="146"/>
        <w:gridCol w:w="322"/>
        <w:gridCol w:w="839"/>
        <w:gridCol w:w="239"/>
        <w:gridCol w:w="239"/>
        <w:gridCol w:w="322"/>
        <w:gridCol w:w="617"/>
        <w:gridCol w:w="146"/>
        <w:gridCol w:w="146"/>
        <w:gridCol w:w="216"/>
        <w:gridCol w:w="565"/>
        <w:gridCol w:w="183"/>
        <w:gridCol w:w="161"/>
        <w:gridCol w:w="233"/>
        <w:gridCol w:w="698"/>
        <w:gridCol w:w="361"/>
      </w:tblGrid>
      <w:tr>
        <w:trPr/>
        <w:tc>
          <w:tcPr>
            <w:tcW w:w="29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97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57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 vs. 2022 Change</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shd w:fill="auto" w:val="clear"/>
            <w:vAlign w:val="center"/>
          </w:tcPr>
          <w:p>
            <w:pPr>
              <w:pStyle w:val="TableContents"/>
              <w:spacing w:before="0" w:after="0"/>
              <w:ind w:left="0" w:right="0" w:hanging="0"/>
              <w:jc w:val="left"/>
              <w:rPr/>
            </w:pPr>
            <w:r>
              <w:rPr/>
              <w:t> </w:t>
            </w:r>
          </w:p>
        </w:tc>
        <w:tc>
          <w:tcPr>
            <w:tcW w:w="11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3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 Change</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Product Development Contract Revenue</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2,296</w:t>
            </w:r>
          </w:p>
        </w:tc>
        <w:tc>
          <w:tcPr>
            <w:tcW w:w="239"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6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1,563</w:t>
            </w:r>
          </w:p>
        </w:tc>
        <w:tc>
          <w:tcPr>
            <w:tcW w:w="183"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213</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Product Revenue</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Revenue, net</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2,296</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743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1,553</w:t>
            </w:r>
          </w:p>
        </w:tc>
        <w:tc>
          <w:tcPr>
            <w:tcW w:w="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209</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Revenue increased by $1.6 million, or 209%, from $0.7 million for the three months ended March 31, 2022, to $2.3 million for the three months ended March 31, 2023, as explained below.</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Product Development Contract Revenue</w:t>
      </w:r>
    </w:p>
    <w:p>
      <w:pPr>
        <w:pStyle w:val="TextBody"/>
        <w:spacing w:before="0" w:after="0"/>
        <w:jc w:val="both"/>
        <w:rPr>
          <w:rFonts w:ascii="Times New Roman" w:hAnsi="Times New Roman"/>
          <w:sz w:val="20"/>
        </w:rPr>
      </w:pPr>
      <w:r>
        <w:rPr>
          <w:rFonts w:ascii="Times New Roman;serif" w:hAnsi="Times New Roman;serif"/>
          <w:b w:val="false"/>
          <w:sz w:val="20"/>
        </w:rPr>
        <w:t>Revenue derived from product development contract revenue increased by $1.6 million, or 213%, from $0.7 million for the three months ended March 31, 2022 to $2.3 million for the three months ended March 31, 2023. The increase was primarily due to revenue recognized from contracts acquired as part of the RE2 acquisition. We expect future revenue from product development contracts to increase on a</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year over year basis due to the inclusion of RE2 product development contract revenue for the full year and as we bring on additional development contracts that support our commercialization efforts. As we focus on initial commercial product sales of our core products, our product development contract revenue is expected to decrease as a percentage of total revenue.</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Product Revenue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Revenue derived from product sales was not significant for the three months ended March 31, 2022 or the three months ended March 31, 2023. The lack of product sales was due to our focus on the commercialization of our core products.</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Operating Expenses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 presents our operating expenses for the three months ended March 31, 2023 and 2022:</w:t>
      </w:r>
    </w:p>
    <w:p>
      <w:pPr>
        <w:pStyle w:val="TextBody"/>
        <w:spacing w:before="0" w:after="0"/>
        <w:jc w:val="both"/>
        <w:rPr/>
      </w:pPr>
      <w:r>
        <w:rPr/>
        <w:t> </w:t>
      </w:r>
    </w:p>
    <w:tbl>
      <w:tblPr>
        <w:tblW w:w="8055" w:type="dxa"/>
        <w:jc w:val="left"/>
        <w:tblInd w:w="0" w:type="dxa"/>
        <w:tblCellMar>
          <w:top w:w="28" w:type="dxa"/>
          <w:left w:w="28" w:type="dxa"/>
          <w:bottom w:w="28" w:type="dxa"/>
          <w:right w:w="28" w:type="dxa"/>
        </w:tblCellMar>
      </w:tblPr>
      <w:tblGrid>
        <w:gridCol w:w="2356"/>
        <w:gridCol w:w="146"/>
        <w:gridCol w:w="268"/>
        <w:gridCol w:w="822"/>
        <w:gridCol w:w="199"/>
        <w:gridCol w:w="199"/>
        <w:gridCol w:w="268"/>
        <w:gridCol w:w="822"/>
        <w:gridCol w:w="146"/>
        <w:gridCol w:w="146"/>
        <w:gridCol w:w="216"/>
        <w:gridCol w:w="631"/>
        <w:gridCol w:w="183"/>
        <w:gridCol w:w="161"/>
        <w:gridCol w:w="260"/>
        <w:gridCol w:w="671"/>
        <w:gridCol w:w="561"/>
      </w:tblGrid>
      <w:tr>
        <w:trPr/>
        <w:tc>
          <w:tcPr>
            <w:tcW w:w="23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23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57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 vs. 2022 Change</w:t>
            </w:r>
          </w:p>
        </w:tc>
        <w:tc>
          <w:tcPr>
            <w:tcW w:w="5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shd w:fill="auto" w:val="clear"/>
            <w:vAlign w:val="center"/>
          </w:tcPr>
          <w:p>
            <w:pPr>
              <w:pStyle w:val="TableContents"/>
              <w:spacing w:before="0" w:after="0"/>
              <w:ind w:left="0" w:right="0" w:hanging="0"/>
              <w:jc w:val="left"/>
              <w:rPr/>
            </w:pPr>
            <w:r>
              <w:rPr/>
              <w:t> </w:t>
            </w:r>
          </w:p>
        </w:tc>
        <w:tc>
          <w:tcPr>
            <w:tcW w:w="10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10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 Change</w:t>
            </w:r>
          </w:p>
        </w:tc>
        <w:tc>
          <w:tcPr>
            <w:tcW w:w="5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090" w:type="dxa"/>
            <w:gridSpan w:val="2"/>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109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7" w:type="dxa"/>
            <w:gridSpan w:val="2"/>
            <w:tcBorders/>
            <w:shd w:fill="auto" w:val="clear"/>
            <w:vAlign w:val="center"/>
          </w:tcPr>
          <w:p>
            <w:pPr>
              <w:pStyle w:val="TableContents"/>
              <w:spacing w:before="0" w:after="0"/>
              <w:ind w:left="0" w:right="0" w:hanging="0"/>
              <w:jc w:val="right"/>
              <w:rPr/>
            </w:pPr>
            <w:r>
              <w:rPr/>
              <w:t> </w:t>
            </w:r>
          </w:p>
        </w:tc>
        <w:tc>
          <w:tcPr>
            <w:tcW w:w="183" w:type="dxa"/>
            <w:tcBorders/>
            <w:shd w:fill="auto" w:val="clear"/>
            <w:vAlign w:val="center"/>
          </w:tcPr>
          <w:p>
            <w:pPr>
              <w:pStyle w:val="TableContents"/>
              <w:spacing w:before="0" w:after="0"/>
              <w:ind w:left="0" w:right="0" w:hanging="0"/>
              <w:jc w:val="righ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561" w:type="dxa"/>
            <w:tcBorders/>
            <w:shd w:fill="auto" w:val="clear"/>
            <w:vAlign w:val="center"/>
          </w:tcPr>
          <w:p>
            <w:pPr>
              <w:pStyle w:val="TableContents"/>
              <w:spacing w:before="0" w:after="0"/>
              <w:ind w:left="0" w:right="0" w:firstLine="200"/>
              <w:jc w:val="right"/>
              <w:rPr/>
            </w:pPr>
            <w:r>
              <w:rPr/>
              <w:t> </w:t>
            </w:r>
          </w:p>
        </w:tc>
      </w:tr>
      <w:tr>
        <w:trPr/>
        <w:tc>
          <w:tcPr>
            <w:tcW w:w="23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1,786</w:t>
            </w:r>
          </w:p>
        </w:tc>
        <w:tc>
          <w:tcPr>
            <w:tcW w:w="199"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1,298</w:t>
            </w:r>
          </w:p>
        </w:tc>
        <w:tc>
          <w:tcPr>
            <w:tcW w:w="183"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266</w:t>
            </w:r>
          </w:p>
        </w:tc>
        <w:tc>
          <w:tcPr>
            <w:tcW w:w="56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3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9,403</w:t>
            </w:r>
          </w:p>
        </w:tc>
        <w:tc>
          <w:tcPr>
            <w:tcW w:w="199"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3,522</w:t>
            </w:r>
          </w:p>
        </w:tc>
        <w:tc>
          <w:tcPr>
            <w:tcW w:w="183"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60</w:t>
            </w:r>
          </w:p>
        </w:tc>
        <w:tc>
          <w:tcPr>
            <w:tcW w:w="56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3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9,735</w:t>
            </w:r>
          </w:p>
        </w:tc>
        <w:tc>
          <w:tcPr>
            <w:tcW w:w="199"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17,792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(8,057</w:t>
            </w:r>
          </w:p>
        </w:tc>
        <w:tc>
          <w:tcPr>
            <w:tcW w:w="18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1"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w:t>
            </w:r>
          </w:p>
        </w:tc>
        <w:tc>
          <w:tcPr>
            <w:tcW w:w="56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3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3,741</w:t>
            </w:r>
          </w:p>
        </w:tc>
        <w:tc>
          <w:tcPr>
            <w:tcW w:w="199"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1,530</w:t>
            </w:r>
          </w:p>
        </w:tc>
        <w:tc>
          <w:tcPr>
            <w:tcW w:w="183"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69</w:t>
            </w:r>
          </w:p>
        </w:tc>
        <w:tc>
          <w:tcPr>
            <w:tcW w:w="56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3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Intangible amortization expense</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819</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819</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*NM</w:t>
            </w:r>
          </w:p>
        </w:tc>
        <w:tc>
          <w:tcPr>
            <w:tcW w:w="561" w:type="dxa"/>
            <w:tcBorders/>
            <w:shd w:fill="auto" w:val="clear"/>
            <w:vAlign w:val="center"/>
          </w:tcPr>
          <w:p>
            <w:pPr>
              <w:pStyle w:val="TableContents"/>
              <w:spacing w:before="0" w:after="0"/>
              <w:ind w:left="0" w:right="0" w:hanging="0"/>
              <w:jc w:val="right"/>
              <w:rPr/>
            </w:pPr>
            <w:r>
              <w:rPr/>
              <w:t> </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25,484</w:t>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26,372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(888</w:t>
            </w:r>
          </w:p>
        </w:tc>
        <w:tc>
          <w:tcPr>
            <w:tcW w:w="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1"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5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*NM - Not Meaningful</w:t>
      </w:r>
    </w:p>
    <w:p>
      <w:pPr>
        <w:pStyle w:val="TextBody"/>
        <w:spacing w:before="0" w:after="0"/>
        <w:jc w:val="both"/>
        <w:rPr/>
      </w:pPr>
      <w:r>
        <w:rPr/>
        <w:t> </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Cost of Revenue</w:t>
      </w:r>
    </w:p>
    <w:p>
      <w:pPr>
        <w:pStyle w:val="TextBody"/>
        <w:spacing w:before="0" w:after="0"/>
        <w:jc w:val="both"/>
        <w:rPr>
          <w:rFonts w:ascii="Times New Roman" w:hAnsi="Times New Roman"/>
          <w:sz w:val="20"/>
        </w:rPr>
      </w:pPr>
      <w:r>
        <w:rPr>
          <w:rFonts w:ascii="Times New Roman;serif" w:hAnsi="Times New Roman;serif"/>
          <w:b w:val="false"/>
          <w:sz w:val="20"/>
        </w:rPr>
        <w:t>Cost of revenue increased by $1.3 million, or 266%, from $0.5 million for the three months ended March 31, 2022, to $1.8 million for the three months ended March 31, 2023. Cost of revenue increased significantly mainly due to the increase in revenue from the inclusion of RE2's product development contract revenue and the costs associated with that revenue during the three months ended March 31, 2023.</w:t>
      </w:r>
      <w:r>
        <w:rPr>
          <w:rFonts w:ascii="Times New Roman" w:hAnsi="Times New Roman"/>
          <w:sz w:val="20"/>
        </w:rPr>
        <w:t xml:space="preserve"> </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Research and Development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Research and development expenses increased by $3.5 million, or 60% from $5.9 million for the three months ended March 31, 2022, to $9.4 million for the three months ended March 31, 2023. The increase was driven primarily by an increase in labor and overhead expense as a result of increased headcount (due in part to the RE2 acquisition) and increased direct materials charges. Additionally, allocated overhead and fringe related costs increased due to the increase in labor costs in the current year. We expect research and development expenses to decrease during 2023 on a year-over-year basis as we reduce our use of third-party research and development resources in our efforts to refine our existing products and further enhance our efforts on our future products and software.</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General and Administrative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General and administrative expenses decreased by $8.1 million, or 45%, from $17.8 million for the three months ended March 31, 2022, to $9.7 million for the three months ended March 31, 2023. General and administrative expense decreased primarily due to reduced stock-based compensation expense of $8.3 million due to certain awards vesting in the prior year. With the exception of stock-based compensation expense, we expect our general and administrative expenses to increase slightly during 2023 on a year-over-year basis due to commercialization efforts and public company compliance requirements, but to decrease as a percentage of revenue.</w:t>
      </w:r>
    </w:p>
    <w:p>
      <w:pPr>
        <w:pStyle w:val="TextBody"/>
        <w:spacing w:before="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Sales and Marketing</w:t>
      </w:r>
    </w:p>
    <w:p>
      <w:pPr>
        <w:pStyle w:val="TextBody"/>
        <w:spacing w:before="0" w:after="0"/>
        <w:jc w:val="both"/>
        <w:rPr>
          <w:rFonts w:ascii="Times New Roman;serif" w:hAnsi="Times New Roman;serif"/>
          <w:b w:val="false"/>
          <w:sz w:val="20"/>
        </w:rPr>
      </w:pPr>
      <w:r>
        <w:rPr>
          <w:rFonts w:ascii="Times New Roman;serif" w:hAnsi="Times New Roman;serif"/>
          <w:b w:val="false"/>
          <w:sz w:val="20"/>
        </w:rPr>
        <w:t>Sales and marketing expenses increased by $1.5 million, or 69%, from $2.2 million for the three months ended March 31, 2022, to $3.7 million for the three months ended March 31, 2023. This increase was driven by an increase in professional service fees due to the engagement of a third-party vendor utilized in data management of our products and services, and increased expenses related to additional headcount due in part to our RE2 acquisition. We expect our sales and marketing expenses to increase during 2023 on a year-over-year basis as our revenue increases.</w:t>
      </w:r>
    </w:p>
    <w:p>
      <w:pPr>
        <w:pStyle w:val="TextBody"/>
        <w:spacing w:before="0" w:after="0"/>
        <w:jc w:val="both"/>
        <w:rPr/>
      </w:pPr>
      <w:r>
        <w:rPr/>
        <w:t> </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Intangible Amortization Expense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Intangible amortization expenses increased by $0.8 million, from $0.0 million for three months ended March 31, 2022, to $0.8 million for the three months ended March 31, 2023. The increase in intangible amortization expense is due to the recognition of amortization expenses on identified intangible assets recorded as part of the RE2 acquisition.</w:t>
      </w:r>
      <w:r>
        <w:rPr>
          <w:rFonts w:ascii="Times New Roman" w:hAnsi="Times New Roman"/>
          <w:sz w:val="20"/>
        </w:rPr>
        <w:t xml:space="preserve"> </w:t>
      </w:r>
    </w:p>
    <w:p>
      <w:pPr>
        <w:pStyle w:val="TextBody"/>
        <w:spacing w:before="0" w:after="0"/>
        <w:jc w:val="both"/>
        <w:rPr>
          <w:rFonts w:ascii="Times New Roman;serif" w:hAnsi="Times New Roman;serif"/>
          <w:b/>
          <w:i/>
          <w:sz w:val="20"/>
        </w:rPr>
      </w:pPr>
      <w:r>
        <w:rPr>
          <w:rFonts w:ascii="Times New Roman;serif" w:hAnsi="Times New Roman;serif"/>
          <w:b/>
          <w:i/>
          <w:sz w:val="20"/>
        </w:rPr>
        <w:t>Other Income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 presents other income for the three months ended March 31, 2023 and 2022:</w:t>
      </w:r>
    </w:p>
    <w:p>
      <w:pPr>
        <w:pStyle w:val="TextBody"/>
        <w:spacing w:before="0" w:after="0"/>
        <w:jc w:val="both"/>
        <w:rPr/>
      </w:pPr>
      <w:r>
        <w:rPr/>
        <w:t> </w:t>
      </w:r>
    </w:p>
    <w:tbl>
      <w:tblPr>
        <w:tblW w:w="7900" w:type="dxa"/>
        <w:jc w:val="left"/>
        <w:tblInd w:w="0" w:type="dxa"/>
        <w:tblCellMar>
          <w:top w:w="28" w:type="dxa"/>
          <w:left w:w="28" w:type="dxa"/>
          <w:bottom w:w="28" w:type="dxa"/>
          <w:right w:w="28" w:type="dxa"/>
        </w:tblCellMar>
      </w:tblPr>
      <w:tblGrid>
        <w:gridCol w:w="2311"/>
        <w:gridCol w:w="146"/>
        <w:gridCol w:w="293"/>
        <w:gridCol w:w="764"/>
        <w:gridCol w:w="248"/>
        <w:gridCol w:w="218"/>
        <w:gridCol w:w="293"/>
        <w:gridCol w:w="764"/>
        <w:gridCol w:w="146"/>
        <w:gridCol w:w="146"/>
        <w:gridCol w:w="196"/>
        <w:gridCol w:w="571"/>
        <w:gridCol w:w="166"/>
        <w:gridCol w:w="146"/>
        <w:gridCol w:w="181"/>
        <w:gridCol w:w="750"/>
        <w:gridCol w:w="56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58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1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 vs. 2022 Change</w:t>
            </w:r>
          </w:p>
        </w:tc>
        <w:tc>
          <w:tcPr>
            <w:tcW w:w="5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shd w:fill="auto" w:val="clear"/>
            <w:vAlign w:val="center"/>
          </w:tcPr>
          <w:p>
            <w:pPr>
              <w:pStyle w:val="TableContents"/>
              <w:spacing w:before="0" w:after="0"/>
              <w:ind w:left="0" w:right="0" w:hanging="0"/>
              <w:jc w:val="left"/>
              <w:rPr/>
            </w:pPr>
            <w:r>
              <w:rPr/>
              <w:t> </w:t>
            </w:r>
          </w:p>
        </w:tc>
        <w:tc>
          <w:tcPr>
            <w:tcW w:w="10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10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 Change</w:t>
            </w:r>
          </w:p>
        </w:tc>
        <w:tc>
          <w:tcPr>
            <w:tcW w:w="5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income</w:t>
            </w:r>
          </w:p>
        </w:tc>
        <w:tc>
          <w:tcPr>
            <w:tcW w:w="146" w:type="dxa"/>
            <w:tcBorders/>
            <w:shd w:fill="auto" w:val="clear"/>
            <w:vAlign w:val="center"/>
          </w:tcPr>
          <w:p>
            <w:pPr>
              <w:pStyle w:val="TableContents"/>
              <w:spacing w:before="0" w:after="0"/>
              <w:ind w:left="0" w:right="0" w:hanging="0"/>
              <w:jc w:val="left"/>
              <w:rPr/>
            </w:pPr>
            <w:r>
              <w:rPr/>
              <w:t> </w:t>
            </w:r>
          </w:p>
        </w:tc>
        <w:tc>
          <w:tcPr>
            <w:tcW w:w="1057" w:type="dxa"/>
            <w:gridSpan w:val="2"/>
            <w:tcBorders/>
            <w:shd w:fill="auto" w:val="clear"/>
            <w:vAlign w:val="center"/>
          </w:tcPr>
          <w:p>
            <w:pPr>
              <w:pStyle w:val="TableContents"/>
              <w:spacing w:before="0" w:after="0"/>
              <w:ind w:left="0" w:right="0" w:hanging="0"/>
              <w:jc w:val="right"/>
              <w:rPr/>
            </w:pPr>
            <w:r>
              <w:rPr/>
              <w:t> </w:t>
            </w:r>
          </w:p>
        </w:tc>
        <w:tc>
          <w:tcPr>
            <w:tcW w:w="248" w:type="dxa"/>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105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561" w:type="dxa"/>
            <w:tcBorders/>
            <w:shd w:fill="auto" w:val="clear"/>
            <w:vAlign w:val="center"/>
          </w:tcPr>
          <w:p>
            <w:pPr>
              <w:pStyle w:val="TableContents"/>
              <w:spacing w:before="0" w:after="0"/>
              <w:ind w:left="0" w:right="0" w:firstLine="200"/>
              <w:jc w:val="right"/>
              <w:rPr/>
            </w:pPr>
            <w:r>
              <w:rPr/>
              <w:t> </w:t>
            </w:r>
          </w:p>
        </w:tc>
      </w:tr>
      <w:tr>
        <w:trPr/>
        <w:tc>
          <w:tcPr>
            <w:tcW w:w="23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Interest income (expense), net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1,099</w:t>
            </w:r>
          </w:p>
        </w:tc>
        <w:tc>
          <w:tcPr>
            <w:tcW w:w="248"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9,891</w:t>
            </w:r>
          </w:p>
        </w:tc>
        <w:tc>
          <w:tcPr>
            <w:tcW w:w="56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3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(Loss) gain on warrant liability</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(436</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18"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(6,850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(107</w:t>
            </w:r>
          </w:p>
        </w:tc>
        <w:tc>
          <w:tcPr>
            <w:tcW w:w="56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3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1,049</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52,350</w:t>
            </w:r>
          </w:p>
        </w:tc>
        <w:tc>
          <w:tcPr>
            <w:tcW w:w="5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other income</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1,712</w:t>
            </w:r>
          </w:p>
        </w:tc>
        <w:tc>
          <w:tcPr>
            <w:tcW w:w="2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(4,715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(73</w:t>
            </w:r>
          </w:p>
        </w:tc>
        <w:tc>
          <w:tcPr>
            <w:tcW w:w="5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Other income decreased by $4.7 million for the three months ended March 31, 2023 as compared to the prior year period, as a result of the decrease in unrealized mark-to-market gain on our outstanding private placement warrants, partially offset by increased interest income from our investments in marketable securities and increased other income related to the employee retention credit.</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Liquidity and Capital Resources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currently use cash to fund operations and capital expenditures and meet working capital requirements. As of March 31, 2023, we had $94.7 million in cash, cash equivalents and marketable securities. We believe that our cash, cash equivalents and marketable securities on hand will be sufficient to support operations, working capital and capital expenditure requirements for at least the next 12 months from the date of this Report; however, we may need to secure additional financing prior to achieving positive operating cash flows, which we do not expect to occur until 2025 at the earliest.</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amount and timing of our future funding requirements will depend on many factors, including the pace and results of our product development efforts, our ability to manufacture and deliver commercial products and thereby recognize associated revenue, capital requirements to build commercial products prior to receiving payments sufficient to cover our costs and our ability to lower product costs as volumes increase. Any delays in the successful completion of the commercialization of our products will negatively impact our ability to generate revenue, our profitability and our overall operating performance.</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addition, we may enter into arrangements to acquire or invest in complementary businesses, services and technologies, which may require acquisition capital as well as operational capital for these acquisitions or arrangements. We may be required to seek additional equity or debt financing to facilitate these arrangements.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We expect our operating and capital expenditures to increase as we increase headcount, expand our operations and grow our customer base. If additional funds are required to support our working capital requirements, for acquisitions or for other purposes, we may seek to raise funds through additional debt or equity financings or from other sources. We currently expect to obtain outside financing to help cover production costs for product orders. In addition, we have taken numerous steps to manage our use of cash and believe we have sufficient capital to fund our business for at least the next 12 months without seeking additional capital. We are satisfied with our liquidity and currently have no plans to do an equity financing in 2023. However, we may seek additional capital from time to time to bolster our cash reserves, reduce our financial risk, help finance product manufacturing and inventory costs and pursue business objectives. We will continue monitoring our liquidity, financial and business results and outlook and market conditions, and could change our plans if we determine it to be necessary or advisable. If we raise additional funds through the issuance of equity or convertible debt securities, the percentage ownership of our equity holders could be significantly diluted and these newly issued securities may have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additional interest expense. Additional financing may not be available at all or, if available, may not be available on terms favorable to us or that we find acceptable.</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Cash Flows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 summarizes our cash flow data for the periods presented:</w:t>
      </w:r>
    </w:p>
    <w:p>
      <w:pPr>
        <w:pStyle w:val="TextBody"/>
        <w:spacing w:before="0" w:after="0"/>
        <w:jc w:val="both"/>
        <w:rPr/>
      </w:pPr>
      <w:r>
        <w:rPr/>
        <w:t> </w:t>
      </w:r>
    </w:p>
    <w:tbl>
      <w:tblPr>
        <w:tblW w:w="9298" w:type="dxa"/>
        <w:jc w:val="left"/>
        <w:tblInd w:w="0" w:type="dxa"/>
        <w:tblCellMar>
          <w:top w:w="28" w:type="dxa"/>
          <w:left w:w="28" w:type="dxa"/>
          <w:bottom w:w="28" w:type="dxa"/>
          <w:right w:w="28" w:type="dxa"/>
        </w:tblCellMar>
      </w:tblPr>
      <w:tblGrid>
        <w:gridCol w:w="3661"/>
        <w:gridCol w:w="146"/>
        <w:gridCol w:w="249"/>
        <w:gridCol w:w="842"/>
        <w:gridCol w:w="211"/>
        <w:gridCol w:w="185"/>
        <w:gridCol w:w="249"/>
        <w:gridCol w:w="842"/>
        <w:gridCol w:w="166"/>
        <w:gridCol w:w="146"/>
        <w:gridCol w:w="196"/>
        <w:gridCol w:w="601"/>
        <w:gridCol w:w="166"/>
        <w:gridCol w:w="146"/>
        <w:gridCol w:w="189"/>
        <w:gridCol w:w="742"/>
        <w:gridCol w:w="561"/>
      </w:tblGrid>
      <w:tr>
        <w:trPr/>
        <w:tc>
          <w:tcPr>
            <w:tcW w:w="36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366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57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4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 vs. 2022 Change</w:t>
            </w:r>
          </w:p>
        </w:tc>
        <w:tc>
          <w:tcPr>
            <w:tcW w:w="5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6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shd w:fill="auto" w:val="clear"/>
            <w:vAlign w:val="center"/>
          </w:tcPr>
          <w:p>
            <w:pPr>
              <w:pStyle w:val="TableContents"/>
              <w:spacing w:before="0" w:after="0"/>
              <w:ind w:left="0" w:right="0" w:hanging="0"/>
              <w:jc w:val="left"/>
              <w:rPr/>
            </w:pPr>
            <w:r>
              <w:rPr/>
              <w:t> </w:t>
            </w:r>
          </w:p>
        </w:tc>
        <w:tc>
          <w:tcPr>
            <w:tcW w:w="10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0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 Change</w:t>
            </w:r>
          </w:p>
        </w:tc>
        <w:tc>
          <w:tcPr>
            <w:tcW w:w="5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provided by (used in):</w:t>
            </w:r>
          </w:p>
        </w:tc>
        <w:tc>
          <w:tcPr>
            <w:tcW w:w="146" w:type="dxa"/>
            <w:tcBorders/>
            <w:shd w:fill="auto" w:val="clear"/>
            <w:vAlign w:val="center"/>
          </w:tcPr>
          <w:p>
            <w:pPr>
              <w:pStyle w:val="TableContents"/>
              <w:spacing w:before="0" w:after="0"/>
              <w:ind w:left="0" w:right="0" w:hanging="0"/>
              <w:jc w:val="left"/>
              <w:rPr/>
            </w:pPr>
            <w:r>
              <w:rPr/>
              <w:t> </w:t>
            </w:r>
          </w:p>
        </w:tc>
        <w:tc>
          <w:tcPr>
            <w:tcW w:w="109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09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561" w:type="dxa"/>
            <w:tcBorders/>
            <w:shd w:fill="auto" w:val="clear"/>
            <w:vAlign w:val="center"/>
          </w:tcPr>
          <w:p>
            <w:pPr>
              <w:pStyle w:val="TableContents"/>
              <w:spacing w:before="0" w:after="0"/>
              <w:ind w:left="0" w:right="0" w:firstLine="200"/>
              <w:jc w:val="right"/>
              <w:rPr/>
            </w:pPr>
            <w:r>
              <w:rPr/>
              <w:t> </w:t>
            </w:r>
          </w:p>
        </w:tc>
      </w:tr>
      <w:tr>
        <w:trPr/>
        <w:tc>
          <w:tcPr>
            <w:tcW w:w="366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(20,122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(12,452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(7,670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7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w:t>
            </w:r>
          </w:p>
        </w:tc>
        <w:tc>
          <w:tcPr>
            <w:tcW w:w="56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366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Net cash provided by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10,338</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10,852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7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(2,111</w:t>
            </w:r>
          </w:p>
        </w:tc>
        <w:tc>
          <w:tcPr>
            <w:tcW w:w="56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366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Net cash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(5,190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5,183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7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5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6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decrease in cash, cash equivalents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(9,791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(18,156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8,365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7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w:t>
            </w:r>
          </w:p>
        </w:tc>
        <w:tc>
          <w:tcPr>
            <w:tcW w:w="5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spacing w:before="0" w:after="0"/>
        <w:jc w:val="both"/>
        <w:rPr/>
      </w:pPr>
      <w:r>
        <w:rPr/>
        <w:t> </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Net Cash Used in Operating Activities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Cash flows used in operating activities during the three months ended March 31, 2023 increased by $7.7 million to $20.1 million from $12.5 million during the same period in 2022. The increase to net cash used in operating activities was primarily attributable to a $2.3 million increase to net loss, a net decrease of $1.1 million in non-cash expenses driven mainly by decreased stock-based compensation partially offset by increased losses on warrant liability revaluation. Additionally, net cash used in operating activities related to changes in operating assets and liabilities increased by $4.3 million, which was mainly due to increases to inventories and prepaid expenses and other current assets and a decrease in accounts payable, partially offset by decreases in unbilled receivables.</w:t>
      </w:r>
    </w:p>
    <w:p>
      <w:pPr>
        <w:pStyle w:val="TextBody"/>
        <w:spacing w:before="0" w:after="0"/>
        <w:jc w:val="both"/>
        <w:rPr/>
      </w:pPr>
      <w:r>
        <w:rPr/>
        <w:t> </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Net Cash Provided by (Used in) Investing Activities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net cash provided by investing activities during the three months ended March 31, 2023 increased by $10.9 million. The increase in cash provided by investing activities is predominantly due to $10.7 million of maturities of marketable securities, net of purchases, during the three months ended March 31, 2023.</w:t>
      </w:r>
    </w:p>
    <w:p>
      <w:pPr>
        <w:pStyle w:val="TextBody"/>
        <w:spacing w:before="0" w:after="0"/>
        <w:jc w:val="both"/>
        <w:rPr/>
      </w:pPr>
      <w:r>
        <w:rPr/>
        <w:t> </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Net Cash Used In Financing Activities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overall cash used in financing activities during the three months ended March 31, 2023 decreased by $5.2 million as compared to the prior year period. The decrease in financing activities was mainly due to a $5.2 million decrease in funds used to repurchase shares of common stock that were withheld for payment of tax withholding obligations upon the vesting of equity awards.</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Emerging Growth Company Status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we have total annual gross revenue of $1.235 billion or more during such fiscal year (as indexed for inflation), (iii) the date on which we have issued more than $1 billion in non-convertible debt in the prior three-year period or (iv) December 31, 2025,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spacing w:before="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Critical Accounting Policies and Estimates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There have been no material changes to our critical accounting policies or estimates as disclosed in our 2022 Form 10-K.</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Recent Accounting Pronouncements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See Note 1, Basis of Presentation and Summary of Significant Accounting Policies, to our unaudited interim condensed consolidated financial statements included elsewhere in this Report for recently adopted accounting pronouncements and recently issued accounting pronouncements not yet adopted as of the date of this Report.</w:t>
      </w:r>
    </w:p>
    <w:p>
      <w:pPr>
        <w:pStyle w:val="TextBody"/>
        <w:spacing w:before="200" w:after="0"/>
        <w:jc w:val="left"/>
        <w:rPr>
          <w:rFonts w:ascii="Times New Roman;serif" w:hAnsi="Times New Roman;serif"/>
          <w:b/>
          <w:sz w:val="20"/>
        </w:rPr>
      </w:pPr>
      <w:bookmarkStart w:id="10" w:name="item_3_quantitative_and_qualitative"/>
      <w:bookmarkEnd w:id="10"/>
      <w:r>
        <w:rPr>
          <w:rFonts w:ascii="Times New Roman;serif" w:hAnsi="Times New Roman;serif"/>
          <w:b/>
          <w:sz w:val="20"/>
        </w:rPr>
        <w:t>Item 3. Quantitative and Qualitative Disclosures About Market Risk.</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a smaller reporting company as defined by Rule 12b-2 of the Exchange Act and are not required to provide the information otherwise required under this item.</w:t>
      </w:r>
    </w:p>
    <w:p>
      <w:pPr>
        <w:pStyle w:val="TextBody"/>
        <w:spacing w:before="200" w:after="0"/>
        <w:jc w:val="left"/>
        <w:rPr>
          <w:rFonts w:ascii="Times New Roman;serif" w:hAnsi="Times New Roman;serif"/>
          <w:b/>
          <w:sz w:val="20"/>
        </w:rPr>
      </w:pPr>
      <w:bookmarkStart w:id="11" w:name="item_4_controls_and_procedures"/>
      <w:bookmarkEnd w:id="11"/>
      <w:r>
        <w:rPr>
          <w:rFonts w:ascii="Times New Roman;serif" w:hAnsi="Times New Roman;serif"/>
          <w:b/>
          <w:sz w:val="20"/>
        </w:rPr>
        <w:t>Item 4. Controls and Procedures.</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Evaluation of Disclosure Controls and Procedures</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the end of the fiscal quarter ended March 31, 2023, pursuant to Rule 13a-15(b) under the Exchange Act. Based upon that evaluation, our Certifying Officers concluded that our disclosure controls and procedures were effective as of March 31, 2023.</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r>
        <w:rPr>
          <w:rFonts w:ascii="Times New Roman" w:hAnsi="Times New Roman"/>
          <w:sz w:val="20"/>
        </w:rPr>
        <w:t xml:space="preserve"> </w:t>
      </w:r>
    </w:p>
    <w:p>
      <w:pPr>
        <w:pStyle w:val="TextBody"/>
        <w:spacing w:before="0" w:after="0"/>
        <w:jc w:val="both"/>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Changes in Internal Control over Financial Reporting</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There was no change in our internal control over financial reporting that occurred during the fiscal quarter ended March 31, 2023 covered by this Report that has materially affected, or is reasonably likely to materially affect, our internal control over financial reporting.</w:t>
      </w:r>
      <w:r>
        <w:rPr>
          <w:rFonts w:ascii="Times New Roman" w:hAnsi="Times New Roman"/>
          <w:sz w:val="20"/>
        </w:rPr>
        <w:t xml:space="preserve"> </w:t>
      </w:r>
    </w:p>
    <w:p>
      <w:pPr>
        <w:pStyle w:val="TextBody"/>
        <w:spacing w:before="0" w:after="0"/>
        <w:jc w:val="both"/>
        <w:rPr/>
      </w:pPr>
      <w:r>
        <w:rPr/>
        <w:t> </w:t>
      </w:r>
    </w:p>
    <w:p>
      <w:pPr>
        <w:pStyle w:val="TextBody"/>
        <w:spacing w:before="360" w:after="0"/>
        <w:jc w:val="center"/>
        <w:rPr>
          <w:rFonts w:ascii="Times New Roman;serif" w:hAnsi="Times New Roman;serif"/>
          <w:b/>
          <w:sz w:val="20"/>
        </w:rPr>
      </w:pPr>
      <w:bookmarkStart w:id="12" w:name="part_ii_other_information"/>
      <w:bookmarkEnd w:id="12"/>
      <w:r>
        <w:rPr>
          <w:rFonts w:ascii="Times New Roman;serif" w:hAnsi="Times New Roman;serif"/>
          <w:b/>
          <w:sz w:val="20"/>
        </w:rPr>
        <w:t>PART II—OTHER INFORMATION</w:t>
      </w:r>
    </w:p>
    <w:p>
      <w:pPr>
        <w:pStyle w:val="TextBody"/>
        <w:spacing w:before="360" w:after="0"/>
        <w:jc w:val="left"/>
        <w:rPr>
          <w:rFonts w:ascii="Times New Roman;serif" w:hAnsi="Times New Roman;serif"/>
          <w:b/>
          <w:sz w:val="20"/>
        </w:rPr>
      </w:pPr>
      <w:bookmarkStart w:id="13" w:name="item_1_legal_proceedings"/>
      <w:bookmarkEnd w:id="13"/>
      <w:r>
        <w:rPr>
          <w:rFonts w:ascii="Times New Roman;serif" w:hAnsi="Times New Roman;serif"/>
          <w:b/>
          <w:sz w:val="20"/>
        </w:rPr>
        <w:t>Item 1. Legal Proceedings.</w:t>
      </w:r>
    </w:p>
    <w:p>
      <w:pPr>
        <w:pStyle w:val="TextBody"/>
        <w:spacing w:before="200" w:after="0"/>
        <w:jc w:val="both"/>
        <w:rPr>
          <w:rFonts w:ascii="Times New Roman" w:hAnsi="Times New Roman"/>
          <w:sz w:val="20"/>
        </w:rPr>
      </w:pPr>
      <w:r>
        <w:rPr>
          <w:rFonts w:ascii="Times New Roman;serif" w:hAnsi="Times New Roman;serif"/>
          <w:b w:val="false"/>
          <w:sz w:val="20"/>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14" w:name="item_1a_risk_factors"/>
      <w:bookmarkEnd w:id="14"/>
      <w:r>
        <w:rPr>
          <w:rFonts w:ascii="Times New Roman;serif" w:hAnsi="Times New Roman;serif"/>
          <w:b/>
          <w:sz w:val="20"/>
        </w:rPr>
        <w:t>Item 1A. Risk Factors.</w:t>
      </w:r>
    </w:p>
    <w:p>
      <w:pPr>
        <w:pStyle w:val="TextBody"/>
        <w:spacing w:before="0" w:after="0"/>
        <w:jc w:val="left"/>
        <w:rPr/>
      </w:pPr>
      <w:r>
        <w:rPr/>
        <w:t> </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You should carefully consider the following risk factors, in addition to the other information contained in this Report, including “Management’s Discussion and Analysis of Financial Condition and Results of Operations” and our unaudited condensed consolidated financial statements and related notes. If any of the events described in the following risk factors and the risks described elsewhere in this Report occurs, our business, operating results and financial condition could be materially harmed. This Report also contains forward-looking statements that involve risks and uncertainties. Our actual results could differ materially from those anticipated in the forward-looking statements as a result of factors that are described below and elsewhere in this Report or other risks that we currently deem immaterial or that may be unknown to us. References in this Item 1A Risk Factors to financial information as of dates or for periods ended on or prior to April 25, 2022 do not include the financial information of RE2 as of those dates or for those periods.</w:t>
      </w:r>
    </w:p>
    <w:p>
      <w:pPr>
        <w:pStyle w:val="TextBody"/>
        <w:spacing w:before="0" w:after="0"/>
        <w:jc w:val="left"/>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Risks Related to Our Business and Industry</w:t>
      </w:r>
    </w:p>
    <w:p>
      <w:pPr>
        <w:pStyle w:val="TextBody"/>
        <w:spacing w:before="0" w:after="0"/>
        <w:jc w:val="both"/>
        <w:rPr>
          <w:rFonts w:ascii="Times New Roman;serif" w:hAnsi="Times New Roman;serif"/>
          <w:b/>
          <w:i/>
          <w:sz w:val="20"/>
        </w:rPr>
      </w:pPr>
      <w:r>
        <w:rPr>
          <w:rFonts w:ascii="Times New Roman;serif" w:hAnsi="Times New Roman;serif"/>
          <w:b/>
          <w:i/>
          <w:sz w:val="20"/>
        </w:rPr>
        <w:t>We are an early stage company with a history of losses, and expect to incur significant expenses for the foreseeable future.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incurred a net loss of $21.5 million for the three months ended March 31, 2023, and a net loss of $157.1 million for the year ended December 31, 2022. We believe that we will continue to incur operating and net losses until 2025 at the earliest. Even if we are able to successfully develop our robotic systems and solutions and attract customers for commercial sales, we may not become profitable. Our potential profitability is dependent upon the successful development and successful commercial introduction and adoption on a larger scale of our robotic systems and solutions and our ability to lower production costs as we achieve economies of scale through high-volume production, none of which may occur.</w:t>
      </w:r>
    </w:p>
    <w:p>
      <w:pPr>
        <w:pStyle w:val="TextBody"/>
        <w:spacing w:before="0" w:after="0"/>
        <w:jc w:val="both"/>
        <w:rPr>
          <w:rFonts w:ascii="Times New Roman" w:hAnsi="Times New Roman"/>
          <w:sz w:val="20"/>
        </w:rPr>
      </w:pPr>
      <w:r>
        <w:rPr>
          <w:rFonts w:ascii="Times New Roman;serif" w:hAnsi="Times New Roman;serif"/>
          <w:b w:val="false"/>
          <w:sz w:val="20"/>
        </w:rPr>
        <w:t>We expect that we will continue to incur losses in future periods as we: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caps/>
        </w:rPr>
      </w:pPr>
      <w:r>
        <w:rPr>
          <w:caps/>
        </w:rPr>
        <w:t>•</w:t>
      </w:r>
    </w:p>
    <w:p>
      <w:pPr>
        <w:pStyle w:val="TextBody"/>
        <w:jc w:val="both"/>
        <w:rPr>
          <w:rFonts w:ascii="Times New Roman;serif" w:hAnsi="Times New Roman;serif"/>
          <w:b w:val="false"/>
          <w:sz w:val="20"/>
        </w:rPr>
      </w:pPr>
      <w:r>
        <w:rPr>
          <w:rFonts w:ascii="Times New Roman;serif" w:hAnsi="Times New Roman;serif"/>
          <w:b w:val="false"/>
          <w:sz w:val="20"/>
        </w:rPr>
        <w:t>continue to design, develop, manufacture and commercialize our robotic systems and solutions;</w:t>
      </w:r>
    </w:p>
    <w:p>
      <w:pPr>
        <w:pStyle w:val="TextBody"/>
        <w:spacing w:before="0" w:after="0"/>
        <w:jc w:val="both"/>
        <w:rPr/>
      </w:pPr>
      <w:r>
        <w:rPr/>
        <w:t> </w:t>
      </w:r>
    </w:p>
    <w:p>
      <w:pPr>
        <w:pStyle w:val="TextBody"/>
        <w:spacing w:before="0" w:after="0"/>
        <w:jc w:val="both"/>
        <w:rPr>
          <w:caps/>
        </w:rPr>
      </w:pPr>
      <w:r>
        <w:rPr>
          <w:caps/>
        </w:rPr>
        <w:t>•</w:t>
      </w:r>
    </w:p>
    <w:p>
      <w:pPr>
        <w:pStyle w:val="TextBody"/>
        <w:jc w:val="both"/>
        <w:rPr>
          <w:rFonts w:ascii="Times New Roman;serif" w:hAnsi="Times New Roman;serif"/>
          <w:b w:val="false"/>
          <w:sz w:val="20"/>
        </w:rPr>
      </w:pPr>
      <w:r>
        <w:rPr>
          <w:rFonts w:ascii="Times New Roman;serif" w:hAnsi="Times New Roman;serif"/>
          <w:b w:val="false"/>
          <w:sz w:val="20"/>
        </w:rPr>
        <w:t>continue to utilize and develop potential new relationships with third-party partners for supply, design for manufacturing and manufacturing;</w:t>
      </w:r>
    </w:p>
    <w:p>
      <w:pPr>
        <w:pStyle w:val="TextBody"/>
        <w:spacing w:before="0" w:after="0"/>
        <w:jc w:val="both"/>
        <w:rPr/>
      </w:pPr>
      <w:r>
        <w:rPr/>
        <w:t> </w:t>
      </w:r>
    </w:p>
    <w:p>
      <w:pPr>
        <w:pStyle w:val="TextBody"/>
        <w:spacing w:before="0" w:after="0"/>
        <w:jc w:val="both"/>
        <w:rPr>
          <w:caps/>
        </w:rPr>
      </w:pPr>
      <w:r>
        <w:rPr>
          <w:caps/>
        </w:rPr>
        <w:t>•</w:t>
      </w:r>
    </w:p>
    <w:p>
      <w:pPr>
        <w:pStyle w:val="TextBody"/>
        <w:jc w:val="both"/>
        <w:rPr>
          <w:rFonts w:ascii="Times New Roman;serif" w:hAnsi="Times New Roman;serif"/>
          <w:b w:val="false"/>
          <w:sz w:val="20"/>
        </w:rPr>
      </w:pPr>
      <w:r>
        <w:rPr>
          <w:rFonts w:ascii="Times New Roman;serif" w:hAnsi="Times New Roman;serif"/>
          <w:b w:val="false"/>
          <w:sz w:val="20"/>
        </w:rPr>
        <w:t>expand our production capabilities, including costs associated with the outsourcing of the manufacturing of our robotic systems and solutions;</w:t>
      </w:r>
    </w:p>
    <w:p>
      <w:pPr>
        <w:pStyle w:val="TextBody"/>
        <w:spacing w:before="0" w:after="0"/>
        <w:jc w:val="both"/>
        <w:rPr/>
      </w:pPr>
      <w:r>
        <w:rPr/>
        <w:t> </w:t>
      </w:r>
    </w:p>
    <w:p>
      <w:pPr>
        <w:pStyle w:val="TextBody"/>
        <w:spacing w:before="0" w:after="0"/>
        <w:jc w:val="both"/>
        <w:rPr>
          <w:caps/>
        </w:rPr>
      </w:pPr>
      <w:r>
        <w:rPr>
          <w:caps/>
        </w:rPr>
        <w:t>•</w:t>
      </w:r>
    </w:p>
    <w:p>
      <w:pPr>
        <w:pStyle w:val="TextBody"/>
        <w:jc w:val="both"/>
        <w:rPr>
          <w:rFonts w:ascii="Times New Roman;serif" w:hAnsi="Times New Roman;serif"/>
          <w:b w:val="false"/>
          <w:sz w:val="20"/>
        </w:rPr>
      </w:pPr>
      <w:r>
        <w:rPr>
          <w:rFonts w:ascii="Times New Roman;serif" w:hAnsi="Times New Roman;serif"/>
          <w:b w:val="false"/>
          <w:sz w:val="20"/>
        </w:rPr>
        <w:t>build up inventories of parts (including replacement parts) and components for our robotic systems and solutions;</w:t>
      </w:r>
    </w:p>
    <w:p>
      <w:pPr>
        <w:pStyle w:val="TextBody"/>
        <w:spacing w:before="0" w:after="0"/>
        <w:jc w:val="both"/>
        <w:rPr/>
      </w:pPr>
      <w:r>
        <w:rPr/>
        <w:t> </w:t>
      </w:r>
    </w:p>
    <w:p>
      <w:pPr>
        <w:pStyle w:val="TextBody"/>
        <w:spacing w:before="0" w:after="0"/>
        <w:jc w:val="both"/>
        <w:rPr>
          <w:caps/>
        </w:rPr>
      </w:pPr>
      <w:r>
        <w:rPr>
          <w:caps/>
        </w:rPr>
        <w:t>•</w:t>
      </w:r>
    </w:p>
    <w:p>
      <w:pPr>
        <w:pStyle w:val="TextBody"/>
        <w:jc w:val="both"/>
        <w:rPr>
          <w:rFonts w:ascii="Times New Roman;serif" w:hAnsi="Times New Roman;serif"/>
          <w:b w:val="false"/>
          <w:sz w:val="20"/>
        </w:rPr>
      </w:pPr>
      <w:r>
        <w:rPr>
          <w:rFonts w:ascii="Times New Roman;serif" w:hAnsi="Times New Roman;serif"/>
          <w:b w:val="false"/>
          <w:sz w:val="20"/>
        </w:rPr>
        <w:t>develop our maintenance and servicing capacity and capabilities;</w:t>
      </w:r>
    </w:p>
    <w:p>
      <w:pPr>
        <w:pStyle w:val="TextBody"/>
        <w:spacing w:before="0" w:after="0"/>
        <w:jc w:val="both"/>
        <w:rPr/>
      </w:pPr>
      <w:r>
        <w:rPr/>
        <w:t> </w:t>
      </w:r>
    </w:p>
    <w:p>
      <w:pPr>
        <w:pStyle w:val="TextBody"/>
        <w:spacing w:before="0" w:after="0"/>
        <w:jc w:val="both"/>
        <w:rPr>
          <w:caps/>
        </w:rPr>
      </w:pPr>
      <w:r>
        <w:rPr>
          <w:caps/>
        </w:rPr>
        <w:t>•</w:t>
      </w:r>
    </w:p>
    <w:p>
      <w:pPr>
        <w:pStyle w:val="TextBody"/>
        <w:jc w:val="both"/>
        <w:rPr>
          <w:rFonts w:ascii="Times New Roman;serif" w:hAnsi="Times New Roman;serif"/>
          <w:b w:val="false"/>
          <w:sz w:val="20"/>
        </w:rPr>
      </w:pPr>
      <w:r>
        <w:rPr>
          <w:rFonts w:ascii="Times New Roman;serif" w:hAnsi="Times New Roman;serif"/>
          <w:b w:val="false"/>
          <w:sz w:val="20"/>
        </w:rPr>
        <w:t>manufacture an inventory of our robotic systems and solutions, including upfront expenditures to manufacture systems prior to delivery and recognition of related revenue;</w:t>
      </w:r>
    </w:p>
    <w:p>
      <w:pPr>
        <w:pStyle w:val="TextBody"/>
        <w:spacing w:before="0" w:after="0"/>
        <w:jc w:val="both"/>
        <w:rPr/>
      </w:pPr>
      <w:r>
        <w:rPr/>
        <w:t> </w:t>
      </w:r>
    </w:p>
    <w:p>
      <w:pPr>
        <w:pStyle w:val="TextBody"/>
        <w:spacing w:before="0" w:after="0"/>
        <w:jc w:val="both"/>
        <w:rPr>
          <w:caps/>
        </w:rPr>
      </w:pPr>
      <w:r>
        <w:rPr>
          <w:caps/>
        </w:rPr>
        <w:t>•</w:t>
      </w:r>
    </w:p>
    <w:p>
      <w:pPr>
        <w:pStyle w:val="TextBody"/>
        <w:jc w:val="both"/>
        <w:rPr>
          <w:rFonts w:ascii="Times New Roman;serif" w:hAnsi="Times New Roman;serif"/>
          <w:b w:val="false"/>
          <w:sz w:val="20"/>
        </w:rPr>
      </w:pPr>
      <w:r>
        <w:rPr>
          <w:rFonts w:ascii="Times New Roman;serif" w:hAnsi="Times New Roman;serif"/>
          <w:b w:val="false"/>
          <w:sz w:val="20"/>
        </w:rPr>
        <w:t xml:space="preserve">increase our sales and marketing activities and develop our sales and distribution infrastructure; </w:t>
      </w:r>
    </w:p>
    <w:p>
      <w:pPr>
        <w:pStyle w:val="TextBody"/>
        <w:spacing w:before="0" w:after="0"/>
        <w:jc w:val="both"/>
        <w:rPr/>
      </w:pPr>
      <w:r>
        <w:rPr/>
        <w:t> </w:t>
      </w:r>
    </w:p>
    <w:p>
      <w:pPr>
        <w:pStyle w:val="TextBody"/>
        <w:spacing w:before="0" w:after="0"/>
        <w:jc w:val="both"/>
        <w:rPr>
          <w:caps/>
        </w:rPr>
      </w:pPr>
      <w:r>
        <w:rPr>
          <w:caps/>
        </w:rPr>
        <w:t>•</w:t>
      </w:r>
    </w:p>
    <w:p>
      <w:pPr>
        <w:pStyle w:val="TextBody"/>
        <w:jc w:val="both"/>
        <w:rPr>
          <w:rFonts w:ascii="Times New Roman;serif" w:hAnsi="Times New Roman;serif"/>
          <w:b w:val="false"/>
          <w:sz w:val="20"/>
        </w:rPr>
      </w:pPr>
      <w:r>
        <w:rPr>
          <w:rFonts w:ascii="Times New Roman;serif" w:hAnsi="Times New Roman;serif"/>
          <w:b w:val="false"/>
          <w:sz w:val="20"/>
        </w:rPr>
        <w:t>develop our remote monitoring, updating and other cloud-based services on our robot service platform;</w:t>
      </w:r>
    </w:p>
    <w:p>
      <w:pPr>
        <w:pStyle w:val="TextBody"/>
        <w:spacing w:before="0" w:after="0"/>
        <w:jc w:val="both"/>
        <w:rPr/>
      </w:pPr>
      <w:r>
        <w:rPr/>
        <w:t> </w:t>
      </w:r>
    </w:p>
    <w:p>
      <w:pPr>
        <w:pStyle w:val="TextBody"/>
        <w:spacing w:before="0" w:after="0"/>
        <w:jc w:val="both"/>
        <w:rPr>
          <w:caps/>
        </w:rPr>
      </w:pPr>
      <w:r>
        <w:rPr>
          <w:caps/>
        </w:rPr>
        <w:t>•</w:t>
      </w:r>
    </w:p>
    <w:p>
      <w:pPr>
        <w:pStyle w:val="TextBody"/>
        <w:jc w:val="both"/>
        <w:rPr>
          <w:rFonts w:ascii="Times New Roman;serif" w:hAnsi="Times New Roman;serif"/>
          <w:b w:val="false"/>
          <w:sz w:val="20"/>
        </w:rPr>
      </w:pPr>
      <w:r>
        <w:rPr>
          <w:rFonts w:ascii="Times New Roman;serif" w:hAnsi="Times New Roman;serif"/>
          <w:b w:val="false"/>
          <w:sz w:val="20"/>
        </w:rPr>
        <w:t>develop and test safety measures for our products, including working with customers to evaluate and test the efficacy of those safety measures;</w:t>
      </w:r>
    </w:p>
    <w:p>
      <w:pPr>
        <w:pStyle w:val="TextBody"/>
        <w:spacing w:before="0" w:after="0"/>
        <w:jc w:val="both"/>
        <w:rPr/>
      </w:pPr>
      <w:r>
        <w:rPr/>
        <w:t> </w:t>
      </w:r>
    </w:p>
    <w:p>
      <w:pPr>
        <w:pStyle w:val="TextBody"/>
        <w:spacing w:before="0" w:after="0"/>
        <w:jc w:val="both"/>
        <w:rPr>
          <w:caps/>
        </w:rPr>
      </w:pPr>
      <w:r>
        <w:rPr>
          <w:caps/>
        </w:rPr>
        <w:t>•</w:t>
      </w:r>
    </w:p>
    <w:p>
      <w:pPr>
        <w:pStyle w:val="TextBody"/>
        <w:jc w:val="both"/>
        <w:rPr>
          <w:rFonts w:ascii="Times New Roman;serif" w:hAnsi="Times New Roman;serif"/>
          <w:b w:val="false"/>
          <w:sz w:val="20"/>
        </w:rPr>
      </w:pPr>
      <w:r>
        <w:rPr>
          <w:rFonts w:ascii="Times New Roman;serif" w:hAnsi="Times New Roman;serif"/>
          <w:b w:val="false"/>
          <w:sz w:val="20"/>
        </w:rPr>
        <w:t xml:space="preserve">develop and expand our technology infrastructure and cybersecurity measures, policies and controls; and </w:t>
      </w:r>
    </w:p>
    <w:p>
      <w:pPr>
        <w:pStyle w:val="TextBody"/>
        <w:spacing w:before="0" w:after="0"/>
        <w:jc w:val="both"/>
        <w:rPr/>
      </w:pPr>
      <w:r>
        <w:rPr/>
        <w:t> </w:t>
      </w:r>
    </w:p>
    <w:p>
      <w:pPr>
        <w:pStyle w:val="TextBody"/>
        <w:spacing w:before="0" w:after="0"/>
        <w:jc w:val="both"/>
        <w:rPr>
          <w:caps/>
        </w:rPr>
      </w:pPr>
      <w:r>
        <w:rPr>
          <w:caps/>
        </w:rPr>
        <w:t>•</w:t>
      </w:r>
    </w:p>
    <w:p>
      <w:pPr>
        <w:pStyle w:val="TextBody"/>
        <w:jc w:val="both"/>
        <w:rPr>
          <w:rFonts w:ascii="Times New Roman;serif" w:hAnsi="Times New Roman;serif"/>
          <w:b w:val="false"/>
          <w:sz w:val="20"/>
        </w:rPr>
      </w:pPr>
      <w:r>
        <w:rPr>
          <w:rFonts w:ascii="Times New Roman;serif" w:hAnsi="Times New Roman;serif"/>
          <w:b w:val="false"/>
          <w:sz w:val="20"/>
        </w:rPr>
        <w:t>increase our general and administrative functions and systems to support our growing operations and to operate as a publicly-traded company.</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Because we will incur costs and expenses from these efforts before we receive incremental revenue with respect thereto and because we are early in the commercialization of our products, we expect that our losses in future periods will continue to be significant until we start to achieve significant product sales and associated revenue. In addition, we may find that these efforts are more expensive than we currently anticipate or that these efforts may result in less than expected or no additional revenue, which would further increase our losses.</w:t>
      </w:r>
    </w:p>
    <w:p>
      <w:pPr>
        <w:pStyle w:val="TextBody"/>
        <w:spacing w:before="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We have yet to achieve positive operating cash flow, and our ability to generate positive cash flow is uncertain.</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had negative cash flow from operating activities of $65.4 million and $42.1 million for the years ended December 31, 2022 and 2021, respectively, and negative cash flow from operating activities of $20.1 million for the three months ended March 31, 2023. We expect to continue to have negative cash flow from operating and investing activities until 2025 at the earliest as we expect to incur research and development, sales and marketing, and general and administrative expenses and make capital expenditures in our efforts to commercialize our products, increase sales, engage in continuous development work and ramp up operations. Our business also will at times require significant amounts of working capital to build inventory and support the growth of additional products. An inability to generate positive cash flow for the near term may adversely affect our ability to raise capital for our business on reasonable terms, diminish supplier or customer willingness to enter into transactions with us and have other adverse effects that may decrease our long-term viability. We may not achieve positive cash flow in the near future or at all.</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If we fail to effectively manage our growth, we may not be able to design, develop, manufacture, market and launch our robotic systems and solutions successfully.</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intend to invest significantly in order to expand our business. Any failure to manage our growth effectively could materially and adversely affect our business, prospects, financial condition and operating results. As we grow our business, we will need to manage the following activities, among others: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expanding our management, engineering and product teams;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identifying and recruiting individuals with the appropriate relevant experience;</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hiring and training new personnel;</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commercializing our products;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forecasting production and revenue and implementing ERP systems;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entering into relationships with one or more third-party design for manufacturing partners and third-party manufacturers and/or expanding our internal manufacturing capabilities;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potentially carrying out acquisitions and entering into collaborations, in-licensing arrangements, joint ventures, strategic alliances or partnerships;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expanding and enhancing internal information technology, safety and security systems;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establishing or expanding sales, customer service and maintenance and servicing facilities and organizations;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conducting demonstrations and customer trials of robotic systems and solutions;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entering into agreements with suppliers and service providers; and</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implementing and enhancing administrative infrastructure, systems and processes.</w:t>
      </w:r>
    </w:p>
    <w:p>
      <w:pPr>
        <w:pStyle w:val="TextBody"/>
        <w:spacing w:before="0" w:after="0"/>
        <w:jc w:val="both"/>
        <w:rPr>
          <w:rFonts w:ascii="Times New Roman" w:hAnsi="Times New Roman"/>
          <w:sz w:val="20"/>
        </w:rPr>
      </w:pPr>
      <w:r>
        <w:rPr>
          <w:rFonts w:ascii="Times New Roman;serif" w:hAnsi="Times New Roman;serif"/>
          <w:b w:val="false"/>
          <w:sz w:val="20"/>
        </w:rPr>
        <w:t xml:space="preserve">We may need to hire a significant number of additional personnel, including engineers, design and production personnel and service technicians for our robotic systems and solutions. Because of the innovative nature of our technology, individuals with the necessary experience have not been, and likely will continue not to be, readily available to hire, and as a result, we will need to expend significant time and expense to recruit and retain experienced employees and appropriately train any newly hired employees. Competition for individuals with experience designing, producing and servicing dexterous robots and their software is intense, and we may not be able to attract, integrate, train, motivate or retain additional highly qualified personnel. Further, since December 2021, we have hired a significant number of new employees, including Kiva Allgood, our CEO, in December 2021, Andrew Hamer, our CFO, in October 2022 and, as a result of the RE2 acquisition, Jorgen Pedersen as our COO in April 2022 and other senior employees, as well as over 100 employees as a result of our acquisition of RE2 in April 2022. Integrating a large number of new employees in a short time can cause disruptions to processes, projects, culture, priorities and a company as a whole. New employees may not perform as expected or may not fit culturally, and long-term employees may not embrace new leaders, priorities, methods, processes or other changes and may decide to leave or may not perform as well as in the past. Further, we face these and other risks as a result of our acquisition of RE2. </w:t>
      </w:r>
      <w:r>
        <w:rPr>
          <w:rFonts w:ascii="Times New Roman;serif" w:hAnsi="Times New Roman;serif"/>
          <w:b w:val="false"/>
          <w:i/>
          <w:sz w:val="20"/>
        </w:rPr>
        <w:t xml:space="preserve">See </w:t>
      </w:r>
      <w:r>
        <w:rPr>
          <w:rFonts w:ascii="Times New Roman" w:hAnsi="Times New Roman"/>
          <w:sz w:val="20"/>
        </w:rPr>
        <w:t>“</w:t>
      </w:r>
      <w:r>
        <w:rPr>
          <w:rFonts w:ascii="Times New Roman;serif" w:hAnsi="Times New Roman;serif"/>
          <w:b w:val="false"/>
          <w:i/>
          <w:sz w:val="20"/>
        </w:rPr>
        <w:t>The success of our acquisition of RE2, Inc. is subject to numerous risks and uncertainties, including integration risks.</w:t>
      </w:r>
      <w:r>
        <w:rPr>
          <w:rFonts w:ascii="Times New Roman" w:hAnsi="Times New Roman"/>
          <w:sz w:val="20"/>
        </w:rPr>
        <w:t xml:space="preserve">” </w:t>
      </w:r>
      <w:r>
        <w:rPr>
          <w:rFonts w:ascii="Times New Roman;serif" w:hAnsi="Times New Roman;serif"/>
          <w:b w:val="false"/>
          <w:sz w:val="20"/>
        </w:rPr>
        <w:t>Any failure to attract, integrate, train, motivate and retain employees or difficulty adjusting to a larger organization with new leadership and a large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number of new employees could significantly delay our product development and commercial release and materially harm our business, prospects, financial condition and operating results.</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The success of our acquisition of RE2, Inc. is subject to numerous risks and uncertainties, including integration risks.</w:t>
      </w:r>
    </w:p>
    <w:p>
      <w:pPr>
        <w:pStyle w:val="TextBody"/>
        <w:spacing w:before="0" w:after="0"/>
        <w:jc w:val="both"/>
        <w:rPr>
          <w:rFonts w:ascii="Times New Roman" w:hAnsi="Times New Roman"/>
          <w:sz w:val="20"/>
        </w:rPr>
      </w:pPr>
      <w:r>
        <w:rPr>
          <w:rFonts w:ascii="Times New Roman;serif" w:hAnsi="Times New Roman;serif"/>
          <w:b w:val="false"/>
          <w:sz w:val="20"/>
        </w:rPr>
        <w:t>In April 2022, we completed our acquisition of RE2, Inc. We believe that RE2's business is complementary to ours, and that both RE2 and Sarcos have benefitted and will benefit from the combination of the two companies. While we have largely integrated RE2 into our business and organization, some integration activities continue. As a result, we continue to be subject to integration risks, such as risks associated with combining two organizations and cultures in two different geographies, integrating certain systems, combining product lines and technologies and achieving the expected benefits of the acquisition. While we believe that both organizations share common values and cultures and that the acquisition will help us expand our product portfolio, serve additional markets and further our product development efforts, integration involves significant risk and management attention. If we are not able to successfully continue to integrate RE2 and achieve the expected benefits of the acquisition while managing the development and commercialization of our products, commercialization of our products could be delayed, which would adversely impact our ability to generate revenue, our overall profitability and our operating performance.</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Our operating and financial projections rely on management assumptions and analyses. If these assumptions or analyses prove to be incorrect, our actual operating results may be materially different from our forecasted results.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We are a development stage company, with very limited experience commercializing our products. Our projected financial and operating information reflect estimates of future performance and are based on multiple business, financial, technical and operational assumptions, including timely hiring of additional skilled personnel, timing of commercial launch of our robotic systems and solutions, the level of demand for our robotic systems and solutions, the size of our target markets, the performance of our robotic systems and solutions, the utilization of the robot fleet, product pricing, the useable life of the robotic systems and solutions, cost of manufacturing, cost of components and availability of adequate supply, number of systems that will need to be manufactured in each batch, the nature and length of the sales cycle and maintenance and servicing costs. However, given our limited commercial experience, it is likely that many of these assumptions will prove incorrect. Projections and other statements about future expectations are forward-looking statements that are inherently subject to significant risks, uncertainties and contingencies, many of which are beyond our control (in addition to the information contained in these Risk Factors, see “</w:t>
      </w:r>
      <w:r>
        <w:rPr>
          <w:rFonts w:ascii="Times New Roman;serif" w:hAnsi="Times New Roman;serif"/>
          <w:b w:val="false"/>
          <w:i/>
          <w:sz w:val="20"/>
        </w:rPr>
        <w:t>Special Note Regarding Forward-Looking Statements</w:t>
      </w:r>
      <w:r>
        <w:rPr>
          <w:rFonts w:ascii="Times New Roman" w:hAnsi="Times New Roman"/>
          <w:sz w:val="20"/>
        </w:rPr>
        <w:t xml:space="preserve">” </w:t>
      </w:r>
      <w:r>
        <w:rPr>
          <w:rFonts w:ascii="Times New Roman;serif" w:hAnsi="Times New Roman;serif"/>
          <w:b w:val="false"/>
          <w:i/>
          <w:sz w:val="20"/>
        </w:rPr>
        <w:t xml:space="preserve">and </w:t>
      </w:r>
      <w:r>
        <w:rPr>
          <w:rFonts w:ascii="Times New Roman" w:hAnsi="Times New Roman"/>
          <w:sz w:val="20"/>
        </w:rPr>
        <w:t>“</w:t>
      </w:r>
      <w:r>
        <w:rPr>
          <w:rFonts w:ascii="Times New Roman;serif" w:hAnsi="Times New Roman;serif"/>
          <w:b w:val="false"/>
          <w:i/>
          <w:sz w:val="20"/>
        </w:rPr>
        <w:t>Management’s Discussion and Analysis of Financial Condition and Results of Operations</w:t>
      </w:r>
      <w:r>
        <w:rPr>
          <w:rFonts w:ascii="Times New Roman" w:hAnsi="Times New Roman"/>
          <w:sz w:val="20"/>
        </w:rPr>
        <w:t>”</w:t>
      </w:r>
      <w:r>
        <w:rPr>
          <w:rFonts w:ascii="Times New Roman;serif" w:hAnsi="Times New Roman;serif"/>
          <w:b w:val="false"/>
          <w:sz w:val="20"/>
        </w:rPr>
        <w:t>). Some of these risks, uncertainties and contingencies that could determine whether actual operating and financial results and business developments will be consistent with our expectations and assumptions include:</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demand for our products;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the design, quality and pricing of our products;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our ability to successfully continue to integrate RE2 into our business and achieve the expected benefits of the acquisition;</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our ability to adequately address customer needs and safety requirements;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our ability to obtain sufficient capital to sustain and grow our business;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our ability to manage our growth;</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the contractual terms of agreements with customers, suppliers and manufacturing partners, and whether we can effectively manage and maintain relationships with these third-parties;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the availability and costs of components and materials;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our ability to manufacture our products and successfully engage with a contract manufacturer, including the costs, quality and output associated with any such outsourced manufacturing;</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the timing and costs of the required marketing and promotional efforts;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the timing and cost of each sale;</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whether customers and their employees will adopt the robotic systems and solutions offered by us;</w:t>
      </w:r>
    </w:p>
    <w:p>
      <w:pPr>
        <w:pStyle w:val="TextBody"/>
        <w:spacing w:before="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the timing required and success of customer testing of our technology;</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competition, including from established and future competitors;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our ability to retain existing key management, to attract additional leaders, to integrate recent hires and to attract, retain and motivate qualified personnel, including engineers, design and production personnel and service technicians;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the overall strength and stability of domestic and international economies, including the impact of macro-economic conditions such as inflation and interest rates;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regulatory, legislative and political changes; and</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customer requirements and preferences.</w:t>
      </w:r>
    </w:p>
    <w:p>
      <w:pPr>
        <w:pStyle w:val="TextBody"/>
        <w:spacing w:before="0" w:after="0"/>
        <w:jc w:val="both"/>
        <w:rPr>
          <w:rFonts w:ascii="Times New Roman" w:hAnsi="Times New Roman"/>
          <w:sz w:val="20"/>
        </w:rPr>
      </w:pPr>
      <w:r>
        <w:rPr>
          <w:rFonts w:ascii="Times New Roman;serif" w:hAnsi="Times New Roman;serif"/>
          <w:b w:val="false"/>
          <w:sz w:val="20"/>
        </w:rPr>
        <w:t>Unfavorable changes in any of these or other factors could cause us to fail to meet our operating and financial projections and could materially and adversely affect our business, prospects, financial condition and operating results.</w:t>
      </w:r>
      <w:r>
        <w:rPr>
          <w:rFonts w:ascii="Times New Roman" w:hAnsi="Times New Roman"/>
          <w:sz w:val="20"/>
        </w:rPr>
        <w:t xml:space="preserve"> </w:t>
      </w:r>
    </w:p>
    <w:p>
      <w:pPr>
        <w:pStyle w:val="TextBody"/>
        <w:spacing w:before="0" w:after="0"/>
        <w:jc w:val="both"/>
        <w:rPr>
          <w:rFonts w:ascii="Times New Roman;serif" w:hAnsi="Times New Roman;serif"/>
          <w:b/>
          <w:i/>
          <w:sz w:val="20"/>
        </w:rPr>
      </w:pPr>
      <w:r>
        <w:rPr>
          <w:rFonts w:ascii="Times New Roman;serif" w:hAnsi="Times New Roman;serif"/>
          <w:b/>
          <w:i/>
          <w:sz w:val="20"/>
        </w:rPr>
        <w:t>Commercialization of our core systems and solutions may be delayed beyond our current expectations and therefore initial delivery to customers and receipt of anticipated revenue could be delayed.</w:t>
      </w:r>
    </w:p>
    <w:p>
      <w:pPr>
        <w:pStyle w:val="TextBody"/>
        <w:spacing w:before="0" w:after="0"/>
        <w:jc w:val="both"/>
        <w:rPr>
          <w:rFonts w:ascii="Times New Roman" w:hAnsi="Times New Roman"/>
          <w:sz w:val="20"/>
        </w:rPr>
      </w:pPr>
      <w:r>
        <w:rPr>
          <w:rFonts w:ascii="Times New Roman;serif" w:hAnsi="Times New Roman;serif"/>
          <w:b w:val="false"/>
          <w:sz w:val="20"/>
        </w:rPr>
        <w:t>We have begun production of the initial commercial versions of some of our products and to offer some products for sale. We expect to begin production of the initial commercial versions of other products as our development efforts progress. Development and production priorities are driven by a combination of customer demand, supply chain constraints and overall manufacturing and product technical readiness. We expect that as our products continue to be tested, begin production and experience the rigors of regular customer use, we will continue to learn and make improvements to our products by integrating design and product feedback into current or future products.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continue to experience supply chain challenges, including increases in the cost of and interruptions in the supply or availability of components, parts and materials, including long lead-times. There are significant risks and challenges that could delay our continued development efforts and production of commercial systems and solutions, and therefore delivery to customers could be delayed beyond current expectations, including:</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The COVID-19 pandemic and general labor shortages of qualified applicants has affected and is likely to continue to affect our ability to recruit skilled employees to join our team, negatively affecting the development, production and commercial launch timelines for our products.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We and our suppliers are currently experiencing increases in the cost of and an interruption in the supply or shortage of materials. Our products are complex and some contain several thousand components. Difficulty securing components and materials has resulted in delays in the development of certain of our products, including the Guardian XO, and could result in further delays in the development and commercialization of our products. Further, such difficulties could result in delays in our ability to manufacture commercial quantities of our products, which delays could be compounded if components or products require redesign or reengineering. Although we actively take steps to manage our supply chain and to order long-lead time parts, materials and components sufficiently in advance of when they are needed, many parts and components require significant lead-times to acquire or the lead-times vary or are unpredictable and some, in particular certain electronics components, could take more than 12 months to acquire.</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Delays in beginning and ramping up production by a third-party contract manufacturer, whether due to delays in the development of our products or otherwise, could delay the availability of our products for customer delivery. For example, design changes in our products would likely delay production, both internally or by a third-party contract manufacturer. We have recently entered into an agreement with a third-party contract manufacturer. We expect that our contract manufacturing partner will initially help with the production of product sub-systems. However, our contract manufacturing partner will require significant time, ramp-up, testing and coordination before high-volume production capability is achieved. We currently do not anticipate high-volume production by our contract manufacturing partner to be in place until at least the end of 2023.</w:t>
      </w:r>
    </w:p>
    <w:p>
      <w:pPr>
        <w:pStyle w:val="TextBody"/>
        <w:spacing w:before="0" w:after="0"/>
        <w:jc w:val="both"/>
        <w:rPr>
          <w:rFonts w:ascii="Times New Roman" w:hAnsi="Times New Roman"/>
          <w:sz w:val="20"/>
        </w:rPr>
      </w:pPr>
      <w:r>
        <w:rPr>
          <w:rFonts w:ascii="Times New Roman;serif" w:hAnsi="Times New Roman;serif"/>
          <w:b w:val="false"/>
          <w:sz w:val="20"/>
        </w:rPr>
        <w:t>Our current estimates for completion of our pre-commercialization development efforts and the commencement of production and delivery of commercial systems to customers of our products are dependent on our ability to continue to hire and retain qualified employees and the availability of components on a timely basis. In addition, we have seen a significant increase in personnel and materials costs due to shortages of qualified personnel in the labor market and general inflationary pressures. Geopolitical events and macro-economic conditions, such as the continuing effects of the COVID-19 pandemic, the current conflict between Russia and Ukraine, inflation and high interest rates, and responses thereto are also contributing to supply shortages and price increases. Over the past year we have experienced, and we continue to experience, challenges in both of these areas, which have negatively impacted our product</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development schedules and progress. We expect these challenges to continue and, if they do and if we are unable to effectively mitigate their impact, it is likely that we will be unable to meet our currently expected timelines.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Also, if product testing, production or customer use demonstrate that our systems and solutions have not been designed or assembled to deliver the performance, reliability and/or safety that we or our potential customers expect, production of commercial systems and solutions and therefore delivery to customers may be delayed as we work to address the deficiencies. For example, product testing has helped us improve software performance and address defects, identify materials weaknesses and other required fixes. While we believe this process is typical of new product releases and that it leads to product improvements, required product improvements have delayed and may in the future delay our ability to meet our estimated production and customer delivery timelines and volumes, and may lead to warranty and other claims and expenses. Delays in the commercial production, sale and delivery of our products will result in a commensurate delay in revenue and profitability. As a result, our results of operations and financial condition may be materially and adversely affected. In addition, delays in developing and releasing products with the performance, reliability and/or safety we and our potential customers are expecting could materially harm our reputation and lead potential customers to seek alternative solutions. If we experience further delays in the commercial release of our products, our results of operations and financial condition would be further adversely affected, perhaps materially.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We are dependent on our suppliers, some of which are currently single, sole or limited source suppliers, and any inability of these suppliers to deliver necessary components of our products at the prices, volumes, performance, timing and specifications acceptable to us, could have a material adverse effect on our business, prospects, financial condition and operating results.</w:t>
      </w:r>
      <w:r>
        <w:rPr>
          <w:rFonts w:ascii="Times New Roman" w:hAnsi="Times New Roman"/>
          <w:sz w:val="20"/>
        </w:rPr>
        <w:t xml:space="preserve"> </w:t>
      </w:r>
      <w:r>
        <w:rPr>
          <w:rFonts w:ascii="Times New Roman;serif" w:hAnsi="Times New Roman;serif"/>
          <w:b/>
          <w:i/>
          <w:sz w:val="20"/>
        </w:rPr>
        <w:t>We have not yet identified all of the suppliers that we are likely to rely on to support future commercialization of our products.</w:t>
      </w:r>
    </w:p>
    <w:p>
      <w:pPr>
        <w:pStyle w:val="TextBody"/>
        <w:spacing w:before="0" w:after="0"/>
        <w:jc w:val="both"/>
        <w:rPr>
          <w:rFonts w:ascii="Times New Roman" w:hAnsi="Times New Roman"/>
          <w:sz w:val="20"/>
        </w:rPr>
      </w:pPr>
      <w:r>
        <w:rPr>
          <w:rFonts w:ascii="Times New Roman;serif" w:hAnsi="Times New Roman;serif"/>
          <w:b w:val="false"/>
          <w:sz w:val="20"/>
        </w:rPr>
        <w:t>We rely on third-party suppliers for the provision and development of many of the key components and materials used in our products. We have not yet identified all of the suppliers, contractors and other third parties that we are likely to rely on to support the future commercialization of our products. While we plan to obtain components from multiple sources whenever possible, some of the components used in our products may have to be purchased by us from a single source and some may only be available from a sole source, for example, if we have developed custom components with a supply partner. If our third-party suppliers are unable to supply key components and materials in the required volumes, at the needed times or at acceptable prices, our sales, revenue and profitability will likely be adversely affected and we may not be able to meet our obligations to customers. Our third-party suppliers may also not be able to meet the specifications and performance characteristics required by us, which would impact our ability to achieve our product specifications and performance characteristics as well. Additionally, our third-party suppliers may be unable to obtain required certifications or provide warranties for their products that are necessary for our solutions. If we are unable to obtain components and materials used in our products from our suppliers, our business would be adversely affected.</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have less negotiating leverage with suppliers than larger and more established companies and may not be able to obtain favorable pricing and other terms. For example, agreements with suppliers may include terms that are unfavorable to us, such as requirements that we order components and manufacture systems and solutions in excess of our demand due to minimum order quantity requirements or minimum price thresholds. While we believe that we may be able to establish alternate supply relationships and can obtain or engineer replacement components for our single source components, we may be unable to do so in time to support our production needs, or at all, or at prices or quality levels that are favorable to us. Further, we may not be able to develop satisfactory alternatives to sole-sourced components. Any inability to find satisfactory alternatives to our single- and sole-sourced component suppliers, whether due to bankruptcy of the supplier, a decision to discontinue manufacturing the component or for any other reason, could affect our costs and component availability and have a material adverse effect on our business, prospects, financial condition and operating results.</w:t>
      </w:r>
    </w:p>
    <w:p>
      <w:pPr>
        <w:pStyle w:val="TextBody"/>
        <w:spacing w:before="0" w:after="0"/>
        <w:jc w:val="both"/>
        <w:rPr>
          <w:rFonts w:ascii="Times New Roman" w:hAnsi="Times New Roman"/>
          <w:sz w:val="20"/>
        </w:rPr>
      </w:pPr>
      <w:r>
        <w:rPr>
          <w:rFonts w:ascii="Times New Roman;serif" w:hAnsi="Times New Roman;serif"/>
          <w:b w:val="false"/>
          <w:sz w:val="20"/>
        </w:rPr>
        <w:t>Moreover, we and our suppliers are currently experiencing increases in the cost of and an interruption in the supply or shortage of materials. We have experienced and are experiencing significant lead-times, delays, costs and quality issues with the supply of our parts, materials and components. It is unclear how long these challenges will remain. Due to the complexity of our products, we must effectively secure and manage our supply of several thousand components. Difficulty securing components and materials has resulted and could continue to result in delays in the development of the Guardian XO and could result in delays in the development of our other products, which delays could be compounded if components or products require redesign or reengineering, as discussed under “</w:t>
      </w:r>
      <w:r>
        <w:rPr>
          <w:rFonts w:ascii="Times New Roman;serif" w:hAnsi="Times New Roman;serif"/>
          <w:b w:val="false"/>
          <w:i/>
          <w:sz w:val="20"/>
        </w:rPr>
        <w:t>Commercialization of our core systems and solutions may be delayed beyond our current expectations and therefore initial delivery to customers and receipt of anticipated revenue could be delayed.</w:t>
      </w:r>
      <w:r>
        <w:rPr>
          <w:rFonts w:ascii="Times New Roman" w:hAnsi="Times New Roman"/>
          <w:sz w:val="20"/>
        </w:rPr>
        <w:t xml:space="preserve">” </w:t>
      </w:r>
      <w:r>
        <w:rPr>
          <w:rFonts w:ascii="Times New Roman;serif" w:hAnsi="Times New Roman;serif"/>
          <w:b w:val="false"/>
          <w:sz w:val="20"/>
        </w:rPr>
        <w:t>Any sustained supply interruption or shortage or cost increases that result in our products being priced beyond what customers are willing to pay would prevent or delay the commercialization of our products or require us to sell products at a loss until we are able to reduce costs, whether through volume production synergies or otherwise, either of which could materially and negatively impact our business, prospects, financial condition and operating results. We and our suppliers use various materials in our businesses and products, including for example semiconductors, energy storage materials, commodity materials and specialty metal alloys, and the prices for these materials fluctuate. The available supply of some of these materials and components is currently and may continue to be unstable, depending on market conditions and global demand, and could adversely affect our business and operating results. Risks relating to our supply chain also include:</w:t>
      </w:r>
      <w:r>
        <w:rPr>
          <w:rFonts w:ascii="Times New Roman" w:hAnsi="Times New Roman"/>
          <w:sz w:val="20"/>
        </w:rPr>
        <w:t xml:space="preserve"> </w:t>
      </w:r>
    </w:p>
    <w:p>
      <w:pPr>
        <w:pStyle w:val="TextBody"/>
        <w:spacing w:before="120" w:after="0"/>
        <w:jc w:val="both"/>
        <w:rPr/>
      </w:pPr>
      <w:r>
        <w:rPr/>
        <w:t>•</w:t>
      </w:r>
    </w:p>
    <w:p>
      <w:pPr>
        <w:pStyle w:val="TextBody"/>
        <w:spacing w:before="120" w:after="283"/>
        <w:jc w:val="both"/>
        <w:rPr/>
      </w:pPr>
      <w:r>
        <w:rPr/>
        <w:t>“</w:t>
      </w:r>
      <w:r>
        <w:rPr>
          <w:rFonts w:ascii="Times New Roman;serif" w:hAnsi="Times New Roman;serif"/>
          <w:b w:val="false"/>
          <w:sz w:val="20"/>
        </w:rPr>
        <w:t>Buy American” or other similar requirements that may be imposed on government contractors;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an increase in the cost, or decrease in the available supply, of semiconductor chips, electrical components, commodity materials and specialty alloys;</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import or export restrictions on parts, materials and components;</w:t>
      </w:r>
    </w:p>
    <w:p>
      <w:pPr>
        <w:pStyle w:val="TextBody"/>
        <w:spacing w:before="0" w:after="0"/>
        <w:jc w:val="both"/>
        <w:rPr/>
      </w:pPr>
      <w:r>
        <w:rPr/>
        <w:t>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the ongoing effects of the COVID-19 pandemic;</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geopolitical and economic events and conditions, such as inflation, labor shortages and war, as well as responses to such events and conditions (e.g., economic sanctions);</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disruption in the supply of lithium-ion batteries due to quality issues, recalls or other factors;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disruption in global logistics, such as increased rates, constrained capacity and extended shipping delays; and</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fluctuations in the value of any foreign currencies in which manufactured parts, commercial components and related raw material purchases are or may be denominated against the U.S. dollar.</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business is dependent on the continued supply of lithium-ion battery cells. While we have sourced a supplier of such cells, that supplier is a sole-source supplier and is not obligated to provide such cells to us, and in any event may not be able or willing to meet all our requirements, especially as we commercialize our products. Any disruption in the supply of battery cells from such supplier could disrupt production of our products. Furthermore, fluctuations or shortages in raw materials or components and other economic conditions may cause us to experience significant increases in freight charges and material costs. Substantial increases in the prices for our materials, such as those charged by battery cell suppliers, would increase our operating costs, and could reduce our margins if the increased costs cannot be recouped through increased system or solution sales prices. Any attempts to increase prices in response to increased material costs could result in cancellations of orders and reservations and therefore materially and adversely affect our brand, business, prospects, financial condition and operating results.</w:t>
      </w:r>
    </w:p>
    <w:p>
      <w:pPr>
        <w:pStyle w:val="TextBody"/>
        <w:spacing w:before="0" w:after="0"/>
        <w:jc w:val="both"/>
        <w:rPr>
          <w:rFonts w:ascii="Times New Roman;serif" w:hAnsi="Times New Roman;serif"/>
          <w:b/>
          <w:i/>
          <w:sz w:val="20"/>
        </w:rPr>
      </w:pPr>
      <w:r>
        <w:rPr>
          <w:rFonts w:ascii="Times New Roman;serif" w:hAnsi="Times New Roman;serif"/>
          <w:b/>
          <w:i/>
          <w:sz w:val="20"/>
        </w:rPr>
        <w:t>We have very limited experience commercializing our products and may not be able to do so efficiently or effectively.</w:t>
      </w:r>
    </w:p>
    <w:p>
      <w:pPr>
        <w:pStyle w:val="TextBody"/>
        <w:spacing w:before="0" w:after="0"/>
        <w:jc w:val="both"/>
        <w:rPr>
          <w:rFonts w:ascii="Times New Roman" w:hAnsi="Times New Roman"/>
          <w:sz w:val="20"/>
        </w:rPr>
      </w:pPr>
      <w:r>
        <w:rPr>
          <w:rFonts w:ascii="Times New Roman;serif" w:hAnsi="Times New Roman;serif"/>
          <w:b w:val="false"/>
          <w:sz w:val="20"/>
        </w:rPr>
        <w:t>Although we have sold products to individual customers in the past, we have very limited experience commercializing robotic systems and solutions at a large scale and may not be able to do so efficiently or effectively. Moreover, commercialization may be delayed due to the challenges discussed under “</w:t>
      </w:r>
      <w:r>
        <w:rPr>
          <w:rFonts w:ascii="Times New Roman;serif" w:hAnsi="Times New Roman;serif"/>
          <w:b w:val="false"/>
          <w:i/>
          <w:sz w:val="20"/>
        </w:rPr>
        <w:t>Commercialization of our core systems and solutions may be delayed beyond our current expectations and therefore initial delivery to customers and receipt of anticipated revenue could be delayed.</w:t>
      </w:r>
      <w:r>
        <w:rPr>
          <w:rFonts w:ascii="Times New Roman" w:hAnsi="Times New Roman"/>
          <w:sz w:val="20"/>
        </w:rPr>
        <w:t xml:space="preserve">” </w:t>
      </w:r>
      <w:r>
        <w:rPr>
          <w:rFonts w:ascii="Times New Roman;serif" w:hAnsi="Times New Roman;serif"/>
          <w:b w:val="false"/>
          <w:sz w:val="20"/>
        </w:rPr>
        <w:t>A key element of our long-term business strategy is the continued growth in sales, marketing, training, customer service and maintenance and servicing operations, including hiring personnel with the necessary experience. Managing and maintaining these operations is expensive and time consuming, and an inability to leverage such an organization effectively or at all could inhibit potential sales or subscriptions and the penetration and adoption of our products into new markets. In addition, certain decisions we make regarding staffing in these areas in our efforts to maintain an adequate spending level while responsibly managing our financial resources could have unintended negative effects on our revenue, such as by weakening the sales, marketing and maintenance and servicing infrastructures or lowering the quality of customer service.</w:t>
      </w:r>
      <w:r>
        <w:rPr>
          <w:rFonts w:ascii="Times New Roman" w:hAnsi="Times New Roman"/>
          <w:sz w:val="20"/>
        </w:rPr>
        <w:t xml:space="preserve"> </w:t>
      </w:r>
    </w:p>
    <w:p>
      <w:pPr>
        <w:pStyle w:val="TextBody"/>
        <w:spacing w:before="0" w:after="0"/>
        <w:jc w:val="both"/>
        <w:rPr>
          <w:rFonts w:ascii="Times New Roman;serif" w:hAnsi="Times New Roman;serif"/>
          <w:b/>
          <w:i/>
          <w:sz w:val="20"/>
        </w:rPr>
      </w:pPr>
      <w:r>
        <w:rPr>
          <w:rFonts w:ascii="Times New Roman;serif" w:hAnsi="Times New Roman;serif"/>
          <w:b/>
          <w:i/>
          <w:sz w:val="20"/>
        </w:rPr>
        <w:t>Our business plans require a significant amount of capital. Our future capital needs may require us to sell additional equity or debt securities that may dilute our stockholders or introduce covenants that may restrict our operations or our ability to pay dividends.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Although we believe we have sufficient capital to fund our business for at least the next 12 months, we may seek additional financing during that time to bolster our cash reserves and ensure our ability to continue to pursue our business objectives. Our current business plans likely will require us to secure additional financing prior to achieving positive operating cash flows, and we do not anticipate achieving positive operating cash flows until 2025 at the earliest. Even after achieving positive operating cash flows, we may need to raise significant amounts of additional capital to fund our business thereafter, including to finance ongoing research and development costs, manufacturing, any significant unplanned or accelerated expenses and new strategic alliances or acquisitions. The fact that we have limited experience commercializing our robotic systems and solutions on a large scale, coupled with the fact that our products represent a new product category in the commercial and industrial robotics market, means we have limited to no historical data on the demand for our robotic systems and solutions. In addition, we expect our capital expenditures to continue to be significant in the foreseeable future as we complete the design, testing and launch of commercial products, and that our level of capital expenditures will be significantly affected by customer demand for our robotic systems and solutions. As a result, our future capital requirements are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uncertain and actual capital requirements may be different from those we currently anticipate. We may need to seek equity or debt financing to finance a portion of our capital expenditures, and such financing might not be available to us in a timely manner or on terms that are acceptable, or at all.</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ability to obtain the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might not have sufficient resources to conduct our business as projected, both of which could mean that we would be forced to curtail or discontinue our operations.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addition, our future capital needs and other business reasons could require us to sell additional equity or debt securities or obtain a credit facility. The sale of additional equity or equity-linked securities could dilute our stockholders. The incurrence of indebtedness would result in debt service obligations and could result in operating and financing covenants that would restrict our operations.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If we cannot raise additional funds when we need or want them, our operations, prospects and financial condition could be materially and adversely affected.</w:t>
      </w:r>
    </w:p>
    <w:p>
      <w:pPr>
        <w:pStyle w:val="TextBody"/>
        <w:spacing w:before="0" w:after="0"/>
        <w:jc w:val="both"/>
        <w:rPr>
          <w:rFonts w:ascii="Times New Roman;serif" w:hAnsi="Times New Roman;serif"/>
          <w:b/>
          <w:i/>
          <w:sz w:val="20"/>
        </w:rPr>
      </w:pPr>
      <w:r>
        <w:rPr>
          <w:rFonts w:ascii="Times New Roman;serif" w:hAnsi="Times New Roman;serif"/>
          <w:b/>
          <w:i/>
          <w:sz w:val="20"/>
        </w:rPr>
        <w:t>Our products represent a new product category, and important assumptions about market demand, pricing, adoption rates and sales cycles for our current and future products may be inaccurate.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industrial highly-dexterous mobile robotic systems and solutions are a new product category in markets that are currently dominated by conventional manual systems and automation. The market demand for and adoption of our products is unproven, and important assumptions about the characteristics of targeted markets (including our estimates of our total addressable market, serviceable addressable market and serviceable obtainable market), pricing (including our analysis of potential customers’ willingness to pay), manufacturing capacity and capabilities and sales cycles (including the timing of achieving commercial sales volumes and associated manufacturing cost synergies) may be inaccurate. Although we have engaged in ongoing dialogue with potential customers, we have no outstanding binding commitments with customers to purchase commercial versions of our core systems or solutions. Existing or new regulatory or safety standards, or resistance by customer employees and labor unions, all of which are outside of our control, could cause delays or otherwise impair adoption of our products, which could materially and adversely affect our growth, operating results, financial condition and prospects. Given the evolving nature of the markets in which we operate, it is difficult to predict customer demand or adoption rates for our products or the future growth of the markets we expect to target. If one or more of the targeted markets experience a shift in customer demand, whether due to new solutions that better address customer needs or otherwise, our products may not compete as effectively, if at all, and they may not be fully developed into commercial products. If demand does not develop as estimated or if we cannot accurately forecast pricing, adoption rates and sales cycle for our products, our business, results of operations and financial condition will be adversely affected, perhaps materially.</w:t>
      </w:r>
    </w:p>
    <w:p>
      <w:pPr>
        <w:pStyle w:val="TextBody"/>
        <w:spacing w:before="0" w:after="0"/>
        <w:jc w:val="both"/>
        <w:rPr>
          <w:rFonts w:ascii="Times New Roman;serif" w:hAnsi="Times New Roman;serif"/>
          <w:b/>
          <w:i/>
          <w:sz w:val="20"/>
        </w:rPr>
      </w:pPr>
      <w:r>
        <w:rPr>
          <w:rFonts w:ascii="Times New Roman;serif" w:hAnsi="Times New Roman;serif"/>
          <w:b/>
          <w:i/>
          <w:sz w:val="20"/>
        </w:rPr>
        <w:t>With many of our products still under development, we have limited current customers and no binding orders for the commercial versions of our core systems and solutions, and expected customer trials and discussions with respect to those products may not result in binding orders.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Although we have begun production of the initial commercial versions of some of our products, the initial commercial versions of other systems, as well as our initial solution products, are still under development. With the initial commercial versions of our core products having recently begun production or still under development, we have limited current development customers and no binding customer commitments for the commercial version of these products. At present, we have contracts for delivery of pre-commercial systems with U.S. government customers and we also have had and currently have revenue generating contracts with both commercial and U.S. government customers for the development and testing of certain of our systems and solutions. Although we have engaged in dialogue with potential customers about their interest in our core products, expected customer trials and discussions may not result in binding purchase orders. We have limited knowledge of the customer testing that will be required in order for customers to adopt our robotic systems, especially in volume. As such, customer testing may take longer than anticipated by us, and we may not be able to provide such testing to the satisfaction of prospective customers, which could result in longer sales cycles and fewer orders than anticipated. In addition, in order to build and maintain our business, we must maintain confidence among customers, suppliers, analysts, ratings agencies and other parties in our robotic systems and solutions, long-term financial viability and business prospects. Maintaining such confidence may be particularly complicated by certain factors including those that are largely outside of our control, such as our limited commercial experience, customer unfamiliarity with our products, any delays in scaling production, ability of manufacturing and service operations to meet demand, competition and uncertainty regarding the future of robotics. If we do not receive a sufficient number of binding purchase orders for our products, our business, prospects, financial condition and operating results would be materially and adversely affected.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The benefits of our products to customers and projected return on investment have not been substantiated through long-term trials or use.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benefits to customers and projected return on investment of our products have not been substantiated through long-term trials or use. We currently have a limited frame of reference by which to evaluate the performance of our robotic systems and solutions upon which our business prospects depend, and our products may not provide the expected benefits to customers. Our robotic systems and solutions may not perform consistent with customers’ expectations or consistent with other robotics products which may become available. Any failure of our robotic systems and solutions and software to perform as expected could harm our reputation and result in adverse publicity, lost revenue, order cancellation, harm to our brand, delivery delays, product recalls, product liability claims and significant warranty and other expenses and could have a material adverse impact on our business, prospects, financial condition and operating results. Additionally, problems and defects experienced by competitors or others in the robotics market could, by association, have a negative impact on perception and customer demand for our robotic systems and solutions.</w:t>
      </w:r>
    </w:p>
    <w:p>
      <w:pPr>
        <w:pStyle w:val="TextBody"/>
        <w:spacing w:before="0" w:after="0"/>
        <w:jc w:val="both"/>
        <w:rPr>
          <w:rFonts w:ascii="Times New Roman;serif" w:hAnsi="Times New Roman;serif"/>
          <w:b/>
          <w:i/>
          <w:sz w:val="20"/>
        </w:rPr>
      </w:pPr>
      <w:r>
        <w:rPr>
          <w:rFonts w:ascii="Times New Roman;serif" w:hAnsi="Times New Roman;serif"/>
          <w:b/>
          <w:i/>
          <w:sz w:val="20"/>
        </w:rPr>
        <w:t>We may fail to attract or retain customers at sufficient rates or at all.</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have very limited experience commercializing our products and may not be able to do so efficiently or effectively. Although we have engaged in ongoing dialogue with potential future customers, there are currently no binding commitments with customers to purchase commercial versions of our products. To grow our customer base, we must achieve binding commitments from expected customers and add new customers, which we may not be able to do in sufficient numbers or at all. Even if we are able to attract customers, these customers may not maintain a high level of commitment to our products or purchase our products in large volumes. In addition, we will incur marketing, sales or other expenses, including referral fees, to attract new customers, which will offset revenue from such customers. For these and other reasons, we could fail to achieve revenue growth, which would adversely affect our results of operations, prospects and financial condition.</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If customers or their employees do not perceive our product offerings to be of value or to be easy and comfortable to use, we may not be able to attract and retain customers and customers may fail to purchase additional systems and solutions. If our efforts to satisfy and retain our existing customers are not successful, we may not be able to attract new customers, and as a result, our ability to maintain and/or grow our business will be adversely affected. Customers may fail to purchase additional systems for many reasons, including difficulties by employees in using the products, insufficient use by customers of robotic systems and solutions, price insufficient ROIs, competitive products, negative reception by employees or labor unions and customer service or maintenance and servicing issues that are not satisfactorily resolved. Customer retention will also be largely dependent on the quality and effectiveness of our customer service and maintenance and servicing operations, which may be handled internally by our personnel and also by third-party service providers. Outsourcing of certain customer service and claims administration or maintenance and servicing functions may reduce our ability to ensure consistency in our overall customer service processes. If we are unable to successfully retain existing customers and attract new customers and achieve volume sales of our products, our business, prospects, financial condition and operating results will be materially and adversely affected.</w:t>
      </w:r>
    </w:p>
    <w:p>
      <w:pPr>
        <w:pStyle w:val="TextBody"/>
        <w:spacing w:before="0" w:after="0"/>
        <w:jc w:val="both"/>
        <w:rPr>
          <w:rFonts w:ascii="Times New Roman;serif" w:hAnsi="Times New Roman;serif"/>
          <w:b/>
          <w:i/>
          <w:sz w:val="20"/>
        </w:rPr>
      </w:pPr>
      <w:r>
        <w:rPr>
          <w:rFonts w:ascii="Times New Roman;serif" w:hAnsi="Times New Roman;serif"/>
          <w:b/>
          <w:i/>
          <w:sz w:val="20"/>
        </w:rPr>
        <w:t>Even if we successfully market our products, the purchase, adoption and use of the products may be materially and negatively impacted if the employees of our customers resist the use and adoption of the products.</w:t>
      </w:r>
    </w:p>
    <w:p>
      <w:pPr>
        <w:pStyle w:val="TextBody"/>
        <w:spacing w:before="0" w:after="0"/>
        <w:jc w:val="both"/>
        <w:rPr>
          <w:rFonts w:ascii="Times New Roman" w:hAnsi="Times New Roman"/>
          <w:sz w:val="20"/>
        </w:rPr>
      </w:pPr>
      <w:r>
        <w:rPr>
          <w:rFonts w:ascii="Times New Roman;serif" w:hAnsi="Times New Roman;serif"/>
          <w:b w:val="false"/>
          <w:sz w:val="20"/>
        </w:rPr>
        <w:t>We are designing our robotic systems and solutions with the goal of augmenting the workforce to increase productivity and reduce workplace injuries. Even if we successfully market our products to customers, the purchase, adoption and use of the products may be materially and negatively impacted if the employees of our customers resist the use and adoption of the products. Customer employees may resist the adoption of our products for several reasons, including lack of instruction on how to safely and effectively use the systems and solutions, a perception that the benefit of the use of the products does not outweigh the perceived difficulties or discomfort associated with use, resistance by labor unions and workplace injuries resulting from use of the products, among others. We spend significant time and resources on pre-commercial systems of our products for customer testing and expect to continue customer testing with our commercial systems and solutions. If the employees of our customers resist adoption of our robotic systems and solutions, our business, prospects, financial condition and operating results will be materially and adversely affected.</w:t>
      </w:r>
      <w:r>
        <w:rPr>
          <w:rFonts w:ascii="Times New Roman" w:hAnsi="Times New Roman"/>
          <w:sz w:val="20"/>
        </w:rPr>
        <w:t xml:space="preserve"> </w:t>
      </w:r>
    </w:p>
    <w:p>
      <w:pPr>
        <w:pStyle w:val="TextBody"/>
        <w:spacing w:before="0" w:after="0"/>
        <w:jc w:val="both"/>
        <w:rPr>
          <w:rFonts w:ascii="Times New Roman;serif" w:hAnsi="Times New Roman;serif"/>
          <w:b/>
          <w:i/>
          <w:sz w:val="20"/>
        </w:rPr>
      </w:pPr>
      <w:r>
        <w:rPr>
          <w:rFonts w:ascii="Times New Roman;serif" w:hAnsi="Times New Roman;serif"/>
          <w:b/>
          <w:i/>
          <w:sz w:val="20"/>
        </w:rPr>
        <w:t>We have decided to focus on a standard product sales model for our robotic systems and solutions.</w:t>
      </w:r>
    </w:p>
    <w:p>
      <w:pPr>
        <w:pStyle w:val="TextBody"/>
        <w:spacing w:before="240" w:after="0"/>
        <w:jc w:val="both"/>
        <w:rPr>
          <w:rFonts w:ascii="Times New Roman" w:hAnsi="Times New Roman"/>
          <w:sz w:val="20"/>
        </w:rPr>
      </w:pPr>
      <w:r>
        <w:rPr>
          <w:rFonts w:ascii="Times New Roman;serif" w:hAnsi="Times New Roman;serif"/>
          <w:b w:val="false"/>
          <w:sz w:val="20"/>
        </w:rPr>
        <w:t>Based on feedback from development customers and potential commercial customers, we have decided to focus on a standard product sales model for our robotic systems and solutions instead of the RaaS model we previously expected to pursue. The standard sales model has the benefit of reducing our capital requirements since we do not need to wait to recover our production costs over many months or years of RaaS subscription payments. As a result, we expect that our capital requirements will be reduced and that we can manufacture our systems and solutions in a more capital efficient manner. However, we had expected the RaaS model to be attractive to customers due to a variety of factors, such as lower upfront costs to acquire and use our products. If customers ultimately do not favor the standard product sales model, we would have to readjust our business model, which could result in increased capital requirements to support a</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RaaS or other model, delays in customer purchases of our systems and solutions and other consequences that could have a material adverse effect on our business, reputation, results of operations and financial condition.</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If we are successful in commercializing our products, our revenue will be concentrated in a limited number of models for the foreseeable future.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If we are successful in commercializing our products, our revenue will be concentrated in a limited number of models for the foreseeable future. Although we expanded our product offering through the acquisition of RE2 and its products, we expect that our revenue will still be concentrated in a relatively limited number of models for the foreseeable future, and we will need to continue to develop our systems and solutions and expand the customer base for these products to diversify our revenue and customers. To the extent our products do not meet customer expectations, or cannot be completed or manufactured on their projected timelines and in line with cost and volume targets, our future sales and operating results may be adversely affected. Given that for the foreseeable future our business will depend on a limited number of models, both before and after we begin commercial sales of our Guardian systems and solutions, to the extent a particular model is not well-received by the market, our sales volumes and revenue would likely be materially and adversely affected, which would have a material adverse effect on our business, prospects, financial condition and operating results.</w:t>
      </w:r>
    </w:p>
    <w:p>
      <w:pPr>
        <w:pStyle w:val="TextBody"/>
        <w:spacing w:before="0" w:after="0"/>
        <w:jc w:val="both"/>
        <w:rPr>
          <w:rFonts w:ascii="Times New Roman;serif" w:hAnsi="Times New Roman;serif"/>
          <w:b/>
          <w:i/>
          <w:sz w:val="20"/>
        </w:rPr>
      </w:pPr>
      <w:r>
        <w:rPr>
          <w:rFonts w:ascii="Times New Roman;serif" w:hAnsi="Times New Roman;serif"/>
          <w:b/>
          <w:i/>
          <w:sz w:val="20"/>
        </w:rPr>
        <w:t>We may not be able to complete or enhance our product offerings through our research and development efforts.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order to commence production of an initial commercial version of one of our systems or solutions, we need to complete our development efforts with respect to such initial commercial product. Even after introduction of a commercial version of a product, we will also likely need to continue to advance and evolve the product in response to the evolving demands of our customers in the various industries we expect to serve. Although we have begun production of the initial commercial versions of some of our products, other systems and solutions and various other products are in various stages of development and commercialization. We will incur significant additional product development efforts and expenses, and we may not be successful in commercializing or marketing our core or future products at all or within our currently expected timelines.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addition, notwithstanding our market research efforts, our current and future products may not be accepted by customers or their employees. The success of any proposed product offerings will depend on numerous factors, including our ability to:</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attract, recruit and retain qualified personnel, including engineers, design and production personnel and service technicians;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identify the preferred product features in multiple industries, such as aerospace, automotive, logistics, defense, oil and gas, power and utilities, construction and manufacturing, and successfully incorporate those features into our products;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develop and introduce proposed products in sufficient quantities and in a timely manner;</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adequately protect our intellectual property and avoid infringing upon the intellectual property rights of third parties; and</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demonstrate the productivity, efficacy and safety benefits of our products.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have managed and expect to continue to manage our product development efforts through the development of pre-commercial systems and solutions, such as alpha and beta systems, for testing and evaluation, though we also make iterative improvements throughout the development process. If we fail to adequately communicate to customers product improvements throughout the development process, or if customer feedback is not adequately reflected in our product improvements, customers may not be persuaded of the value of our products. If we fail to generate demand by developing products that incorporate features desired by customers or their employees, we may fail to generate revenue sufficient to achieve or maintain profitability. We have in the past experienced, are experiencing and may in the future experience, delays in various phases of product development, including during research and development, manufacturing, limited release testing, marketing and customer education efforts. Further, delays in product development would postpone demonstrations and customer testing, which are important opportunities for customer engagement, and cause us to miss expected timelines. Such delays could cause customers to delay or forgo purchases of our products, or to purchase competitors’ products. Even if we are able to successfully develop our products when anticipated, we may not produce sales in excess of the costs of development, and our products may be quickly rendered obsolete by changing customer preferences or the introduction by competitors of products embodying new technologies or features. If we are unable to successfully manage our product development and communications with customers, customers may choose to not adopt or purchase our products, which would adversely affect our business, prospects, financial condition and operating results.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The benefits to customers of our products could be supplanted by other technologies or solutions or competitors' products that utilize similar technology to ours in a more effective way.</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benefits to customers of our products could be supplanted by other technologies or solutions (such as industrial automation) or competitors' products that utilize similar technology to ours (such as artificial intelligence) in a more effective way. Although we believe that by seeking to augment, rather than replace, humans for jobs that cannot be or are not practical to be automated, our products will be superior to the artificial intelligence and industrial automation products currently available, we cannot be sure that alternative technologies or improvements to artificial intelligence, industrial automation or other technologies, processes or industries will not match or exceed the benefits of our products or be more cost effective than our products. The development of any alternative technology that can compete with or supplant our products may materially and adversely affect our business, prospects, financial condition and operating results, including in ways we do not currently anticipate. Any failure by us to develop new or enhanced technologies or processes, or to react to changes in existing technologies, could materially delay our development and introduction of new and enhanced products, which could result in the loss of competitiveness of our robotic systems and solutions, decreased revenue and a loss of market share to competitors. Our research and development efforts may not be sufficient to adapt to new or changing technologies. While we plan to upgrade and adapt our robotic systems and solutions as we or others develop new technology, our robotic systems and solutions may not compete effectively with alternative products if we are not able to source and integrate the latest technology into our systems and solutions.</w:t>
      </w:r>
    </w:p>
    <w:p>
      <w:pPr>
        <w:pStyle w:val="TextBody"/>
        <w:spacing w:before="0" w:after="0"/>
        <w:jc w:val="both"/>
        <w:rPr>
          <w:rFonts w:ascii="Times New Roman;serif" w:hAnsi="Times New Roman;serif"/>
          <w:b/>
          <w:i/>
          <w:sz w:val="20"/>
        </w:rPr>
      </w:pPr>
      <w:r>
        <w:rPr>
          <w:rFonts w:ascii="Times New Roman;serif" w:hAnsi="Times New Roman;serif"/>
          <w:b/>
          <w:i/>
          <w:sz w:val="20"/>
        </w:rPr>
        <w:t>Design or manufacturing flaws, defects, glitches or malfunctions in our products or the software that operates them, failure of our products to perform as expected, connectivity issues or user errors can result in product recalls, lower than expected return on investment for customers, harm to users and significant safety concerns, each of which could materially and adversely affect our results of operations, financial condition or reputation.</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design, manufacture and marketing of our products involve certain inherent risks. Manufacturing or design defects, glitches, malfunctions, connectivity issues between the central processing unit and the robotic system or solution, unanticipated use of our robotic system, user errors or inadequate disclosure of risks relating to the use of the robotic systems, among others, can lead to injury, property damage or other adverse events. For example, the absence of redundant sub-systems in the Guardian XO could result in injury to person or property if a sub-system fails while the robot is in use. We conduct extensive testing of our systems and solutions, in some instances in collaboration with our customers, to ensure that any such issues can be identified and addressed in advance of commercial launch of the products. However, we may not be able to identify all such issues or, if identified, efforts to address them may not be effective in all cases, and our product testing may not be adequate. Injuries to users have occurred during the testing of our products. We conduct investigations to identify the cause or causes of incidents and, when appropriate, implement changes to testing protocols or to the systems and solutions to prevent such incidents from reoccurring. However, any implemented improvements may not fully prevent similar or other incidents in the future. Operators of the Guardian XO will be wearing the system while it is in use, which could worsen the consequences of an accident. Moreover, because of the size and weight of the systems and solutions, and the nature and variability of the environments in which we expect our products to be used, such as manufacturing and assembly lines, construction, field service and warehouses for the Guardian XO and hazardous environments and at-height for the Guardian XM and Guardian XT, adverse events relating to the use of our products could include significant injuries or even death. To the extent that design or manufacturing defects, glitches, malfunctions or connectivity issues between the central processing unit and the robotic system or solution are discovered during or after the production of pre-commercial and/or commercial systems and solutions, we have experienced and will experience delays in the initial production and/or continued production of our commercial products while the issues are resolved. If the issues cannot be adequately resolved, production of commercial systems and solutions may not occur and/or resume.</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Although we are designing the Guardian XO to include important safety features and accommodate customer-specialized protective gear and fall-prevention devices, we may not be able to successfully incorporate sufficient redundancy or other safety features to avoid injuries in the commercial version of the product.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addition, we may not be aware of design or manufacturing defects until injury to person or property has occurred. Such adverse events could lead to recalls or safety alerts relating to our products (either voluntary or required by governmental authorities), and could result, in certain cases, in the removal of our products from the market. A recall could result in significant costs. To the extent any manufacturing defect occurs, and such products are manufactured for us by third parties, our agreement with the third-party manufacturer may contain a limitation on the third-party manufacturer’s liability, and therefore we could be required to incur the majority of related costs. Product defects or recalls could also result in negative publicity, damage to our reputation or, in the event of regulatory developments, delays in new product approvals.</w:t>
      </w:r>
    </w:p>
    <w:p>
      <w:pPr>
        <w:pStyle w:val="TextBody"/>
        <w:spacing w:before="0" w:after="0"/>
        <w:jc w:val="both"/>
        <w:rPr>
          <w:rFonts w:ascii="Times New Roman" w:hAnsi="Times New Roman"/>
          <w:sz w:val="20"/>
        </w:rPr>
      </w:pPr>
      <w:r>
        <w:rPr>
          <w:rFonts w:ascii="Times New Roman;serif" w:hAnsi="Times New Roman;serif"/>
          <w:b w:val="false"/>
          <w:sz w:val="20"/>
        </w:rPr>
        <w:t>Our products incorporate sophisticated computer software and firmware. Complex software and firmware frequently contain errors, especially when first introduced. Our software and/or firmware may experience errors or performance problems in the future. If any part of our products’ hardware or software were to fail, the operator could experience serious injury or even death. Additionally, users may not use our products in accordance with safety protocols and training, which could amplify the risk of death or injury. Customers and operators also may fail to install updates and fixes to the software for several reasons including poor connectivity, inattention or failure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to regularly dock our products. Any such occurrence could cause delay in market acceptance of our products, damage to our reputation, product recalls, increased service and warranty costs, product liability claims and loss of revenue.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anticipate that in the ordinary course of business we may be subject to product liability claims alleging defects in the design or manufacture of our products. A product liability claim, regardless of its merit or eventual outcome, could result in significant legal defense costs and high punitive damage payments, damage to our reputation or require significant costs to redesign or fix our products.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pStyle w:val="TextBody"/>
        <w:spacing w:before="0" w:after="0"/>
        <w:jc w:val="both"/>
        <w:rPr>
          <w:rFonts w:ascii="Times New Roman;serif" w:hAnsi="Times New Roman;serif"/>
          <w:b/>
          <w:i/>
          <w:sz w:val="20"/>
        </w:rPr>
      </w:pPr>
      <w:r>
        <w:rPr>
          <w:rFonts w:ascii="Times New Roman;serif" w:hAnsi="Times New Roman;serif"/>
          <w:b/>
          <w:i/>
          <w:sz w:val="20"/>
        </w:rPr>
        <w:t>Even if our products perform properly and are used as intended, if users sustain any injuries while operating our products or if users injure others while operating our products, we could be exposed to liability and our results of operations, financial condition and reputation may be adversely affected.</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products contain complex technology and must be used as designed and intended in order to operate safely and effectively. For example, we are developing the Guardian XT system as an augmented or mixed reality-enabled highly-dexterous teleoperated robotic system to perform intricate and even dangerous tasks. We expect that users will control the system at a distance by utilizing augmented reality teleoperation. While we expect to develop training, customer service and maintenance and servicing infrastructure to ensure users are equipped to operate our products in a safe manner, we cannot be sure that the products will ultimately be used as designed and intended. In addition, we cannot be sure that we will be able to predict all the ways in which use or misuse of the products can lead to injury or damage to property, and our training resources may not be successful at preventing all incidents. If users were to sustain injuries or cause damage to property while operating our products, in a manner consistent with our training and instructions or otherwise, we could be exposed to liability and our results of operations, financial condition and our reputation may be adversely affected.</w:t>
      </w:r>
    </w:p>
    <w:p>
      <w:pPr>
        <w:pStyle w:val="TextBody"/>
        <w:spacing w:before="0" w:after="0"/>
        <w:jc w:val="both"/>
        <w:rPr>
          <w:rFonts w:ascii="Times New Roman;serif" w:hAnsi="Times New Roman;serif"/>
          <w:b/>
          <w:i/>
          <w:sz w:val="20"/>
        </w:rPr>
      </w:pPr>
      <w:r>
        <w:rPr>
          <w:rFonts w:ascii="Times New Roman;serif" w:hAnsi="Times New Roman;serif"/>
          <w:b/>
          <w:i/>
          <w:sz w:val="20"/>
        </w:rPr>
        <w:t>We have no experience maintaining or servicing our products at a large scale.</w:t>
      </w:r>
    </w:p>
    <w:p>
      <w:pPr>
        <w:pStyle w:val="TextBody"/>
        <w:spacing w:before="0" w:after="0"/>
        <w:jc w:val="both"/>
        <w:rPr>
          <w:rFonts w:ascii="Times New Roman" w:hAnsi="Times New Roman"/>
          <w:sz w:val="20"/>
        </w:rPr>
      </w:pPr>
      <w:r>
        <w:rPr>
          <w:rFonts w:ascii="Times New Roman;serif" w:hAnsi="Times New Roman;serif"/>
          <w:b w:val="false"/>
          <w:sz w:val="20"/>
        </w:rPr>
        <w:t>We may agree to cover maintenance and servicing of the systems and solutions purchased by our customers. However, we have no experience providing maintenance and servicing at a large scale. We may elect to partner with one or more third parties to perform some or all of the servicing and maintenance on our products, but we may not be able to enter into an acceptable arrangement with any such third-party provider. Although such servicing partners may have experience in servicing complex machinery, they will initially have limited experience in servicing our robotic systems and solutions. If we are unable or elect not to enter into a partnership with third parties to perform maintenance and servicing, we may be required to provide such services directly, which could significantly increase our capital expenditures and personnel costs. We would also be required to recruit and train employees to provide these services and we may not be able to attract persons with the necessary knowledge or experience to provide these services. Delays in implementing a maintenance and servicing infrastructure may significantly delay sales of our products if customers are unwilling to purchase products with limited maintenance and servicing capacity.</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addition, our service and maintenance arrangements may not adequately address the service and maintenance requirements of our customers to their satisfaction, and we and our servicing partners may not have sufficient resources, experience or inventory to meet these service requirements in a timely manner as the volume of robotic systems and solutions we deliver increases. Even if we and our servicing partners have the resources and experience needed, we and our servicing partners still may not adequately service or maintain the systems and solutions. If we are unable to, directly or through third-party partners, roll out and establish a widespread service network, including on-site services, customer satisfaction could be adversely affected, which in turn could materially and adversely affect our reputation and thus our sales, results of operations and prospects.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customers will also depend on our customer support team to resolve technical and operational issues relating to the integrated software underlying our robotic systems and solutions. Customer behavior and usage may result in higher-than-expected maintenance and repair costs or warranty claims.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we continue to grow, additional pressure may be placed on our customer support team or partners, and we may be unable to respond quickly enough to accommodate short-term increases in customer demand for technical support.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operating results. If we are unable to successfully address the service requirements of our customers or we establish a market perception that we do not maintain high-quality support, we may be subject to claims from our customers, including loss of revenue or damages, and our business, prospects, financial condition and operating results may be materially and adversely affected.</w:t>
      </w:r>
    </w:p>
    <w:p>
      <w:pPr>
        <w:pStyle w:val="TextBody"/>
        <w:spacing w:before="0" w:after="0"/>
        <w:jc w:val="both"/>
        <w:rPr>
          <w:rFonts w:ascii="Times New Roman;serif" w:hAnsi="Times New Roman;serif"/>
          <w:b/>
          <w:i/>
          <w:sz w:val="20"/>
        </w:rPr>
      </w:pPr>
      <w:r>
        <w:rPr>
          <w:rFonts w:ascii="Times New Roman;serif" w:hAnsi="Times New Roman;serif"/>
          <w:b/>
          <w:i/>
          <w:sz w:val="20"/>
        </w:rPr>
        <w:t>Our ability to develop and manufacture products of sufficient quality on schedule and on a large scale is unproven, and delays in the design, production and launch of our products could harm our business, prospects, financial condition and operating results.</w:t>
      </w:r>
    </w:p>
    <w:p>
      <w:pPr>
        <w:pStyle w:val="TextBody"/>
        <w:spacing w:before="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future business depends in large part on our ability to execute our plans to design, develop, manufacture, market, deploy and service our products. Over time, we intend to largely outsource the manufacturing of our robotic systems and solutions to third-party manufacturing partners, which would reduce our direct control over production and manufacturing. Such diminished control may have an adverse effect on the quality or quantity of our systems and solutions, or our flexibility to respond to changing conditions. In addition, engaging third-party manufacturers involves significant time, ramp-up, testing and coordination before high-volume production capability by the partner is achieved. Although we have entered into an agreement and begun engagement activities with a contract manufacturing partner, we currently do not anticipate high-volume production by our contract manufacturing partner to be in place until at least the end of 2023.</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also plan to retain third-party vendors and service providers to engineer, design and test some of the critical systems and components of our systems and solutions. While this allows us to draw from such third parties’ industry knowledge and expertise, such systems and components may not be successfully developed to our specifications or delivered in a timely manner to meet our program timing requirements.</w:t>
      </w:r>
    </w:p>
    <w:p>
      <w:pPr>
        <w:pStyle w:val="TextBody"/>
        <w:spacing w:before="0" w:after="0"/>
        <w:jc w:val="both"/>
        <w:rPr>
          <w:rFonts w:ascii="Times New Roman" w:hAnsi="Times New Roman"/>
          <w:sz w:val="20"/>
        </w:rPr>
      </w:pPr>
      <w:r>
        <w:rPr>
          <w:rFonts w:ascii="Times New Roman;serif" w:hAnsi="Times New Roman;serif"/>
          <w:b w:val="false"/>
          <w:sz w:val="20"/>
        </w:rPr>
        <w:t>The continued development and manufacturing of our products are and will be subject to risks, including with respect to:</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delays or disruptions in our supply chain, or the need to order supplies in excess of demand due to minimum quantity requirements or price thresholds;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costs to be incurred by us and/or any third-party manufacturing partner or partners in meeting our specifications and design tolerances;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the ongoing effects of the COVID-19 pandemic or other pandemics, epidemics or outbreaks;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hiring and retaining a sufficient number of qualified employees (we have historically been understaffed due to these challenges);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long- and short-term durability of our robotic systems and solutions to withstand day-to-day wear and tear;</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delays in delivery of final systems and components by our suppliers;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manufacturing of robotic systems and solutions in excess of demand due to contractual requirements or unexpected changes in demand;</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shifts in demand for our products or new product feature requirements;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quality controls, particularly as we plan to expand our production capabilities;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the impact of national or global economic or political conditions, including war, inflation and interest rates;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work stoppages, labor strikes and other labor disputes affecting us or our suppliers, third-party manufacturers and other partners; and</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other delays and cost overruns.</w:t>
      </w:r>
    </w:p>
    <w:p>
      <w:pPr>
        <w:pStyle w:val="TextBody"/>
        <w:spacing w:before="0" w:after="0"/>
        <w:jc w:val="both"/>
        <w:rPr>
          <w:rFonts w:ascii="Times New Roman;serif" w:hAnsi="Times New Roman;serif"/>
          <w:b/>
          <w:i/>
          <w:sz w:val="20"/>
        </w:rPr>
      </w:pPr>
      <w:r>
        <w:rPr>
          <w:rFonts w:ascii="Times New Roman;serif" w:hAnsi="Times New Roman;serif"/>
          <w:b/>
          <w:i/>
          <w:sz w:val="20"/>
        </w:rPr>
        <w:t>We are highly dependent on the services of our senior management and other key employees and, if we are unable to attract and retain a sufficient number of qualified employees, our ability to design, manufacture and launch our products, operate our business and compete could be harmed.</w:t>
      </w:r>
    </w:p>
    <w:p>
      <w:pPr>
        <w:pStyle w:val="TextBody"/>
        <w:spacing w:before="0" w:after="0"/>
        <w:jc w:val="left"/>
        <w:rPr>
          <w:rFonts w:ascii="Times New Roman" w:hAnsi="Times New Roman"/>
          <w:sz w:val="20"/>
        </w:rPr>
      </w:pPr>
      <w:r>
        <w:rPr>
          <w:rFonts w:ascii="Times New Roman;serif" w:hAnsi="Times New Roman;serif"/>
          <w:b w:val="false"/>
          <w:sz w:val="20"/>
        </w:rPr>
        <w:t>Our success depends, in part, on our ability to retain our key personnel. The unexpected loss of or failure to retain one or more of our senior managers or other key employees could delay product development and require outsourcing to third parties, each of which in turn could adversely affect our business. Our success also depends, in part, on our continuing ability to identify, hire, attract, train and develop other highly qualified personnel. Experienced and highly skilled employees are in high demand and competition for these employees can be intense,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strategy. Our headquarters are in Salt Lake City, Utah, which has fewer highly skilled employees in the robotics field than other major metropolitan areas. To attract and retain key personnel, we may need to open offices in other areas of the country, which could increase costs and reduce productivity. As a result of our acquisition of RE2, a significant number of our employees are located in Pittsburgh, Pennsylvania. As an organization, we do not have meaningful experience managing two large facilities and employee bases in different geographies and across different time zones. Any failure by</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management team and our employees to perform as expected may have a material adverse effect on our ability to design, manufacture and launch our products or to operate our business and compete, as well as on our business, prospects, financial condition and operating results.</w:t>
      </w:r>
    </w:p>
    <w:p>
      <w:pPr>
        <w:pStyle w:val="TextBody"/>
        <w:spacing w:before="0" w:after="0"/>
        <w:jc w:val="both"/>
        <w:rPr>
          <w:rFonts w:ascii="Times New Roman" w:hAnsi="Times New Roman"/>
          <w:sz w:val="20"/>
        </w:rPr>
      </w:pPr>
      <w:r>
        <w:rPr>
          <w:rFonts w:ascii="Times New Roman;serif" w:hAnsi="Times New Roman;serif"/>
          <w:b/>
          <w:i/>
          <w:sz w:val="20"/>
        </w:rPr>
        <w:t>Our management as a group has limited experience in operating a publicly-traded company.</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Although some members of our management have public company experience, our management team may not successfully or effectively manage operating as a public company subject to significant regulatory oversight and reporting obligations under U.S. securities laws. Our executive officers as a group have limited experience in the management of a publicly-traded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Although we have hired personnel experienced in managing and addressing the obligations of a publicly-traded company, we will likely need to continue to recruit and hire additional persons in order to handle the increased demands of running a public company, but our efforts may not be successful. We may not have adequate personnel with the appropriate level of knowledge, experience and training in the accounting policies, practices or internal control over financial reporting required of public companies. Any failure by us to effectively and efficiently meet our obligations as a publicly-traded company could have a material adverse effect on our business, prospects, financial condition and operating results and/or result in legal liability or other negative consequences.</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We incur significant expenses and administrative burdens as a publicly-traded company, which could have a material adverse effect on our business, prospects, financial condition and operating results.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a publicly-traded company, we are incurring legal, accounting and other expenses that we previously did not have, and these expenses may increase even more as we continue to implement and strengthen controls, processes and systems and to hire related personnel and after we are no longer an emerging growth company, as defined in Section 2(a) of the Securities Act. We are subject to reporting and other requirements of the Exchange Act, the Sarbanes-Oxley Act and the Dodd-Frank Wall Street Reform and Consumer Protection Act, as well as rules adopted by the SEC and Nasdaq. Our management and other personnel will be devoting a substantial amount of time to these compliance initiatives. We have expanded our employee base and we will need to hire additional employees to support our operations as a public company, which will increase our operating costs in future periods. Moreover, these rules and regulations have substantially increased our legal and financial compliance costs and make some activities more time-consuming and costly. These increased costs have increased our net loss. For example, it has been more difficult and more expensive for us to obtain director and officer liability insurance and we have incurred substantially higher costs to obtain appropriate coverage than we incurred as a private company. We cannot accurately predict or estimate the amount or timing of all the additional costs we may incur. The impact of being a public company could also make it more difficult for us to attract and retain qualified persons to serve on our board of directors, our board committees or as executive officers. Such increased expenses and administrative burdens involved in operating as a public company could have a material adverse effect on our business, financial condition and operating results.</w:t>
      </w:r>
    </w:p>
    <w:p>
      <w:pPr>
        <w:pStyle w:val="TextBody"/>
        <w:spacing w:before="0" w:after="0"/>
        <w:jc w:val="both"/>
        <w:rPr>
          <w:rFonts w:ascii="Times New Roman;serif" w:hAnsi="Times New Roman;serif"/>
          <w:b/>
          <w:i/>
          <w:sz w:val="20"/>
        </w:rPr>
      </w:pPr>
      <w:r>
        <w:rPr>
          <w:rFonts w:ascii="Times New Roman;serif" w:hAnsi="Times New Roman;serif"/>
          <w:b/>
          <w:i/>
          <w:sz w:val="20"/>
        </w:rPr>
        <w:t>Ongoing impacts from COVID-19 or another pandemic, epidemic or outbreak of an infectious disease may materially and adversely impact our business, prospects, financial condition and operating results.</w:t>
      </w:r>
    </w:p>
    <w:p>
      <w:pPr>
        <w:pStyle w:val="TextBody"/>
        <w:spacing w:before="0" w:after="0"/>
        <w:jc w:val="both"/>
        <w:rPr>
          <w:rFonts w:ascii="Times New Roman" w:hAnsi="Times New Roman"/>
          <w:sz w:val="20"/>
        </w:rPr>
      </w:pPr>
      <w:r>
        <w:rPr>
          <w:rFonts w:ascii="Times New Roman;serif" w:hAnsi="Times New Roman;serif"/>
          <w:b w:val="false"/>
          <w:sz w:val="20"/>
        </w:rPr>
        <w:t>The COVID-19 pandemic has adversely impacted our business, and it, as well as other possible health pandemics, epidemics or outbreaks, may materially and adversely impact our business, prospects, financial condition and operating results in the future. Our engineering and product development operations, among others, cannot all be conducted in a remote working structure and often require on-site access to materials and equipment. We have customers with international operations in varying industries. We also depend on suppliers and manufacturers worldwide. We are currently experiencing disruptions and delays in our supply chain, as discussed under “</w:t>
      </w:r>
      <w:r>
        <w:rPr>
          <w:rFonts w:ascii="Times New Roman;serif" w:hAnsi="Times New Roman;serif"/>
          <w:b w:val="false"/>
          <w:i/>
          <w:sz w:val="20"/>
        </w:rPr>
        <w:t>We are dependent on our suppliers, some of which are currently single, sole or limited source suppliers, and the inability of these suppliers to deliver necessary components of our products at the prices and volumes, performance, timing and specifications acceptable to us, could have a material adverse effect on our business, prospects, financial condition and operating results</w:t>
      </w:r>
      <w:r>
        <w:rPr>
          <w:rFonts w:ascii="Times New Roman;serif" w:hAnsi="Times New Roman;serif"/>
          <w:b w:val="false"/>
          <w:sz w:val="20"/>
        </w:rPr>
        <w:t xml:space="preserve">. </w:t>
      </w:r>
      <w:r>
        <w:rPr>
          <w:rFonts w:ascii="Times New Roman;serif" w:hAnsi="Times New Roman;serif"/>
          <w:b w:val="false"/>
          <w:i/>
          <w:sz w:val="20"/>
        </w:rPr>
        <w:t>We have not yet identified all of the suppliers that we are likely to rely on to support future commercialization of our core products.</w:t>
      </w:r>
      <w:r>
        <w:rPr>
          <w:rFonts w:ascii="Times New Roman" w:hAnsi="Times New Roman"/>
          <w:sz w:val="20"/>
        </w:rPr>
        <w:t xml:space="preserve">” </w:t>
      </w:r>
      <w:r>
        <w:rPr>
          <w:rFonts w:ascii="Times New Roman;serif" w:hAnsi="Times New Roman;serif"/>
          <w:b w:val="false"/>
          <w:sz w:val="20"/>
        </w:rPr>
        <w:t>Depending upon the duration of the ongoing effects of the COVID-19 pandemic, which may linger for some time even if significant health risks abate, our customers, suppliers, manufacturers and partners may suspend or delay their engagement with us or take other actions or experience their own negative impacts, any of which could result in a material adverse effect on our financial condition and ability to meet current timelines. The COVID-19 pandemic has adversely affected and may continue to adversely affect our ability to recruit skilled employees to join our team and to meet our product development timelines. Our response to the ongoing COVID-19 pandemic and its ongoing impacts on our supply chain and business activities may prove to be inadequate, and we may be unable to operate in the manner necessary to avoid interruptions, reputational harm and delays in our product development and shipments, any of which could have a material adverse effect on our business, prospects, financial condition and operating results. In addition, pre-COVID-19 supply chain, economic and business conditions may not ever return.</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i/>
          <w:sz w:val="20"/>
        </w:rPr>
        <w:t>We may become subject to new or changing governmental regulations relating to the design, manufacturing, marketing, distribution, servicing or use of our products, and a failure to comply with such regulations could lead to withdrawal or recall of our products from the market</w:t>
      </w:r>
      <w:r>
        <w:rPr>
          <w:rFonts w:ascii="Times New Roman;serif" w:hAnsi="Times New Roman;serif"/>
          <w:b w:val="false"/>
          <w:sz w:val="20"/>
        </w:rPr>
        <w:t xml:space="preserve">, </w:t>
      </w:r>
      <w:r>
        <w:rPr>
          <w:rFonts w:ascii="Times New Roman;serif" w:hAnsi="Times New Roman;serif"/>
          <w:b/>
          <w:i/>
          <w:sz w:val="20"/>
        </w:rPr>
        <w:t>delay our projected revenue, increase costs or make our business unviable if we are unable to modify our products to comply.</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may become subject to new or changing international, national, state and local regulations, including laws relating to the design, manufacturing, marketing, distribution, servicing or use of our products. Such laws and regulations may require us to pause sales and modify our products, which would likely result in a material adverse effect on our revenue and financial condition, especially if implemented on a large scale or in a key market. Such laws and regulations can also give rise to liability, such as fines and penalties or for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pStyle w:val="TextBody"/>
        <w:spacing w:before="0" w:after="0"/>
        <w:jc w:val="both"/>
        <w:rPr>
          <w:rFonts w:ascii="Times New Roman;serif" w:hAnsi="Times New Roman;serif"/>
          <w:b/>
          <w:i/>
          <w:sz w:val="20"/>
        </w:rPr>
      </w:pPr>
      <w:r>
        <w:rPr>
          <w:rFonts w:ascii="Times New Roman;serif" w:hAnsi="Times New Roman;serif"/>
          <w:b/>
          <w:i/>
          <w:sz w:val="20"/>
        </w:rPr>
        <w:t>Our expected transition to an outsourced manufacturing business model may not be successful, which could harm our ability to deliver products and recognize revenue.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intend to transition from a manufacturing model in which we primarily manufacture and assemble our products at a smaller scale at our facilities, to one where we rely on one or more third-party manufacturers. We believe the use of third-party manufacturers will have benefits, but in the near term, while we are beginning manufacturing with one or more new partners, we may incur delays, lost revenue and increased costs. Our future third-party manufacturers may not be able to develop efficient, automated, low-cost production capabilities and processes and reliable sources of component supply to enable us to meet the quality, price, engineering, design and production standards, as well as the production volumes, required to successfully mass market our robotic systems and solutions. Even if we and our third-party manufacturers are successful in developing high-volume production capability and processes and reliably sourcing components, we may not be able to avoid significant delays and cost overruns, including as a result of factors beyond our control such as problems with suppliers and vendors or force majeure events, meet our product commercialization schedules or satisfy customer requirements.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have recently entered into an agreement with a contract manufacturer and expect to generally outsource manufacturing of our products over time. However, engaging with a manufacturing requires significant time, ramp-up, testing and coordination before high-volume production capability by the partner is achieved. We currently do not anticipate high-volume production by our contract manufacturing partner to be in place until at least the end of 2023. We expect that in 2023 we will have the internal capability to manufacture a total of between 300 – 500 systems, depending on the mix. However, we do not believe that will use all of that capacity in 2023.</w:t>
      </w:r>
    </w:p>
    <w:p>
      <w:pPr>
        <w:pStyle w:val="TextBody"/>
        <w:spacing w:before="0" w:after="0"/>
        <w:jc w:val="both"/>
        <w:rPr>
          <w:rFonts w:ascii="Times New Roman;serif" w:hAnsi="Times New Roman;serif"/>
          <w:b w:val="false"/>
          <w:sz w:val="20"/>
        </w:rPr>
      </w:pPr>
      <w:r>
        <w:rPr>
          <w:rFonts w:ascii="Times New Roman;serif" w:hAnsi="Times New Roman;serif"/>
          <w:b w:val="false"/>
          <w:sz w:val="20"/>
        </w:rPr>
        <w:t>Reliance on third-party manufacturers reduces our control over the manufacturing process, including reduced control over quality, product costs and product supply and timing. We may experience delays in shipments or issues concerning product quality from our third-party manufacturers. If any of our third-party manufacturers experience interruptions, delays or disruptions in supplying our products, including by natural disasters, the global COVID-19 pandemic, other health epidemics and outbreaks, geopolitical events, work stoppages or capacity constraints, our ability to ship products to distributors and customers would be delayed. In addition, unfavorable economic conditions could result in financial distress among third-party manufacturers upon which we rely, thereby increasing the risk of disruption of supplies necessary to fulfill our production requirements and meet customer demands. While we take measures to protect our trade secrets, the use of third-party manufacturers may also risk disclosure of our innovative and proprietary technologies, which could adversely affect our business.</w:t>
      </w:r>
    </w:p>
    <w:p>
      <w:pPr>
        <w:pStyle w:val="TextBody"/>
        <w:spacing w:before="0" w:after="0"/>
        <w:jc w:val="both"/>
        <w:rPr>
          <w:rFonts w:ascii="Times New Roman" w:hAnsi="Times New Roman"/>
          <w:sz w:val="20"/>
        </w:rPr>
      </w:pPr>
      <w:r>
        <w:rPr>
          <w:rFonts w:ascii="Times New Roman;serif" w:hAnsi="Times New Roman;serif"/>
          <w:b w:val="false"/>
          <w:sz w:val="20"/>
        </w:rPr>
        <w:t>Additionally, if any of our third-party manufacturers experience quality control problems in their manufacturing operations and our products do not meet customer requirements, we could be required to recall the systems and solutions or cover the cost of repair or replacement of any defective products. These delays or product quality issues could have an immediate and material adverse effect on our ability to fulfill orders and on our operating results. In addition, such delays or issues with product quality could adversely affect our reputation and our relationship with our customers.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If any third-party manufacturers experience financial, operational, manufacturing capacity or other difficulties, or experience shortages in required components, or if they are otherwise unable or unwilling to continue to manufacture our products in required volumes or at all, our supply may be disrupted, we may be required to seek alternate manufacturers and we may be required to re-design our products. It would be time-consuming, and could be costly and impracticable, to begin to use new manufacturers and designs, and such changes could cause significant interruptions in supply and could have an adverse effect on our ability to meet our scheduled product deliveries and may subsequently lead to the loss of sales.</w:t>
      </w:r>
      <w:r>
        <w:rPr>
          <w:rFonts w:ascii="Times New Roman" w:hAnsi="Times New Roman"/>
          <w:sz w:val="20"/>
        </w:rPr>
        <w:t xml:space="preserve"> </w:t>
      </w:r>
    </w:p>
    <w:p>
      <w:pPr>
        <w:pStyle w:val="TextBody"/>
        <w:spacing w:before="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If we are unable to successfully outsource a significant portion of our production to third-party manufacturers on acceptable terms, we will need to rely on our own manufacturing capacity and may need to develop additional manufacturing and production facilities and capabilities, which would significantly increase our capital expenditures, would likely delay production of our robotic systems and solutions. and may not be feasible. If this were to occur, we would need to raise or borrow additional money, which may not be available on terms acceptable to us or at all, and possibly change our product pricing expectations, which could adversely affect our margins and cash flows. We have no experience to date in high volume manufacture of our products, nor do we have the facility, employees or equipment needed to manufacture our products in high volumes.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Any failure to develop production processes and capabilities within our projected costs and timelines, whether in partnership with a third-party contract manufacturer or internally or a combination of the two, could have a material adverse effect on our business, prospects, financial condition and operating results.</w:t>
      </w:r>
    </w:p>
    <w:p>
      <w:pPr>
        <w:pStyle w:val="TextBody"/>
        <w:spacing w:before="0" w:after="0"/>
        <w:jc w:val="both"/>
        <w:rPr>
          <w:rFonts w:ascii="Times New Roman;serif" w:hAnsi="Times New Roman;serif"/>
          <w:b/>
          <w:i/>
          <w:sz w:val="20"/>
        </w:rPr>
      </w:pPr>
      <w:r>
        <w:rPr>
          <w:rFonts w:ascii="Times New Roman;serif" w:hAnsi="Times New Roman;serif"/>
          <w:b/>
          <w:i/>
          <w:sz w:val="20"/>
        </w:rPr>
        <w:t>Our business and prospects depend significantly on our ability to build our brand. We may not succeed in continuing to establish, maintain and strengthen our brand, and our brand and reputation could be harmed by negative publicity regarding us or our products.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business and prospects are heavily dependent on our ability to develop, maintain and strengthen our brand. If we do not continue to establish, maintain and strengthen our brand, we may lose the opportunity to build a critical mass of customers. Promoting and positioning our brand will likely depend significantly on our ability to provide high quality products and engage with our customers as intended. In addition, our ability to develop, maintain and strengthen our brand may depend on the acceptance of our products by employees of our customers. To promote our brand, we may be required to change or expand our customer development and branding practices, which could result in substantially increased expenses. If we do not develop and maintain a strong brand, our business, prospects, financial condition and operating results will be materially and adversely impacted.</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addition, if safety incidents occur or are perceived to have occurred, whether or not such incidents are our fault, we could be subject to adverse publicity or resistance by employees of our customers or labor unions. In particular, given the popularity of social media, any negative publicity, whether true or not, could quickly proliferate and harm perceptions and confidence in our brands. Furthermore, there is the risk of potential adverse publicity related to our manufacturing or other partners whether or not such publicity is related to their collaboration with us. Our ability to successfully position our brand could also be adversely affected by perceptions about the quality of our competitors’ products.</w:t>
      </w:r>
    </w:p>
    <w:p>
      <w:pPr>
        <w:pStyle w:val="TextBody"/>
        <w:spacing w:before="0" w:after="0"/>
        <w:jc w:val="both"/>
        <w:rPr>
          <w:rFonts w:ascii="Times New Roman;serif" w:hAnsi="Times New Roman;serif"/>
          <w:b/>
          <w:i/>
          <w:sz w:val="20"/>
        </w:rPr>
      </w:pPr>
      <w:r>
        <w:rPr>
          <w:rFonts w:ascii="Times New Roman;serif" w:hAnsi="Times New Roman;serif"/>
          <w:b/>
          <w:i/>
          <w:sz w:val="20"/>
        </w:rPr>
        <w:t>The period of time from initial design of our products to obtaining binding purchase commitments from customers is long and we are subject to the risk that customers who initially expressed an interest in our products during the design phase will not enter into binding commitments.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products contain complex technology that requires multiple years of engineering and design. Therefore, the period of time from initial design of our products to obtaining binding purchase commitments from customers is long and we are subject to the risk that customers who initially expressed an interest in our products during the design phase will not enter into binding commitments. The design of our products is significantly influenced by feedback from potential customers and reflects the needs they express. Further, some of our products have been designed to meet the specific use-cases of a particular customer. As a result, adapting our products to other industries or customers may require additional design, development, testing, work and expenses. We may not be able to adapt our products to reflect such feedback successfully or at all. If customers who initially express an interest in our products and influenced their design ultimately do not enter into binding commitments to purchase our products, or if they adopt a competitors’ technology, our business, prospects, financial condition and operating results would be adversely affected.</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We may be unable to adequately control the costs associated with our operations.</w:t>
      </w:r>
    </w:p>
    <w:p>
      <w:pPr>
        <w:pStyle w:val="TextBody"/>
        <w:spacing w:before="0" w:after="0"/>
        <w:jc w:val="both"/>
        <w:rPr>
          <w:rFonts w:ascii="Times New Roman" w:hAnsi="Times New Roman"/>
          <w:sz w:val="20"/>
        </w:rPr>
      </w:pPr>
      <w:r>
        <w:rPr>
          <w:rFonts w:ascii="Times New Roman;serif" w:hAnsi="Times New Roman;serif"/>
          <w:b w:val="false"/>
          <w:sz w:val="20"/>
        </w:rPr>
        <w:t>We will require significant capital to develop and grow our business, including developing and producing our commercial robotic systems and solutions and other products, establishing or expanding our design, research and development, production, sales and maintenance and service capabilities and building our brands. We have incurred and expect to continue incurring significant expenses which will impact our profitability, including research and development expenses, procurement costs, sales, marketing and distribution expenses as we build our brand and market our robotic systems and solutions and general and administrative expenses as we scale our operations, identify and commit resources to investigate new areas of demand and incur costs as a public company. Some of the factors that may lead to cost increases are outside of our control, such as national or global geopolitical and economic conditions, including inflation or increases in interest rates. In addition, we may incur significant costs servicing or maintaining our robotic systems and solutions, and we expect that the cost to repair and service our robotic systems and solutions will increase over time as our robotic systems and solutions age. Our ability to become profitable in the future will not only depend on our ability to complete the design and development of our robotic systems and solutions to meet projected performance metrics and identify and investigate new areas of demand and successfully market our robotic systems and solutions, but also on our ability to sell our robotic systems and solutions at prices needed to achieve sufficient margins and control our costs, including the risks and costs associated with any maintenance and</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service obligations that we may undertake and warranty obligations. If we are unable to efficiently design, develop, manufacture, market, deploy, distribute and service our robotic systems and solutions in a cost-effective manner, our margins, profitability and prospects would be materially and adversely affected.</w:t>
      </w:r>
    </w:p>
    <w:p>
      <w:pPr>
        <w:pStyle w:val="TextBody"/>
        <w:spacing w:before="0" w:after="0"/>
        <w:jc w:val="both"/>
        <w:rPr>
          <w:rFonts w:ascii="Times New Roman" w:hAnsi="Times New Roman"/>
          <w:sz w:val="20"/>
        </w:rPr>
      </w:pPr>
      <w:r>
        <w:rPr>
          <w:rFonts w:ascii="Times New Roman;serif" w:hAnsi="Times New Roman;serif"/>
          <w:b/>
          <w:i/>
          <w:sz w:val="20"/>
        </w:rPr>
        <w:t>We and our suppliers and any manufacturing partners may rely on complex machinery for production, which involves a significant degree of risk and uncertainty in terms of operational performance and costs.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and our suppliers and any manufacturing partners may rely on complex machinery for the production and assembly of our robotic systems and solutions, which will involve a significant degree of uncertainty and risk in terms of operational performance and costs. Our facilities, and those of any third-party manufacturing partners and suppliers, consist or are expected to consist of large-scale machinery combining many components. These components may suffer unexpected malfunctions from time to time and will depend on repairs and spare parts to resume operations, which may not be available when needed. Unexpected malfunctions of these components or machines may significantly affect the intended operational efficiency. Operational performance and costs can be difficult to predict and are often influenced by factors outside of our or any third-party manufacturing partners’ and suppliers’ control, such as scarcity of natural resources, environmental hazards and remediation, costs associated with decommissioning of machines, labor disputes and strikes, difficulty or delays in obtaining governmental permits, damages or defects in electronic systems, industrial accidents, fire, seismic activity and natural disasters. Should operational risks materialize, it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of which could have a material adverse effect on our business, prospects, financial condition and operating results.</w:t>
      </w:r>
    </w:p>
    <w:p>
      <w:pPr>
        <w:pStyle w:val="TextBody"/>
        <w:spacing w:before="0" w:after="0"/>
        <w:jc w:val="both"/>
        <w:rPr>
          <w:rFonts w:ascii="Times New Roman;serif" w:hAnsi="Times New Roman;serif"/>
          <w:b/>
          <w:i/>
          <w:sz w:val="20"/>
        </w:rPr>
      </w:pPr>
      <w:r>
        <w:rPr>
          <w:rFonts w:ascii="Times New Roman;serif" w:hAnsi="Times New Roman;serif"/>
          <w:b/>
          <w:i/>
          <w:sz w:val="20"/>
        </w:rPr>
        <w:t>We face risks related to natural disasters, health epidemics and other calamities, which could significantly disrupt our operations.</w:t>
      </w:r>
    </w:p>
    <w:p>
      <w:pPr>
        <w:pStyle w:val="TextBody"/>
        <w:spacing w:before="0" w:after="0"/>
        <w:jc w:val="both"/>
        <w:rPr>
          <w:rFonts w:ascii="Times New Roman" w:hAnsi="Times New Roman"/>
          <w:sz w:val="20"/>
        </w:rPr>
      </w:pPr>
      <w:r>
        <w:rPr>
          <w:rFonts w:ascii="Times New Roman;serif" w:hAnsi="Times New Roman;serif"/>
          <w:b w:val="false"/>
          <w:sz w:val="20"/>
        </w:rPr>
        <w:t>Our facilities or operations or those of any third-party manufacturers or suppliers could be adversely affected by events outside of our or their control, such as natural disasters, wars, health epidemics and other calamities and force majeure events. See "</w:t>
      </w:r>
      <w:r>
        <w:rPr>
          <w:rFonts w:ascii="Times New Roman;serif" w:hAnsi="Times New Roman;serif"/>
          <w:b w:val="false"/>
          <w:i/>
          <w:sz w:val="20"/>
        </w:rPr>
        <w:t>Ongoing impacts from COVID-19 or another pandemic, epidemic or outbreak of an infectious disease may materially and adversely impact our business, prospects, financial condition and operating results."</w:t>
      </w:r>
      <w:r>
        <w:rPr>
          <w:rFonts w:ascii="Times New Roman" w:hAnsi="Times New Roman"/>
          <w:sz w:val="20"/>
        </w:rPr>
        <w:t xml:space="preserve"> </w:t>
      </w:r>
      <w:r>
        <w:rPr>
          <w:rFonts w:ascii="Times New Roman;serif" w:hAnsi="Times New Roman;serif"/>
          <w:b w:val="false"/>
          <w:sz w:val="20"/>
        </w:rPr>
        <w:t>Although we have servers that are hosted both onsite and at an offsite location, our backup system does not capture data on a real-time basis and we may be unable to recover certain data in the event of a server failure. Our backup system may not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the malfunction of software or hardware, as well as adversely affect our ability to provide services.</w:t>
      </w:r>
    </w:p>
    <w:p>
      <w:pPr>
        <w:pStyle w:val="TextBody"/>
        <w:spacing w:before="0" w:after="0"/>
        <w:jc w:val="both"/>
        <w:rPr>
          <w:rFonts w:ascii="Times New Roman;serif" w:hAnsi="Times New Roman;serif"/>
          <w:b/>
          <w:i/>
          <w:sz w:val="20"/>
        </w:rPr>
      </w:pPr>
      <w:r>
        <w:rPr>
          <w:rFonts w:ascii="Times New Roman;serif" w:hAnsi="Times New Roman;serif"/>
          <w:b/>
          <w:i/>
          <w:sz w:val="20"/>
        </w:rPr>
        <w:t>We currently target many customers that are large businesses with substantial negotiating power, exacting product standards and potentially competitive internal solutions. If we are unable to sell our products to these customers, our prospects and results of operations will be adversely affected.</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expect that many of our potential customers will be large, multinational businesses with substantial negotiating power relative to us and, in some instances, may have internal solutions that are competitive to our products. These large, multinational businesses also have significant development resources, which may allow them to acquire or develop independently, or in partnership with others, competitive technologies. Meeting the technical requirements and securing binding commitments from any of these businesses will require a substantial investment of our time and resources. We may be unable to secure binding commitments from these or other businesses or we may be unable to generate meaningful revenue from the sales of our products to these key potential customers. If our products are not selected by these large businesses or if these businesses develop or acquire competitive technology, it will have an adverse effect on our business, which could be material.</w:t>
      </w:r>
    </w:p>
    <w:p>
      <w:pPr>
        <w:pStyle w:val="TextBody"/>
        <w:spacing w:before="0" w:after="0"/>
        <w:jc w:val="both"/>
        <w:rPr>
          <w:rFonts w:ascii="Times New Roman" w:hAnsi="Times New Roman"/>
          <w:sz w:val="20"/>
        </w:rPr>
      </w:pPr>
      <w:r>
        <w:rPr>
          <w:rFonts w:ascii="Times New Roman;serif" w:hAnsi="Times New Roman;serif"/>
          <w:b/>
          <w:i/>
          <w:sz w:val="20"/>
        </w:rPr>
        <w:t>We operate in a competitive industry that is subject to rapid technological change, and we expect competition to increase.</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robotics industry is subject to rapid technological change, and we expect competition to increase in the future. Our robotics technology may be unable to keep up with changes in robotics technology or its alternatives and, as a result, our competitiveness may suffer. Developments in alternative technologies may materially and adversely affect our competitiveness in ways we do not currently anticipate. Any failure by us to successfully react to changes or advances in existing technologies could materially harm our competitive position and growth prospects, which could have a material adverse effect on our business, prospects, financial condition and operating results.</w:t>
      </w:r>
    </w:p>
    <w:p>
      <w:pPr>
        <w:pStyle w:val="TextBody"/>
        <w:spacing w:before="240" w:after="0"/>
        <w:jc w:val="both"/>
        <w:rPr>
          <w:rFonts w:ascii="Times New Roman" w:hAnsi="Times New Roman"/>
          <w:sz w:val="20"/>
        </w:rPr>
      </w:pPr>
      <w:r>
        <w:rPr>
          <w:rFonts w:ascii="Times New Roman;serif" w:hAnsi="Times New Roman;serif"/>
          <w:b w:val="false"/>
          <w:sz w:val="20"/>
        </w:rPr>
        <w:t>We believe we are developing a new category of industrial robotic systems and solutions that augment, rather than replace, humans. In many cases, our primary competition will be traditional modes of human labor, sometimes assisted with material handling products such as overhead cranes, forklifts and pallet jacks. To overcome potential resistance to innovation and the adoption of new products and ways of working, we must demonstrate to customers the value proposition of our products, including increased productivity, reduced costly</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p>
      <w:pPr>
        <w:pStyle w:val="TextBody"/>
        <w:spacing w:before="240" w:after="0"/>
        <w:jc w:val="both"/>
        <w:rPr>
          <w:rFonts w:ascii="Times New Roman" w:hAnsi="Times New Roman"/>
          <w:sz w:val="20"/>
        </w:rPr>
      </w:pPr>
      <w:r>
        <w:rPr>
          <w:rFonts w:ascii="Times New Roman;serif" w:hAnsi="Times New Roman;serif"/>
          <w:b w:val="false"/>
          <w:sz w:val="20"/>
        </w:rPr>
        <w:t>occupational injuries and broadening the pool of potential employees by equalizing workers’ physical capabilities to include older and less physically capable workers.</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Additionally, our product offerings compete in a broad competitive landscape that includes robotics and automation companies that have both directly competing as well as alternative solutions ranging from exoskeletons, collaborative robots, industrial robots, traditional lift-assist equipment and unmanned robotic vehicles. We also view our competitive landscape to include companies who have different but unique product lines in the automation space, such as ABB Robotics, Siasun Robot &amp; Automation, Teradyne and Berkshire Grey. Also included in our broader competitive landscape are robotic solution suppliers, like Rockwell Automation, Honeywell, Keyence Corporation, COGNEX Corporation and Hexagon AB, which may not have a directly competing product today, but which could become competitors through diversification; these companies have existing customer relationships and channels, as well as significant financial and other resources, that could enable them to emerge as formidable competitors in the future.</w:t>
      </w:r>
      <w:r>
        <w:rPr>
          <w:rFonts w:ascii="Times New Roman" w:hAnsi="Times New Roman"/>
          <w:sz w:val="20"/>
        </w:rPr>
        <w:t xml:space="preserve"> </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 following is a breakdown of the competitive landscape for certain of our systems and solutions:</w:t>
      </w:r>
    </w:p>
    <w:p>
      <w:pPr>
        <w:pStyle w:val="TextBody"/>
        <w:spacing w:before="240" w:after="0"/>
        <w:jc w:val="both"/>
        <w:rPr/>
      </w:pPr>
      <w:r>
        <w:rPr/>
        <w: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Our Guardian XM and Guardian XT systems face a varied competitive landscape that includes collaborative robotics companies, such as Kuka, Fanuc, Doosan Robotics and Universal Robotics, as well as automation companies like Teradyne, ABB Robotics, Siasun Robot &amp; Automation, Berkshire Grey, Ready Robotics and OMRON.</w:t>
      </w:r>
    </w:p>
    <w:p>
      <w:pPr>
        <w:pStyle w:val="TextBody"/>
        <w:spacing w:before="240" w:after="0"/>
        <w:jc w:val="both"/>
        <w:rPr/>
      </w:pPr>
      <w:r>
        <w:rPr/>
        <w: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Our Guardian Sea Class competes with robotic arm manipulator companies like Deep Trekker, Nauticus Robotics, Reach Robotics and QYSEA that provide manipulators and grippers for light and working-class ROVs.</w:t>
      </w:r>
    </w:p>
    <w:p>
      <w:pPr>
        <w:pStyle w:val="TextBody"/>
        <w:spacing w:before="240" w:after="0"/>
        <w:jc w:val="both"/>
        <w:rPr/>
      </w:pPr>
      <w:r>
        <w:rPr/>
        <w: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Our Guardian XO competes with robotics and automation solutions that help workers with heavy materials handling, heavy lift-and-transport-assist and overhead assembly type jobs. Principal competitors include Hyundai and Daewoo, who have previously shown powered exoskeleton prototype units, and companies like Cyberdyne, Samsung, Ekso Bionics, Ottobock, Lockheed Martin, SuitX and Levitate who currently sell powered, partial-body exoskeletons or passively-powered, partial-body variants.</w:t>
      </w:r>
    </w:p>
    <w:p>
      <w:pPr>
        <w:pStyle w:val="TextBody"/>
        <w:spacing w:before="240" w:after="0"/>
        <w:jc w:val="both"/>
        <w:rPr/>
      </w:pPr>
      <w:r>
        <w:rPr/>
        <w: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Our vegetation management solution competes indirectly with general purpose mechanical brush clearing solutions like the Mini-Jaraff by Jarraff Industries and the Kershaw SkyTrim product by Progress Rail and modified lift trucks, such as the BIK Boom Truck and Sennebogen, that are marketed for vegetation management.</w:t>
      </w:r>
    </w:p>
    <w:p>
      <w:pPr>
        <w:pStyle w:val="TextBody"/>
        <w:spacing w:before="240" w:after="0"/>
        <w:jc w:val="both"/>
        <w:rPr/>
      </w:pPr>
      <w:r>
        <w:rPr/>
        <w: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We believe our PV panel installation solution will compete with products under development by AES and Bailey Crane. AES, a large utility company, announced in 2021 it was developing an autonomous solar module installation point-solution. Bailey Crane has announced that it is developing a solar panel installation robot that could compete with our solution.</w:t>
      </w:r>
    </w:p>
    <w:p>
      <w:pPr>
        <w:pStyle w:val="TextBody"/>
        <w:spacing w:before="240" w:after="0"/>
        <w:jc w:val="both"/>
        <w:rPr/>
      </w:pPr>
      <w:r>
        <w:rPr/>
        <w:t>•</w:t>
      </w:r>
    </w:p>
    <w:p>
      <w:pPr>
        <w:pStyle w:val="TextBody"/>
        <w:spacing w:before="240" w:after="283"/>
        <w:jc w:val="both"/>
        <w:rPr>
          <w:rFonts w:ascii="Times New Roman;serif" w:hAnsi="Times New Roman;serif"/>
          <w:b w:val="false"/>
          <w:sz w:val="20"/>
        </w:rPr>
      </w:pPr>
      <w:r>
        <w:rPr>
          <w:rFonts w:ascii="Times New Roman;serif" w:hAnsi="Times New Roman;serif"/>
          <w:b w:val="false"/>
          <w:sz w:val="20"/>
        </w:rPr>
        <w:t>Our baggage-handling solution competes with AMR and automated guided vehicle (AGV) products designed for baggage-handling by companies, such as Vanderlande, Addverb Technologies, Alstef Group, Siemens and Lloyd W. Aubry Company, and baggage-loader/unloader systems, such as those provided by Beumer Group and BBHS.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Many of our competitors and potential competitors have products that are commercially available and/or in development. We expect some products currently in development to become commercially available in the next few years. In addition, we compete or may compete with companies that develop artificial intelligence and industrial automation solutions, such as those offered by Hyundai-Boston Dynamics, Grey Matter, Canvas Technology, DroneSense, Intuitive, iRobot, Hahn Robotics, Kuka, Fanuc, Neurala, Ready Robotics, Rethink Robotics and Yaskawa.</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Our competitor base may change or expand as we continue to develop and commercialize our robotic systems and solutions in the future. These or other competitors may develop new technologies or products that provide superior results to customers or are less expensive than our products. Our technologies and products could be rendered obsolete by such developments.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supported through these existing relationships. If we are not able to compete effectively, our business, prospects, financial condition and operating results will be adversely affected.</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addition, because we operate in new and evolving markets, the actions of our competitors could adversely affect our business. Adverse events such as product defects or legal claims with respect to competing or similar products could cause reputational harm to the robotics market as a whole and, accordingly, our business.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left"/>
        <w:rPr/>
      </w:pPr>
      <w:r>
        <w:rPr/>
        <w:t> </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Our financial results may vary significantly from period to period due to fluctuations in our operating costs, product demand and other factors.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expect our period-to-period financial results to vary based on our operating costs and product demand, which we anticipate will fluctuate as the pace at which we continue to design, develop and manufacture robotic systems and solutions, increase production capacity and establish or expand design, research and development, production, sales and service activities and/or facilities fluctuates. Additionally, our revenue from period to period may fluctuate as we identify and investigate areas of demand, adjust volumes and add new product derivatives based on market demand and margin opportunities, develop and introduce new robotic systems and solutions or introduce existing robotic systems and solutions to new markets for the first time, as product sales mix varies and as our product development contract revenue fluctuates. As a result of these factors, we believe that quarter-to-quarter comparisons of our financial results, especially in the short term, are not necessarily meaningful and that these comparisons cannot be relied upon as indicators of future performance. Moreover, our financial results may not meet expectations of equity research analysts, ratings agencies or investors, who may be focused only on quarterly financial results. If any of this occurs, the trading price of our securities could fall substantially, either suddenly or over time, and/or experience significant volatility.</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as well as result in litigation, regulatory action or other risks.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management is responsible for establishing and maintaining adequate internal control over financial reporting designed to provide reasonable assurance regarding the reliability of financial reporting and the preparation of consolidated financial statements for external purposes in accordance with accounting principles generally accepted in the United States (“GAAP”). Our management is likewise required, on a quarterly basis, to evaluate the effectiveness of our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Old Sarcos identified certain accounting errors related to its financial statements. As a result, Old Sarcos management concluded that a material weakness existed in its internal control over financial reporting related to the identification and review of technical issues associated with certain unique, unusual and nonstandard transactions within Old Sarcos’ equity process. As a result of this material weakness, management concluded that its internal control over financial reporting was not effective as of December 31, 2020 and 2021. Management implemented new measures designed to remediate the previously identified material weakness and completed the testing necessary to conclude that the material weakness was remediated as of June 30, 2022.</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(the “SEC Statement”). Following the issuance of the SEC Statement, after consultation with its independent registered public accounting firm, Rotor’s management and its audit committee concluded that, in light of the SEC Statement, it was appropriate to restate the previously issued audited balance sheet as of January 20, 2021 (the “Restatement”). As part of such process, Rotor identified a material weakness in its internal control over financial reporting. As of December 31, 2021, management determined that this material weakness was remediated as the previously issued financial statements were restated and management is now accounting for the Private Placement Warrants in accordance with the SEC Statement.</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a result of these prior material weaknesses, the Restatement, the change in accounting for the Private Placement Warrants and other matters raised or that may in the future be raised by the SEC, we face the potential for litigation or other disputes, which may include claims invoking U.S. federal and state securities laws, contractual claims or other claims.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To mitigate the potential for any future material weaknesses, we continue to devote significant effort and resources to the improvement of our internal control over financial reporting. Any failure to maintain effective internal control over financial reporting could adversely impact our ability to report our financial condition and results of operations on a timely and accurate basis. If our financial statements are not accurate, investors may not have a complete understanding of our operations and could lose confidence in our reported financial information, which could negatively affect the trading price of our Common Stock. In addition, if our financial statements are not filed on a timely basis, we could be subject to sanctions or investigations by Nasdaq, the SEC or other regulatory authorities or to private litigation. As a result, any failure to maintain effective internal control over financial reporting could result in a material adverse effect on our business and the price of our Common Stock.</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If we fail to maintain effective systems of disclosure controls and procedures and internal control over financial reporting, our ability to produce timely and accurate financial statements or comply with applicable regulations could be adversely affected.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expect that the requirements of the Exchange Act, the Sarbanes-Oxley Act and the rules and regulations of Nasdaq will continue to increase our legal, accounting and financial compliance costs, make some activities more difficult, time-consuming and costly, and place significant strain on personnel, systems and resources.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have been integrating our finance and accounting systems following our acquisition of RE2 to a common enterprise system, and a delay or other issues with the integration could impact our ability or prevent us from timely reporting our operating results, timely filing required reports with the SEC and complying with Section 404 of the Sarbanes-Oxley Act. The development and implementation of the standards and controls necessary for us to achieve the level of accounting standards required of a public company have increased and may continue to increase our legal and compliance costs, and such costs may be greater than expected.</w:t>
      </w:r>
    </w:p>
    <w:p>
      <w:pPr>
        <w:pStyle w:val="TextBody"/>
        <w:spacing w:before="0" w:after="0"/>
        <w:jc w:val="both"/>
        <w:rPr>
          <w:rFonts w:ascii="Times New Roman" w:hAnsi="Times New Roman"/>
          <w:sz w:val="20"/>
        </w:rPr>
      </w:pPr>
      <w:r>
        <w:rPr>
          <w:rFonts w:ascii="Times New Roman;serif" w:hAnsi="Times New Roman;serif"/>
          <w:b w:val="false"/>
          <w:sz w:val="20"/>
        </w:rPr>
        <w:t>Our current controls and any new controls that we develop may be inadequate because of changes in conditions of our business or otherwise.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we file with the SEC under Section 404 of the Sarbanes-Oxley Act. Ineffective disclosure controls and procedures and internal control over financial reporting could also cause investors to lose confidence in our reported financial and other information. See "</w:t>
      </w:r>
      <w:r>
        <w:rPr>
          <w:rFonts w:ascii="Times New Roman;serif" w:hAnsi="Times New Roman;serif"/>
          <w:b w:val="false"/>
          <w:i/>
          <w:sz w:val="20"/>
        </w:rPr>
        <w:t>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as well as result in litigation, regulatory action or other risks</w:t>
      </w:r>
      <w:r>
        <w:rPr>
          <w:rFonts w:ascii="Times New Roman;serif" w:hAnsi="Times New Roman;serif"/>
          <w:b w:val="false"/>
          <w:sz w:val="20"/>
        </w:rPr>
        <w:t>."</w:t>
      </w:r>
    </w:p>
    <w:p>
      <w:pPr>
        <w:pStyle w:val="TextBody"/>
        <w:spacing w:before="0" w:after="0"/>
        <w:jc w:val="both"/>
        <w:rPr>
          <w:rFonts w:ascii="Times New Roman" w:hAnsi="Times New Roman"/>
          <w:sz w:val="20"/>
        </w:rPr>
      </w:pPr>
      <w:r>
        <w:rPr>
          <w:rFonts w:ascii="Times New Roman;serif" w:hAnsi="Times New Roman;serif"/>
          <w:b w:val="false"/>
          <w:sz w:val="20"/>
        </w:rPr>
        <w:t>In order to maintain and improve the effectiveness of our disclosure controls and procedures and internal control over financial reporting, we expect to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operating costs and could materially and adversely affect our ability to operate our business. If our internal controls are or are perceived to be inadequate or if we are or are perceived to be unable to produce timely or accurate financial statements, investors may lose confidence in our operating results and the trading price of our securities could decline.</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 Any failure to maintain effective disclosure controls and procedures and internal control over financial reporting could have a material and adverse effect on our business, prospects, financial condition and operating results.</w:t>
      </w:r>
    </w:p>
    <w:p>
      <w:pPr>
        <w:pStyle w:val="TextBody"/>
        <w:spacing w:before="0" w:after="0"/>
        <w:jc w:val="both"/>
        <w:rPr>
          <w:rFonts w:ascii="Times New Roman;serif" w:hAnsi="Times New Roman;serif"/>
          <w:b/>
          <w:i/>
          <w:sz w:val="20"/>
        </w:rPr>
      </w:pPr>
      <w:r>
        <w:rPr>
          <w:rFonts w:ascii="Times New Roman;serif" w:hAnsi="Times New Roman;serif"/>
          <w:b/>
          <w:i/>
          <w:sz w:val="20"/>
        </w:rPr>
        <w:t>We are or may be subject to risks associated with strategic alliances or acquisitions and may not be able to identify adequate strategic relationship opportunities, or form strategic relationships, in the future.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may seek to enter into strategic alliances, joint ventures, minority equity investments, acquisitions, collaborations and in-license arrangements. There is no guarantee that any of these partnerships or acquisitions would lead to any binding agreements or lasting or successful business relationships with third parties or that any of the other anticipated benefits will be achieved. If any of these relationships are established, they may subject us to a number of risks, including risks associated with sharing proprietary information, non-performance by the third-party and increased expenses in establishing new relationships, any of which could materially and adversely affect our business. We may have limited ability to monitor or control the actions of these third parties and, to the extent any of these strategic partners suffers negative publicity or harm to their reputation from events relating to their business, we may also suffer negative publicity or harm to our reputation by virtue of our association with any such third-party.</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expect that strategic business relationships will be an important factor in the growth and success of our business. However, we may not be able to identify or secure suitable business relationship opportunities in the future or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When appropriate opportunities arise, we have in the past, and may in the future acquire additional assets, products, technologies or businesses that are complementary to our existing business. From time to time, the sellers of these assets, products and technologies or businesses may retain certain rights to the technology that they sell to us, which in some circumstances could allow the sellers to compete with us. In addition to possible stockholder approval, we may need approvals and licenses from relevant government authorities for acquisitions and to comply with any applicable laws and regulations, which could result in delays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and financial results.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For example, as discussed in this Report, we recently determined that all of our goodwill, which was the result of our acquisition of RE2, was impaired. Moreover, the costs of identifying and consummating acquisitions may be significant.</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Our ability to use net operating loss carryforwards and other tax attributes may be limited in connection with the Business Combination or other ownership changes.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have incurred losses during our history and do not expect to become profitable in the near future, and we may never achieve profitability. To the extent that we continue to generate tax losses, unused losses will carry forward to offset future taxable income, if any, until such unused losses expire.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Under the Tax Cuts and Jobs Act of 2017 (the Tax Act), as modified by the Coronavirus Aid, Relief and Economic Security Act of 2020 (the CARES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Tax Act or the CARES Act. Suspensions or other restrictions on the use of net operating losses or tax credits, possibly with retroactive effect, may result in our existing net operating losses or tax credits expiring or otherwise being unavailable to offset future income tax liabilities.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addition, our net operating loss carryforwards are subject to review and possible adjustment by the Internal Revenue Service and state tax authorities. Under Sections 382 and 383 of the Internal Revenue Code of 1986, as amended (the “Code”), these U.S. federal net operating loss carryforwards and other tax attributes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net operating loss carryforwards and other tax attributes to offset future taxable income or tax liabilities may be limited as a result of ownership changes, including changes from the Business Combination or other transactions. Similar rules may apply under state tax laws. We have not yet determined the amount of the cumulative change in our ownership resulting from the Business Combination or other transactions, or any resulting limitations on our ability to utilize our net operating loss carryforwards and other tax attributes. If we earn taxable income, such limitations could result in increased future income tax liability to us and our future cash flows could be adversely affected. We have recorded a full valuation allowance related to our net operating loss carryforwards and other deferred tax assets due to the uncertainty of the ultimate realization of the future benefits of those assets.</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We expect to incur substantial research and development costs and devote significant resources to identifying and commercializing new products, which could significantly reduce our profitability and may never result in revenue.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future growth depends on penetrating new markets, adapting existing products to new applications and customer requirements and introducing new products that achieve market acceptance. We plan to incur substantial, and potentially increasing, research and development costs as part of our efforts to design, develop, manufacture and commercialize new products and enhance existing products. Our research and development expenses were $9.4 million for the three months ended March 31, 2023, and $34.1 million for the year ended December 31, 2022. We currently expect research and development expenses to decrease slightly during 2023 as we continue to develop and refine our existing products and develop new products and software, though these expenses may increase in the long term. Our research and development program may not produce successful results, and our new products may not achieve market acceptance, create additional revenue or become profitable.</w:t>
      </w:r>
    </w:p>
    <w:p>
      <w:pPr>
        <w:pStyle w:val="TextBody"/>
        <w:spacing w:before="0" w:after="0"/>
        <w:jc w:val="both"/>
        <w:rPr>
          <w:rFonts w:ascii="Times New Roman" w:hAnsi="Times New Roman"/>
          <w:sz w:val="20"/>
        </w:rPr>
      </w:pPr>
      <w:r>
        <w:rPr>
          <w:rFonts w:ascii="Times New Roman;serif" w:hAnsi="Times New Roman;serif"/>
          <w:b/>
          <w:i/>
          <w:sz w:val="20"/>
        </w:rPr>
        <w:t>We are subject to evolving laws, regulations, standards, policies and contractual obligations related to data privacy and security, and our actual or perceived failure to comply with such obligations could harm our reputation, subject us to significant fines and liability or otherwise adversely affect our business, prospects, financial condition and operating results.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retention, protection, use, processing, transmission, sharing and disclosure of personal information, including that of our employees, customers and others. Many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or incident. Such mandatory disclosures are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w:t>
      </w:r>
    </w:p>
    <w:p>
      <w:pPr>
        <w:pStyle w:val="TextBody"/>
        <w:spacing w:before="0" w:after="0"/>
        <w:jc w:val="both"/>
        <w:rPr>
          <w:rFonts w:ascii="Times New Roman" w:hAnsi="Times New Roman"/>
          <w:sz w:val="20"/>
        </w:rPr>
      </w:pPr>
      <w:r>
        <w:rPr>
          <w:rFonts w:ascii="Times New Roman;serif" w:hAnsi="Times New Roman;serif"/>
          <w:b w:val="false"/>
          <w:sz w:val="20"/>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requires covered businesses to provide new disclosures to California residents, provide them new ways to opt-out of certain disclosures of personal information, and allow for a new cause of action for data breaches. Additionally, a new privacy law, the California Privacy Rights Act (“CPRA”), was approved by California voters in the November 3, 2020 election. The CPRA created obligations relating to consumer data beginning on January 1, 2022, with enforcement anticipated to commence on July 1, 2023. The CPRA significantly modifies the CCPA, potentially resulting in further uncertainty. Some observers have noted that the CCPA could mark the beginning of a trend toward more stringent privacy legislation in the United States. Other states have begun to propose and enact similar laws. For example, Virginia has enacted the Virginia Consumer Data Protection Act, which went into effect January 1, 2023, Colorado has enacted the Colorado Privacy Act, which takes effect on July 1, 2023, Utah has enacted the Utah Consumer Privacy Act, which will go into effect on December 31, 2023, and Connecticut has enacted An Act Concerning Personal Data Privacy and Online Monitoring, which will go into effect on July 1, 2023. The U.S. federal government also is contemplating federal privacy legislation. These laws in Virginia, Colorado, Utah, and Connecticut share similarities with the CCPA, CPRA, and legislation proposed in other states.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are significantly more stringent than those currently enforced in the United States. The GDPR requires companies to meet stringent requirements regarding the handling of personal data of individuals located in the European Economic Area.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which it maintains along with its Data Protection Act,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comply with such policies and other actual or asserted legal or contractual obligations relating to privacy, data protection or data security.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Any actual or perceived inability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or liabilities. Any such claims or other proceedings could be expensive and time-consuming to defend and could result in adverse publicity. Any of the foregoing may have an adverse effect on our business, prospects, results of operations, and financial condition.</w:t>
      </w:r>
    </w:p>
    <w:p>
      <w:pPr>
        <w:pStyle w:val="TextBody"/>
        <w:spacing w:before="0" w:after="0"/>
        <w:jc w:val="both"/>
        <w:rPr>
          <w:rFonts w:ascii="Times New Roman" w:hAnsi="Times New Roman"/>
          <w:sz w:val="20"/>
        </w:rPr>
      </w:pPr>
      <w:r>
        <w:rPr>
          <w:rFonts w:ascii="Times New Roman;serif" w:hAnsi="Times New Roman;serif"/>
          <w:b/>
          <w:i/>
          <w:sz w:val="20"/>
        </w:rPr>
        <w:t>We are subject to cybersecurity risks to our operational systems, security systems, infrastructure, integrated software in our products and data processed by us or third-party vendors.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have been and may in the future be a target for cybersecurity attacks designed to disrupt our operations or to attempt to gain access to our systems, data processed or maintained in our business, trade secrets or other proprietary information or financial resources. Many of our employees work remotely which has increased security risks. In addition, the risk of state-supported and geopolitical-related cybersecurity attacks is believed to be heightened in connection with the war in Ukraine and any related political or economic responses and counter-responses. Further, attackers have used artificial intelligence and machine learning to launch more automated, targeted and coordinated attacks against their targets.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transmission control modules or other in-product technology, owned by us or our third-party vendors or suppliers; (d) the integrated software in our systems; and (e) customer data that we process or our third-party vendors or suppliers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we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in-product technology and the integrated software in our systems. Certain efforts may be state-sponsored or supported by significant financial and technological resources, making them even more difficult to detect, remediate and otherwise respond to.</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and other malicious code, social engineering schemes, insider theft or misuse or other attempts to harm our systems. We intend to use our product services and functionality to log information about each system’s use in order to aid us in diagnostics and servicing. Our customers may object to the use of this data, which may require us to implement new or modified data handling policies and mechanisms, increase our system maintenance costs and costs associated with data processing and handling, and harm our business prospects.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Although we have implemented and are in the process of implementing additional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cyberattacks or security breaches or incidents, and third parties may be able to access data, including personal data and other sensitive and proprietary data of us and our customers, collaborators and partners, our employees’ personal data or other sensitive and proprietary data accessible through those systems, or such data otherwise may be subject to unauthorized use, disclosure, unavailability, modification or other processing. Employee error, malfeasance or other errors in the storage, use or transmission of any of these types of data could result in an actual or perceived privacy or security breach or other security incident.</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systems and solutions,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pStyle w:val="TextBody"/>
        <w:spacing w:before="0" w:after="0"/>
        <w:jc w:val="both"/>
        <w:rPr>
          <w:rFonts w:ascii="Times New Roman" w:hAnsi="Times New Roman"/>
          <w:sz w:val="20"/>
        </w:rPr>
      </w:pPr>
      <w:r>
        <w:rPr>
          <w:rFonts w:ascii="Times New Roman;serif" w:hAnsi="Times New Roman;serif"/>
          <w:b w:val="false"/>
          <w:sz w:val="20"/>
        </w:rPr>
        <w:t>Any actual or perceived security breach or security incident, or any systems outages or other disruption to systems used in our business, could interrupt our operations, result in loss or improper access to, or acquisition, unavailability, modification, disclosure or other processing of, data or a loss of intellectual property protection, harm our reputation and competitive position, reduce demand for our products, damage our relationships with customers, partners, collaborators or others or result in claims, regulatory investigations and proceedings and significant legal, regulatory and financial exposure, and any such incidents or any perception that our security measures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pStyle w:val="TextBody"/>
        <w:spacing w:before="0" w:after="0"/>
        <w:jc w:val="both"/>
        <w:rPr>
          <w:rFonts w:ascii="Times New Roman" w:hAnsi="Times New Roman"/>
          <w:sz w:val="20"/>
        </w:rPr>
      </w:pPr>
      <w:r>
        <w:rPr>
          <w:rFonts w:ascii="Times New Roman;serif" w:hAnsi="Times New Roman;serif"/>
          <w:b/>
          <w:i/>
          <w:sz w:val="20"/>
        </w:rPr>
        <w:t>A substantial portion of our current revenue is generated by sales to government entities, which are subject to a number of uncertainties, challenges and risks.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Sales to government entities are subject to a number of risks. Selling to government entities can be highly competitive, expensive and time-consuming, often requiring significant upfront time and expense without any assurance that these efforts will generate a sale. In the event that we are successful in being awarded a government contract, such award may be subject to appeals, disputes or litigation, including bid protests by unsuccessful bidders. Government demand and payment for our solutions may be impacted by public sector budgetary cycles and funding authorizations, with funding reductions or delays adversely affecting public sector demand for our solutions. Government entities may have statutory, contractual or other legal rights to terminate our contracts for convenience or default. For purchases by the U.S. federal government, the government may require certain products to be manufactured in the United States and other high cost manufacturing locations, and we or any third-party manufacturers may not manufacture all products in locations that meet government requirements, and as a result, our business and results of operations may suffer.</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U.S. governmental agencies, such as the Defense Contract Audit Agency and the Defense Contract Management Agency, routinely audit and investigate government contractors. In addition,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our products to our government customers. These laws and regulations may impose other added costs on our business, and failure to comply with these or other applicable regulations and requirements, including non-compliance in the past, could lead to claims for damages, downward contract price adjustments or refund obligations, civil or criminal penalties,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prospects, financial condition and operating results.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We are subject to U.S. and foreign anti-corruption and anti-money laundering laws and regulations. We can face criminal liability and other serious consequences for violations of these laws, which can harm our business, prospects, financial condition and operating results.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We are subject to the U.S. Foreign Corrupt Practices Act of 1977, as amended (FCPA), the U.S. domestic bribery statute contained in 18 U.S.C. § 201, the U.S. Travel Act, and other anti-corruption, anti-bribery and anti-money laundering laws, including those of other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have direct and indirect interactions with foreign officials, including in furtherance of sales to governmental entities in non-U.S. countries. We sometimes leverage third parties to conduct our business abroad, and our third-party business partners, intermediaries, representatives and agents may have direct or indirect interactions with officials and employees of government agencies or state-owned or affiliated entities. We can be held liable for the corrupt or other illegal activities of our employees or these third-parties,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our employees, business partners, third-party intermediaries, representatives and agents may take actions in violation of our policies and applicable law, for which we may be ultimately held responsible. Our exposure for violating these laws increases as our international presence expands and as we increase sales and operations in foreign jurisdictions.</w:t>
      </w:r>
    </w:p>
    <w:p>
      <w:pPr>
        <w:pStyle w:val="TextBody"/>
        <w:spacing w:before="0" w:after="0"/>
        <w:jc w:val="both"/>
        <w:rPr>
          <w:rFonts w:ascii="Times New Roman" w:hAnsi="Times New Roman"/>
          <w:sz w:val="20"/>
        </w:rPr>
      </w:pPr>
      <w:r>
        <w:rPr>
          <w:rFonts w:ascii="Times New Roman;serif" w:hAnsi="Times New Roman;serif"/>
          <w:b w:val="false"/>
          <w:sz w:val="20"/>
        </w:rPr>
        <w:t>Any allegations or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financial condition and operating results. In addition, responding to any investigation or action will likely result in a significant diversion of management’s attention and resources and significant defense costs and other professional fees.</w:t>
      </w:r>
    </w:p>
    <w:p>
      <w:pPr>
        <w:pStyle w:val="TextBody"/>
        <w:spacing w:before="0" w:after="0"/>
        <w:jc w:val="both"/>
        <w:rPr>
          <w:rFonts w:ascii="Times New Roman;serif" w:hAnsi="Times New Roman;serif"/>
          <w:b/>
          <w:i/>
          <w:sz w:val="20"/>
        </w:rPr>
      </w:pPr>
      <w:r>
        <w:rPr>
          <w:rFonts w:ascii="Times New Roman;serif" w:hAnsi="Times New Roman;serif"/>
          <w:b/>
          <w:i/>
          <w:sz w:val="20"/>
        </w:rPr>
        <w:t>We are subject to governmental export and import controls and laws that could subject us to liability if we are not in compliance with such laws.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products and technology are subject to compliance with any applicable export control, import and economic sanctions laws and regulations, including the U.S. Export Administration Regulations, U.S. International Traffic in Arms Regulations, U.S. Customs regulations and various economic and trade sanctions regulations administered by the U.S. Treasury Department’s Office of Foreign Assets Control. Exports of our robotic systems and solutions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debarment from U.S. government contracting; fines, which may be imposed on us and responsible employees or managers; and, in extreme cases, the incarceration of responsible employees or managers.</w:t>
      </w:r>
    </w:p>
    <w:p>
      <w:pPr>
        <w:pStyle w:val="TextBody"/>
        <w:spacing w:before="0" w:after="0"/>
        <w:jc w:val="both"/>
        <w:rPr>
          <w:rFonts w:ascii="Times New Roman" w:hAnsi="Times New Roman"/>
          <w:sz w:val="20"/>
        </w:rPr>
      </w:pPr>
      <w:r>
        <w:rPr>
          <w:rFonts w:ascii="Times New Roman;serif" w:hAnsi="Times New Roman;serif"/>
          <w:b w:val="false"/>
          <w:sz w:val="20"/>
        </w:rPr>
        <w:t>Moreover, international sales of certain of our products may be subject to first obtaining licenses, clearances or authorizations from various regulatory entities. If we are not allowed to export our products or the clearance process is burdensome and costly, our ability to generate revenue would be adversely affected.</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addition, changes to our robotic systems and solutions, or changes in applicable export control, import or economic sanctions laws and regulations may create delays in the introduction and sale of our robotic systems and solutions, constrain collaboration with suppliers or other business partners or, in some cases, prevent the export or import of our robotic systems and solutions to certain countries, governments or persons altogether. Compliance with such laws and regulations may also be costly and require time and attention from our management.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robotic systems and solutions, as well as our decreased ability to export or market our robotic systems and solutions to potential customers. Any decreased use of our robotic systems and solutions or limitation on our ability to export or market our robotic systems and solutions would likely adversely affect our business, prospects, financial condition and operating results.</w:t>
      </w:r>
    </w:p>
    <w:p>
      <w:pPr>
        <w:pStyle w:val="TextBody"/>
        <w:spacing w:before="0" w:after="0"/>
        <w:jc w:val="both"/>
        <w:rPr>
          <w:rFonts w:ascii="Times New Roman" w:hAnsi="Times New Roman"/>
          <w:sz w:val="20"/>
        </w:rPr>
      </w:pPr>
      <w:r>
        <w:rPr>
          <w:rFonts w:ascii="Times New Roman;serif" w:hAnsi="Times New Roman;serif"/>
          <w:b/>
          <w:i/>
          <w:sz w:val="20"/>
        </w:rPr>
        <w:t>Our management team has broad discretion in making strategic decisions to execute our growth plans, and our management’s decisions may not be successful in achieving our business objectives or may have unintended consequences that negatively impact our growth prospects.</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management has broad discretion in making strategic decisions to execute our growth plans and may devote time and company resources to new or expanded solution offerings, potential acquisitions, prospective customers or other initiatives that do not necessarily improve our operating results or contribute to our growth. Management’s failure to make strategic decisions that are ultimately accretive to our growth may result in unfavorable returns and uncertainty about our prospects, each of which could cause the price of our Common Stock to decline.</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We may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may be subject to claims, lawsuits, arbitration proceedings, government investigations and other legal, regulatory and administrative proceedings. In addition, we may be subject to the heightened scrutiny that is sometimes directed toward companies taken public via a business combination with a special purpose acquisition company. The outcome of any such claims, investigations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Further, under certain circumstances we may have contractual or other legal obligations to indemnify and to incur legal expenses on behalf of investors, directors, officers employees, customers, vendors or other third-parties. For example, our Amended and Restated Bylaws (the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do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Changes in tax laws could have a material adverse effect on our business, cash flows, results of operations or financial condition.</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are subject to the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many countries and local jurisdictions and organizations such as the Organization for Economic Cooperation and Development have proposed or implemented new tax laws or changes to existing tax laws, including additional taxes on payroll or employees. Any new tax laws or changes to existing tax laws could adversely affect our effective tax rate, operating results, tax credits or incentives or tax payments, which could have a material adverse effect on our business, cash flows, results of operations or financial condition.</w:t>
      </w:r>
    </w:p>
    <w:p>
      <w:pPr>
        <w:pStyle w:val="TextBody"/>
        <w:spacing w:before="0" w:after="0"/>
        <w:jc w:val="both"/>
        <w:rPr>
          <w:rFonts w:ascii="Times New Roman;serif" w:hAnsi="Times New Roman;serif"/>
          <w:b/>
          <w:i/>
          <w:sz w:val="20"/>
        </w:rPr>
      </w:pPr>
      <w:r>
        <w:rPr>
          <w:rFonts w:ascii="Times New Roman;serif" w:hAnsi="Times New Roman;serif"/>
          <w:b/>
          <w:i/>
          <w:sz w:val="20"/>
        </w:rPr>
        <w:t>Environmental costs and regulation, including in relation to climate change, could adversely affect our future earnings as well as the affordability of our products and services.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are subject to federal, state, local and foreign requirements for the protection of the environment, including those for discharge of hazardous materials and remediation of contaminated sites. We may become subject to various lawsuits, proceedings and remediation obligations. These types of matters could result in fines, penalties, cost reimbursements or contributions, compensatory or treble damages or non-monetary sanctions or relief. These costs may increase significantly because of future acquisitions, the regulation of new substances, stricter remediation standards for existing regulated substances, changes in the interpretation or enforcement of existing laws and regulations or the discovery of previously unknown or more extensive contamination or new contaminants, which could adversely affect our business, results of operations or financial results.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addition, future regulations in response to global climate change may affect us, our suppliers, and our customers. Such regulations could cause us to incur additional direct costs for compliance, as well as increased indirect costs resulting from our customers, suppliers or both incurring additional compliance costs that are passed on to us. Future environmental regulations could result in decreased demand for our products. If we fail to comply with current and future regulations, or are required to perform site remediation, we could be subject to future liabilities or cost, including penalties or the suspension of production. Current and future regulations may also:</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restrict our ability to expand facilities;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restrict our ability to ship certain products;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require us to modify our operations logistics;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require us to acquire costly equipment; or</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require us to incur other significant costs and expenses.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addition to incurring direct costs to implement any climate-change related laws, regulations or policies, we may see indirect costs rise, such as increased energy or material costs, as a result of policies affecting other sectors of the economy. Although most of these increased costs likely would be recoverable through pricing, to the extent that the increase in our costs as a result of these policies are greater than our competitors we may be less competitive on future bids or the total increased cost in our products and services could result in lower demand from our customers. We cannot accurately predict the materiality of any potential costs associated with such developments. In addition, climate change-related litigation and investigations have increased in recent years and any claims or investigations against us could be costly to defend and our business could be adversely affected by the outcome.</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Adverse events or perceptions affecting the financial services industry could adversely affect our operating results, liquidity, financial condition and prospects.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on March 10, 2023, Silicon Valley Bank, or SVB was closed and placed in receivership. Subsequently, additional financial institutions have been placed into receivership. We did not hold cash deposits or other accounts with SVB and did not, and as of the date of this Report do not, otherwise have a direct business relationship with SVB or similarly situation financial institutions. The bulk of our financial assets, including our cash and investments in U.S. government securities, are held and managed within Bank of America and its affiliates (including Merrill Lynch). However, companies that did have a business relationship with SVB faced:</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delayed access to deposits or other financial assets or the uninsured loss of deposits or other financial assets;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loss of access to existing revolving credit facilities or other working capital sources or the inability to refund, roll over or extend the maturity of, or enter into new credit facilities or other working capital resources;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potential or actual breach of obligations, including U.S. federal and state wage laws and contracts that required them to maintain letters of credit or other credit support arrangements; and</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termination of cash management arrangements or delays in accessing or actual loss of funds subject to cash management arrangements.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may be unable to access such sources of liquidity. There is no guarantee that the U.S. government will intervene to provide access to uninsured funds in the future in the event of failure of other financial institutions, or that they would do so in a timely fashion. In such an event, parties with which we have commercial agreements, including customers and suppliers, may be unable to satisfy their obligations to us or enter into new commercial arrangements with us.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Any of these risks could materially impact our operating results, liquidity, financial condition and prospects.</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Risks Related to Our Technology and Intellectual Property</w:t>
      </w:r>
    </w:p>
    <w:p>
      <w:pPr>
        <w:pStyle w:val="TextBody"/>
        <w:spacing w:before="0" w:after="0"/>
        <w:jc w:val="both"/>
        <w:rPr>
          <w:rFonts w:ascii="Times New Roman;serif" w:hAnsi="Times New Roman;serif"/>
          <w:b/>
          <w:i/>
          <w:sz w:val="20"/>
        </w:rPr>
      </w:pPr>
      <w:r>
        <w:rPr>
          <w:rFonts w:ascii="Times New Roman;serif" w:hAnsi="Times New Roman;serif"/>
          <w:b/>
          <w:i/>
          <w:sz w:val="20"/>
        </w:rPr>
        <w:t>Our success depends in part on our ability to obtain and maintain protection for the intellectual property relating to or incorporated into our products.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success depends in part on our ability to obtain and maintain protection for the intellectual property relating to or incorporated into our products. We seek to protect our intellectual property through a combination of patents, trademarks and other intellectual property rights, as well as confidentiality and/or intellectual property assignment agreements with our employees and certain of our contractors, consultants, scientific advisors and other vendors and third-parties. In addition, we rely on trade secret law to protect our proprietary software and product candidates/products in development.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Patent positions covering robotic systems and solutions and human-augmented robotic systems and solutions (e.g., wearable humanoid or exoskeleton robotic systems) inventions can be highly uncertain and involve many new and evolving complex legal, factual and technical issues. Patent laws and interpretations of those laws are subject to change and any such changes may diminish the value of our patents or narrow the scope of our right to exclude others. In addition, we may fail to apply for or be unable to obtain patents necessary to protect our technology or products from competition or fail to enforce our patents due to lack of information about the exact use of technology or processes by third parties or for a variety of other reasons. Also, we cannot be sure that any patents will be granted in a timely manner or at all with respect to any of our pending patent applications or that any patents that are granted will be adequate to exclude others for any significant period of time or at all. Given the foregoing, and in order to continue reducing operational expenses in the future, we may invest fewer resources in filing and prosecuting new patents and on maintaining and enforcing various patents, especially in regions where we currently do not focus our market growth strategy.</w:t>
      </w:r>
    </w:p>
    <w:p>
      <w:pPr>
        <w:pStyle w:val="TextBody"/>
        <w:spacing w:before="0" w:after="0"/>
        <w:jc w:val="both"/>
        <w:rPr>
          <w:rFonts w:ascii="Times New Roman;serif" w:hAnsi="Times New Roman;serif"/>
          <w:b w:val="false"/>
          <w:sz w:val="20"/>
        </w:rPr>
      </w:pPr>
      <w:r>
        <w:rPr>
          <w:rFonts w:ascii="Times New Roman;serif" w:hAnsi="Times New Roman;serif"/>
          <w:b w:val="false"/>
          <w:sz w:val="20"/>
        </w:rPr>
        <w:t>Litigation to establish or challenge the validity of patents, or to defend against or assert against others’ infringement, unauthorized use, enforceability or invalidity, can be lengthy and expensive and may result in our patents being invalidated or interpreted narrowly and may restrict our ability to be granted new patents related to our pending patent applications. Even if we prevail, litigation may be time consuming, force us to incur significant costs and divert management’s attention from managing our business while any damages or other remedies awarded to us may not be valuable or adequate. In addition, U.S. patents and patent applications may be subject to interference or derivation proceedings, and U.S. patents may be subject to re-examination and inter partes or post grant review proceedings in the U.S. Patent and Trademark Office. Furthermore, our issued patents may be subject to claims of invalidity based on earlier filed patents or published applications not discovered in any patent searches or by the patent offices that carried out examination of the issued patents. Foreign patents may also be subject to opposition or comparable proceedings in corresponding foreign patent offices. Any of these proceedings may be expensive and could result in the loss of a patent or denial of a patent application, or the loss or reduction in the scope of one or more of the claims of a patent or patent application.</w:t>
      </w:r>
    </w:p>
    <w:p>
      <w:pPr>
        <w:pStyle w:val="TextBody"/>
        <w:spacing w:before="0" w:after="0"/>
        <w:jc w:val="both"/>
        <w:rPr>
          <w:rFonts w:ascii="Times New Roman" w:hAnsi="Times New Roman"/>
          <w:sz w:val="20"/>
        </w:rPr>
      </w:pPr>
      <w:r>
        <w:rPr>
          <w:rFonts w:ascii="Times New Roman;serif" w:hAnsi="Times New Roman;serif"/>
          <w:b w:val="false"/>
          <w:sz w:val="20"/>
        </w:rPr>
        <w:t>In addition, we seek to protect our trade secrets, know-how, and confidential information that is not patentable or for which we decide not to seek a patent by entering into confidentiality and intellectual property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or is using our trade secrets without authorization may be expensive and time consuming, and the outcome is unpredictable. Some of our employees or consultants or service providers may own certain technology which they license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to us for a set term. If these technologies are material to our business after the term of the license, our inability to use them could adversely affect our business and profitability.</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also have taken and continue to take precautions to initiate safeguards to protect our information technology systems. However, these measures may not be adequate to safeguard our proprietary information, which could lead to the loss or impairment thereof or to expensive litigation to defend our rights against competitors who may be better funded and have superior resources. In addition, unauthorized parties may attempt to copy or reverse engineer certain aspects of our products that we consider proprietary or our proprietary information may otherwise become known or may be independently developed by our competitors or other third parties. If other parties are able to use our proprietary technology or information, our ability to compete in the market could be harmed. Further, unauthorized use of our intellectual property may have occurred, or may occur in the future, without our knowledge.</w:t>
      </w:r>
    </w:p>
    <w:p>
      <w:pPr>
        <w:pStyle w:val="TextBody"/>
        <w:spacing w:before="0" w:after="0"/>
        <w:jc w:val="both"/>
        <w:rPr>
          <w:rFonts w:ascii="Times New Roman" w:hAnsi="Times New Roman"/>
          <w:sz w:val="20"/>
        </w:rPr>
      </w:pPr>
      <w:r>
        <w:rPr>
          <w:rFonts w:ascii="Times New Roman;serif" w:hAnsi="Times New Roman;serif"/>
          <w:b w:val="false"/>
          <w:sz w:val="20"/>
        </w:rPr>
        <w:t>We also have made efforts to register and enforce our trademark rights. However, trademark law and the associated infringement analysis is complex, and, notwithstanding our efforts to develop and enforce our trademark portfolio, both outgoing and incoming claims of trademark infringement could lead to limitations, loss or impairment of those trademark rights or to expensive litigation to prosecute or defend our trademark rights against third-party infringers who may be better funded and have superior resources.</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If we are unable to obtain or maintain adequate protection for our intellectual property, or if any protection is reduced or eliminated, competitors may be able to use our technologies, resulting in harm to our competitive position and our business.</w:t>
      </w:r>
    </w:p>
    <w:p>
      <w:pPr>
        <w:pStyle w:val="TextBody"/>
        <w:spacing w:before="0" w:after="0"/>
        <w:jc w:val="both"/>
        <w:rPr>
          <w:rFonts w:ascii="Times New Roman;serif" w:hAnsi="Times New Roman;serif"/>
          <w:b/>
          <w:i/>
          <w:sz w:val="20"/>
        </w:rPr>
      </w:pPr>
      <w:r>
        <w:rPr>
          <w:rFonts w:ascii="Times New Roman;serif" w:hAnsi="Times New Roman;serif"/>
          <w:b/>
          <w:i/>
          <w:sz w:val="20"/>
        </w:rPr>
        <w:t>We may not be able to protect our intellectual property rights in all countries.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Filing, prosecuting, maintaining and defending patents and trademarks on each of our products and intellectual property in all countries throughout the world would be prohibitively expensive and time consuming, and thus our intellectual property rights outside the United States are limited. In addition, the laws of some foreign countries, especially developing countries, such as China,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 Consequently, we are unable to prevent third parties from using our inventions in all countries, or from selling or importing products made using our inventions in the jurisdictions in which we do not have (or are unable to effectively enforce) patent protection. Competitors may use our technologies in jurisdictions where they have not obtained patent protection to develop, market or otherwise commercialize their own products, and we may be unable to prevent those competitors from importing those infringing products into territories where we have patent protection, but enforcement may not be as strong as in the United States. These products may compete with our products and our patents and other intellectual property rights may not be effective or sufficient to prevent them from competing in those jurisdictions. Moreover, strategic partners, competitors or others may raise legal challenges against our intellectual property rights or may infringe upon our intellectual property rights, including through means that may be difficult to detect or prevent.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pStyle w:val="TextBody"/>
        <w:spacing w:before="0" w:after="0"/>
        <w:jc w:val="both"/>
        <w:rPr>
          <w:rFonts w:ascii="Times New Roman;serif" w:hAnsi="Times New Roman;serif"/>
          <w:b/>
          <w:i/>
          <w:sz w:val="20"/>
        </w:rPr>
      </w:pPr>
      <w:r>
        <w:rPr>
          <w:rFonts w:ascii="Times New Roman;serif" w:hAnsi="Times New Roman;serif"/>
          <w:b/>
          <w:i/>
          <w:sz w:val="20"/>
        </w:rPr>
        <w:t>We may be subject to intellectual property infringement claims or misappropriation claims, which may be time consuming and expensive and, if adversely determined, could limit our ability to commercialize our products.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Companies operating in the robotics industry may face difficulty enforcing their patent and other intellectual property rights and may become subject to a substantial amount of litigation over these rights. In particular, our competitors in both the United States and abroad, many of which have substantially greater resources than we have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pStyle w:val="TextBody"/>
        <w:spacing w:before="0" w:after="0"/>
        <w:jc w:val="both"/>
        <w:rPr>
          <w:rFonts w:ascii="Times New Roman" w:hAnsi="Times New Roman"/>
          <w:sz w:val="20"/>
        </w:rPr>
      </w:pPr>
      <w:r>
        <w:rPr>
          <w:rFonts w:ascii="Times New Roman;serif" w:hAnsi="Times New Roman;serif"/>
          <w:b w:val="false"/>
          <w:sz w:val="20"/>
        </w:rPr>
        <w:t>Determining whether a product infringes a patent involves complex legal and factual issues and the outcome of patent litigation is often uncertain. No assurance can be given that patents containing claims covering our products, technology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published applications that initially do not appear to be problematic may issue with claims that potentially cover our products, technology or methods. Moreover, there may be pending, published or allowed applications that</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may disclose, but not claim, subject matter covering our products, technology or methods, where such pending or published applications may be amended, or one or more continuation or divisional applications may be filed, in an attempt to capture, to the extent possible, such products, technology or methods that are in the public domain, and which may result in issued patents that our current or future products infringe.</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Infringement actions and other intellectual property claims brought against us, whether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infringing products, unless we can obtain a license to use the technology covered by such patents or can redesign our products so that they do not infringe. A license may not be available on commercially reasonable terms or at all, and we may not be able to redesign our products to avoid infringement. In these circumstances, we may not be able to sell our products at competitive prices or at all, and our business, prospects, financial condition and operating results could be harmed.</w:t>
      </w:r>
    </w:p>
    <w:p>
      <w:pPr>
        <w:pStyle w:val="TextBody"/>
        <w:spacing w:before="0" w:after="0"/>
        <w:jc w:val="both"/>
        <w:rPr>
          <w:rFonts w:ascii="Times New Roman;serif" w:hAnsi="Times New Roman;serif"/>
          <w:b/>
          <w:i/>
          <w:sz w:val="20"/>
        </w:rPr>
      </w:pPr>
      <w:r>
        <w:rPr>
          <w:rFonts w:ascii="Times New Roman;serif" w:hAnsi="Times New Roman;serif"/>
          <w:b/>
          <w:i/>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may include a non-exclusive, non-transferable, irrevocable worldwide license to use inventions for any governmental purpose. In addition, the U.S. government may have the right, under certain limited circumstances, to require us to grant exclusive, partially exclusive, or non-exclusive licenses to any of these inventions to a third party if the U.S. government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future intellectual property rights that are generated through the use of U.S. government funding or grants, we could be forced to license or sublicense intellectual property we developed or that we license on terms unfavorable to us, and there can be no assurance that we would receive compensation from the U.S. government for the exercise of such rights. The U.S. government may also have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spacing w:before="0" w:after="0"/>
        <w:jc w:val="both"/>
        <w:rPr>
          <w:rFonts w:ascii="Times New Roman;serif" w:hAnsi="Times New Roman;serif"/>
          <w:b/>
          <w:i/>
          <w:sz w:val="20"/>
        </w:rPr>
      </w:pPr>
      <w:r>
        <w:rPr>
          <w:rFonts w:ascii="Times New Roman;serif" w:hAnsi="Times New Roman;serif"/>
          <w:b/>
          <w:i/>
          <w:sz w:val="20"/>
        </w:rPr>
        <w:t>We may be subject to damages resulting from claims that we or our employees have wrongfully used or disclosed alleged trade secrets of our employees’ former employers.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may be subject to claims that we or our employees have inadvertently or otherwise used or disclosed trade secrets or other proprietary information of an employee’s former employers. Litigation may be necessary to defend against these claims. If we fail in defending such claims, in addition to paying monetary damages, we may lose valuable intellectual property rights or personnel or be forced to seek a license, which may not be available on commercially acceptable terms or at all. A loss of key personnel or their work product could hamper or prevent our ability to commercialize our products, which could severely harm our business. Even if we are successful in defending against these claims, litigation could result in substantial costs and demand on management resources.</w:t>
      </w:r>
    </w:p>
    <w:p>
      <w:pPr>
        <w:pStyle w:val="TextBody"/>
        <w:spacing w:before="0" w:after="0"/>
        <w:jc w:val="both"/>
        <w:rPr>
          <w:rFonts w:ascii="Times New Roman;serif" w:hAnsi="Times New Roman;serif"/>
          <w:b/>
          <w:sz w:val="20"/>
        </w:rPr>
      </w:pPr>
      <w:r>
        <w:rPr>
          <w:rFonts w:ascii="Times New Roman;serif" w:hAnsi="Times New Roman;serif"/>
          <w:b/>
          <w:sz w:val="20"/>
        </w:rPr>
        <w:t>Risks Related to Ownership of our Common Stock and Warrants</w:t>
      </w:r>
    </w:p>
    <w:p>
      <w:pPr>
        <w:pStyle w:val="TextBody"/>
        <w:spacing w:before="0" w:after="0"/>
        <w:jc w:val="both"/>
        <w:rPr>
          <w:rFonts w:ascii="Times New Roman;serif" w:hAnsi="Times New Roman;serif"/>
          <w:b/>
          <w:i/>
          <w:sz w:val="20"/>
        </w:rPr>
      </w:pPr>
      <w:r>
        <w:rPr>
          <w:rFonts w:ascii="Times New Roman;serif" w:hAnsi="Times New Roman;serif"/>
          <w:b/>
          <w:i/>
          <w:sz w:val="20"/>
        </w:rPr>
        <w:t>Resales of the shares of Common Stock issued in connection with the Business Combination and our acquisition of RE2 could depress the market price of our Common Stock.</w:t>
      </w:r>
    </w:p>
    <w:p>
      <w:pPr>
        <w:pStyle w:val="TextBody"/>
        <w:spacing w:before="0" w:after="0"/>
        <w:jc w:val="both"/>
        <w:rPr>
          <w:rFonts w:ascii="Times New Roman" w:hAnsi="Times New Roman"/>
          <w:sz w:val="20"/>
        </w:rPr>
      </w:pPr>
      <w:r>
        <w:rPr>
          <w:rFonts w:ascii="Times New Roman;serif" w:hAnsi="Times New Roman;serif"/>
          <w:b w:val="false"/>
          <w:sz w:val="20"/>
        </w:rPr>
        <w:t>Sales of a substantial number of shares of our Common Stock or Warrants could occur at any time. These sales, or the perception in the market that the holders of a large number of shares intend to sell shares, could reduce the market price of our Common Stock or Warrants.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Common Stock issued to the former securityholders of Old Sarcos (“Old Sarcos Security Holders”) represented approximately 71.4% of our Common Stock outstanding as of March 31, 2023, a portion of which remains subject to lock-up obligations under our Bylaws and under lock-up agreements entered into with us (the “Old Sarcos Lock-up Agreements”).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In connection with the entry by us into the RE2 Lock-up Agreements (as described below), a special committee of our board of directors, consisting solely of independent directors who did not hold, and whose affiliates did not hold, shares of capital stock of Sarcos subject to the applicable terms of the Old Sarcos Lock-up Agreements, recommended to the board of directors that the release provisions in the Old Sarcos Lock-up Agreements be reconciled to the release provisions in the RE2 Lock-up Agreements. On April 25, 2022, the board of directors approved an amendment to the Bylaws and to the Old Sarcos Lock-up Agreements to conform the release provisions to the RE2 Lock-up Agreements.</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Following the amendment described above, Common Stock issued from the exchange or conversion of Old Sarcos common stock, options, RSAs or RSUs is currently subject to the following remaining lock-up periods under the Bylaws and the Old Sarcos Lock-up Agreements:</w:t>
      </w:r>
    </w:p>
    <w:p>
      <w:pPr>
        <w:pStyle w:val="TextBody"/>
        <w:spacing w:before="0" w:after="0"/>
        <w:jc w:val="both"/>
        <w:rPr>
          <w:rFonts w:ascii="Times New Roman" w:hAnsi="Times New Roman"/>
          <w:b w:val="false"/>
          <w:sz w:val="20"/>
        </w:rPr>
      </w:pPr>
      <w:r>
        <w:rPr>
          <w:rFonts w:ascii="Times New Roman" w:hAnsi="Times New Roman"/>
          <w:b w:val="false"/>
          <w:sz w:val="20"/>
        </w:rPr>
        <w:t>1.</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twenty percent (20%) of the Common Stock became transferable at the close of business on March 23, 2022; and</w:t>
      </w:r>
    </w:p>
    <w:p>
      <w:pPr>
        <w:pStyle w:val="TextBody"/>
        <w:spacing w:before="120" w:after="0"/>
        <w:jc w:val="both"/>
        <w:rPr>
          <w:rFonts w:ascii="Times New Roman" w:hAnsi="Times New Roman"/>
          <w:b w:val="false"/>
          <w:sz w:val="20"/>
        </w:rPr>
      </w:pPr>
      <w:r>
        <w:rPr>
          <w:rFonts w:ascii="Times New Roman" w:hAnsi="Times New Roman"/>
          <w:b w:val="false"/>
          <w:sz w:val="20"/>
        </w:rPr>
        <w:t>2.</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the remaining eighty percent (80%) of the Common Stock may only be transferred beginning upon the earlier to occur of (a) such time as we or any of our subsidiaries have delivered to one or more customers at least 20 Guardian XO and/or Guardian XT and/or Sapien (Sapien products were acquired in the RE2 acquisition and have generally been rebranded as Guardian products) commercial systems, but in no event prior to the close of business on September 24, 2022 and (b) the close of business on September 24, 2023.</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of September 24, 2022, the lock-up periods under the Old Sarcos Lock-up Agreements and the Bylaws applicable to Common Stock issued from the exchange or conversion of shares of Old Sarcos preferred stock or warrants have fully expired.</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Common Stock issued upon conversion of the shares of Rotor Class B Common Stock held by certain stockholders, including the Sponsor (the “Founder Shares”), represented approximately 4.2% of our Common Stock outstanding as of March 31, 2023. The applicable lock-up periods for the Common Stock held by the Rotor Restricted Stockholders have expired and such Common Stock is freely tradable.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On April 25, 2022, we issued 10.8 million shares of our Common Stock (the “Consideration Shares”), which represented approximately 7.0% of our Common Stock outstanding as of March 31, 2023, and assumed certain outstanding options to acquire RE2 common stock which, following such assumption, represent rights to acquire 3.9 million shares of our Common Stock (the “Assumed Options” and together with the Consideration Shares, the “RE2 Lock-up Shares”) in connection with our acquisition of RE2. RE2 securityholders who were RE2 employees and became our employees on such date received in the aggregate 7.0 million Consideration Shares, in addition to the Assumed Options, and entered into lock-up agreements (the “RE2 Lock-up Agreements”), pursuant to which, among other things, they agreed to the following transfer restrictions:</w:t>
      </w:r>
    </w:p>
    <w:p>
      <w:pPr>
        <w:pStyle w:val="TextBody"/>
        <w:spacing w:before="0" w:after="0"/>
        <w:jc w:val="both"/>
        <w:rPr>
          <w:rFonts w:ascii="Times New Roman" w:hAnsi="Times New Roman"/>
          <w:b w:val="false"/>
          <w:sz w:val="20"/>
        </w:rPr>
      </w:pPr>
      <w:r>
        <w:rPr>
          <w:rFonts w:ascii="Times New Roman" w:hAnsi="Times New Roman"/>
          <w:b w:val="false"/>
          <w:sz w:val="20"/>
        </w:rPr>
        <w:t>1.</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with respect to twenty percent (20%) of such holder’s RE2 Lock-up Shares, such shares became transferable on the trading day following May 23, 2022, the date on which the registration statement on Form S-1 for the resale of Consideration Shares was declared effective by the Securities and Exchange Commission; and</w:t>
      </w:r>
    </w:p>
    <w:p>
      <w:pPr>
        <w:pStyle w:val="TextBody"/>
        <w:spacing w:before="120" w:after="0"/>
        <w:jc w:val="both"/>
        <w:rPr>
          <w:rFonts w:ascii="Times New Roman" w:hAnsi="Times New Roman"/>
          <w:b w:val="false"/>
          <w:sz w:val="20"/>
        </w:rPr>
      </w:pPr>
      <w:r>
        <w:rPr>
          <w:rFonts w:ascii="Times New Roman" w:hAnsi="Times New Roman"/>
          <w:b w:val="false"/>
          <w:sz w:val="20"/>
        </w:rPr>
        <w:t>2.</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with respect to the remaining eighty percent (80%) of such holder’s RE2 Lock-up Shares, such shares may be transferred beginning upon the earlier to occur of (a) such time as we or any of our subsidiaries have delivered to one or more customers at least twenty (20) Guardian XO and/or Guardian XT and/or Sapien commercial units (but in no event prior to the close of business on September 24, 2022) and (b) the close of business on September 24, 2023.</w:t>
      </w:r>
    </w:p>
    <w:p>
      <w:pPr>
        <w:pStyle w:val="TextBody"/>
        <w:spacing w:before="0" w:after="0"/>
        <w:jc w:val="both"/>
        <w:rPr>
          <w:rFonts w:ascii="Times New Roman;serif" w:hAnsi="Times New Roman;serif"/>
          <w:b w:val="false"/>
          <w:sz w:val="20"/>
        </w:rPr>
      </w:pPr>
      <w:r>
        <w:rPr>
          <w:rFonts w:ascii="Times New Roman;serif" w:hAnsi="Times New Roman;serif"/>
          <w:b w:val="false"/>
          <w:sz w:val="20"/>
        </w:rPr>
        <w:t>Shares originally issued to PIPE Investors (as defined in Note 1 to our condensed consolidated financial statements included in this Report) represented approximately 14.3% of our Common Stock outstanding as of March 31, 2023. These shares are not subject to any lock-up or transfer restrictions.</w:t>
      </w:r>
    </w:p>
    <w:p>
      <w:pPr>
        <w:pStyle w:val="TextBody"/>
        <w:spacing w:before="0" w:after="0"/>
        <w:jc w:val="both"/>
        <w:rPr>
          <w:rFonts w:ascii="Times New Roman;serif" w:hAnsi="Times New Roman;serif"/>
          <w:b/>
          <w:i/>
          <w:sz w:val="20"/>
        </w:rPr>
      </w:pPr>
      <w:r>
        <w:rPr>
          <w:rFonts w:ascii="Times New Roman;serif" w:hAnsi="Times New Roman;serif"/>
          <w:b/>
          <w:i/>
          <w:sz w:val="20"/>
        </w:rPr>
        <w:t>The price of our Common Stock could decline due to the large number of shares of our Common Stock subject to employee equity awards.</w:t>
      </w:r>
    </w:p>
    <w:p>
      <w:pPr>
        <w:pStyle w:val="TextBody"/>
        <w:spacing w:before="0" w:after="0"/>
        <w:jc w:val="both"/>
        <w:rPr>
          <w:rFonts w:ascii="Times New Roman" w:hAnsi="Times New Roman"/>
          <w:sz w:val="20"/>
        </w:rPr>
      </w:pPr>
      <w:r>
        <w:rPr>
          <w:rFonts w:ascii="Times New Roman;serif" w:hAnsi="Times New Roman;serif"/>
          <w:b w:val="false"/>
          <w:sz w:val="20"/>
        </w:rPr>
        <w:t>We have granted and expect to continue to grant equity awards to our directors and employees as additional compensation in an effort to align their interests with those of our stockholders. Because awards granted to certain executive officers and directors may be scheduled to vest during specified points in time, such as expected open trading windows under our insider trading policy, there is a potential that sales of large amounts of our Common Stock may take place during concentrated periods, leading to a decline in the price of our Common Stock.</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0" w:after="0"/>
        <w:jc w:val="left"/>
        <w:rPr/>
      </w:pPr>
      <w:r>
        <w:rPr/>
        <w:t> </w:t>
      </w:r>
    </w:p>
    <w:p>
      <w:pPr>
        <w:pStyle w:val="TextBody"/>
        <w:spacing w:before="0" w:after="0"/>
        <w:jc w:val="both"/>
        <w:rPr/>
      </w:pPr>
      <w:r>
        <w:rPr/>
        <w:t>“</w:t>
      </w:r>
      <w:r>
        <w:rPr>
          <w:rFonts w:ascii="Times New Roman;serif" w:hAnsi="Times New Roman;serif"/>
          <w:b w:val="false"/>
          <w:sz w:val="20"/>
        </w:rPr>
        <w:t>Sell-to-cover” transactions are often utilized in connection with the vesting and settlement of equity awards that are granted to our employees so that shares of our Common Stock are sold on behalf of our employees in an amount sufficient to cover the tax withholding obligations associated with these awards. As a result of these transactions, a significant number of shares of our Common Stock may be sold over a limited time period in connection with significant vesting events. We may also settle tax withholding obligations in connection with vesting of awards through “net settlement,” in which we remit cash to satisfy the tax withholding obligation and withhold a number of the vested shares on each vesting date. Depending on the fair value of our Common Stock and the number of awards vesting on any applicable vesting date, such net settlement could require us to expend substantial funds to satisfy tax withholding.</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The markets for our Common Stock and Warrants have been volatile and may not continue at all.</w:t>
      </w:r>
    </w:p>
    <w:p>
      <w:pPr>
        <w:pStyle w:val="TextBody"/>
        <w:spacing w:before="0" w:after="0"/>
        <w:jc w:val="both"/>
        <w:rPr>
          <w:rFonts w:ascii="Times New Roman;serif" w:hAnsi="Times New Roman;serif"/>
          <w:b w:val="false"/>
          <w:sz w:val="20"/>
        </w:rPr>
      </w:pPr>
      <w:r>
        <w:rPr>
          <w:rFonts w:ascii="Times New Roman;serif" w:hAnsi="Times New Roman;serif"/>
          <w:b w:val="false"/>
          <w:sz w:val="20"/>
        </w:rPr>
        <w:t>Since the Business Combination and the commencement of the trading of our Common Stock and Warrants on the Nasdaq Global Market, the prices of our Common Stock and Warrants have been volatile and may continue to fluctuate significantly due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Factors affecting the trading price of our securities may include:</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actual or anticipated fluctuations in our quarterly financial results or the quarterly financial results of companies perceived to be similar to us;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changes in the market’s expectations about our operating results;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the public’s reaction to our press releases, our other public announcements and our filings with the SEC;</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speculation in the press or investment community;</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success of competitors;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our operating results failing to meet the expectation of securities analysts or investors in a particular period;</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changes in financial estimates and recommendations by securities analysts concerning our company or the market in general;</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operating and stock price performance of other companies that investors deem comparable to us;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our ability to market, sell, manufacture and deliver our products on a timely basis;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changes in laws and regulations affecting our business;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commencement of, or involvement in, litigation;</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changes in our capital structure, such as future issuances of securities or the incurrence of additional debt;</w:t>
      </w:r>
    </w:p>
    <w:p>
      <w:pPr>
        <w:pStyle w:val="TextBody"/>
        <w:spacing w:before="0" w:after="0"/>
        <w:jc w:val="both"/>
        <w:rPr/>
      </w:pPr>
      <w:r>
        <w:rPr/>
        <w:t> </w:t>
      </w:r>
    </w:p>
    <w:p>
      <w:pPr>
        <w:pStyle w:val="TextBody"/>
        <w:spacing w:before="0" w:after="0"/>
        <w:jc w:val="both"/>
        <w:rPr/>
      </w:pPr>
      <w:r>
        <w:rPr/>
        <w:t>•</w:t>
      </w:r>
    </w:p>
    <w:p>
      <w:pPr>
        <w:pStyle w:val="TextBody"/>
        <w:jc w:val="both"/>
        <w:rPr/>
      </w:pPr>
      <w:r>
        <w:rPr>
          <w:rFonts w:ascii="Times New Roman;serif" w:hAnsi="Times New Roman;serif"/>
          <w:b w:val="false"/>
          <w:sz w:val="20"/>
        </w:rPr>
        <w:t>the volume of shares of the Common Stock and Public Warrants available for public sale, including as a result of the release of shares of our Common Stock from lock-up provisions (see "</w:t>
      </w:r>
      <w:r>
        <w:rPr>
          <w:rFonts w:ascii="Times New Roman;serif" w:hAnsi="Times New Roman;serif"/>
          <w:b w:val="false"/>
          <w:i/>
          <w:sz w:val="20"/>
        </w:rPr>
        <w:t>Resales of the shares of Common Stock issued in connection with the Business Combination and our acquisition of RE2 could depress the market price of our Common Stock.</w:t>
      </w:r>
      <w:r>
        <w:rPr>
          <w:rFonts w:ascii="Times New Roman;serif" w:hAnsi="Times New Roman;serif"/>
          <w:b w:val="false"/>
          <w:sz w:val="20"/>
        </w:rPr>
        <w:t>") or after exercise of any of our Warrants or the exercise or vesting of employee equity awards;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any major change in our board of directors or management;</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sales of substantial amounts of Common Stock by our directors, officers or significant stockholders or the perception that such sales could occur;</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the realization of any of the risk factors discussed herein;</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additions or departures of key personnel;</w:t>
      </w:r>
    </w:p>
    <w:p>
      <w:pPr>
        <w:pStyle w:val="TextBody"/>
        <w:spacing w:before="0" w:after="0"/>
        <w:jc w:val="both"/>
        <w:rPr/>
      </w:pPr>
      <w:r>
        <w:rPr/>
        <w:t> </w:t>
      </w:r>
    </w:p>
    <w:p>
      <w:pPr>
        <w:pStyle w:val="TextBody"/>
        <w:spacing w:before="0" w:after="0"/>
        <w:jc w:val="both"/>
        <w:rPr/>
      </w:pPr>
      <w:r>
        <w:rPr/>
        <w:t>•</w:t>
      </w:r>
    </w:p>
    <w:p>
      <w:pPr>
        <w:pStyle w:val="TextBody"/>
        <w:jc w:val="both"/>
        <w:rPr/>
      </w:pPr>
      <w:r>
        <w:rPr>
          <w:rFonts w:ascii="Times New Roman;serif" w:hAnsi="Times New Roman;serif"/>
          <w:b w:val="false"/>
          <w:sz w:val="20"/>
        </w:rPr>
        <w:t xml:space="preserve">failure to comply with Nasdaq listing requirements (see </w:t>
      </w:r>
      <w:r>
        <w:rPr/>
        <w:t>“</w:t>
      </w:r>
      <w:r>
        <w:rPr>
          <w:rFonts w:ascii="Times New Roman;serif" w:hAnsi="Times New Roman;serif"/>
          <w:b w:val="false"/>
          <w:i/>
          <w:sz w:val="20"/>
        </w:rPr>
        <w:t>Our Common Stock may be delisted from The Nasdaq Global Market if we cannot satisfy Nasdaq’s continued listing requirements.”</w:t>
      </w:r>
      <w:r>
        <w:rPr>
          <w:rFonts w:ascii="Times New Roman;serif" w:hAnsi="Times New Roman;serif"/>
          <w:b w:val="false"/>
          <w:sz w:val="20"/>
        </w:rPr>
        <w: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p>
    <w:p>
      <w:pPr>
        <w:pStyle w:val="TextBody"/>
        <w:spacing w:before="0" w:after="0"/>
        <w:jc w:val="left"/>
        <w:rPr/>
      </w:pPr>
      <w:r>
        <w:rPr/>
        <w:t> </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failure to comply with the Sarbanes-Oxley Act of 2002 or other laws or regulations;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actual, potential or perceived control, accounting or reporting problems;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changes in accounting principles, policies and guidelines; and</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general economic and political conditions such as recessions, interest rates, fuel prices, international currency fluctuations and acts of war or terrorism.</w:t>
      </w:r>
    </w:p>
    <w:p>
      <w:pPr>
        <w:pStyle w:val="TextBody"/>
        <w:spacing w:before="0" w:after="0"/>
        <w:jc w:val="both"/>
        <w:rPr>
          <w:rFonts w:ascii="Times New Roman;serif" w:hAnsi="Times New Roman;serif"/>
          <w:b w:val="false"/>
          <w:sz w:val="20"/>
        </w:rPr>
      </w:pPr>
      <w:r>
        <w:rPr>
          <w:rFonts w:ascii="Times New Roman;serif" w:hAnsi="Times New Roman;serif"/>
          <w:b w:val="false"/>
          <w:sz w:val="20"/>
        </w:rPr>
        <w:t>Broad market and industry factors may materially harm the market price of our securities irrespective of our operating performance or any of the factors listed above. The securities markets in general have experienced price and volume fluctuations that have often been unrelated or disproportionate to the operating performance of the particular companies affected. The trading prices and valuations of these securities, including our securities, are not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Additionally, an active trading market for our securities may not be sustained. If our Common Stock or Warrants become delisted from Nasdaq for any reason and are quoted on the OTC Bulletin Board or OTC Pink, an inter-dealer automated quotation system for equity securities that is not a national securities exchange, the liquidity of our Common Stock or Warrants may be more limited and the price of the securities may be lower than if we were quoted or listed on Nasdaq or another national securities exchange. If an active trading market for our securities is not sustained with sufficient trading volume, you may have limited or no ability to sell your securities.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pStyle w:val="TextBody"/>
        <w:spacing w:before="0" w:after="0"/>
        <w:jc w:val="both"/>
        <w:rPr>
          <w:rFonts w:ascii="Times New Roman" w:hAnsi="Times New Roman"/>
          <w:sz w:val="20"/>
        </w:rPr>
      </w:pPr>
      <w:r>
        <w:rPr>
          <w:rFonts w:ascii="Times New Roman;serif" w:hAnsi="Times New Roman;serif"/>
          <w:b/>
          <w:i/>
          <w:sz w:val="20"/>
        </w:rPr>
        <w:t>Our Common Stock may be delisted from The Nasdaq Global Market if we cannot satisfy Nasdaq’s continued listing requirements.</w:t>
        <w:br/>
      </w:r>
      <w:r>
        <w:rPr>
          <w:rFonts w:ascii="Times New Roman" w:hAnsi="Times New Roman"/>
          <w:sz w:val="20"/>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listing on the Nasdaq Global Market is contingent upon meeting all the continued listing requirements of the Nasdaq Global Market. Nasdaq Listing Rule 5450(a)(1) requires listed securities to maintain a minimum bid price of $1.00 per share (the “Minimum Bid Price Requirement”), and Nasdaq Listing Rule 5810(c)(3)(A) provides that a failure to meet the Minimum Bid Price Requirement exists if the deficiency continues for a period of 30 consecutive business days. On January 23, 2023, we received written notice from the Listing Qualifications Department of Nasdaq notifying us that, based on the closing bid price of our Common Stock for the previous 30 consecutive business days, we no longer comply with the minimum bid price requirement for continued listing on The Nasdaq Global Market.</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deficiency notice has no immediate effect on the listing of our Common Stock on The Nasdaq Global Market. Pursuant to Nasdaq Listing Rule 5810(c)(3)(A), we have been provided an initial compliance period of 180 calendar days to regain compliance with the Minimum Bid Price Requirement. To regain compliance, the closing bid price of our Common Stock must be at least $1.00 per share for a minimum of 10 consecutive business days by July 22, 2023, and we must otherwise satisfy The Nasdaq Global Market’s requirements for listing. If we do not regain compliance by July 22, 2023, we may be eligible for an additional 180 calendar day compliance period if we elect (and meet the listing standards) to transfer to The Nasdaq Capital Market to take advantage of the additional compliance period offered on that market, unless it does not appear to Nasdaq that it is possible for us to cure the deficiency. To qualify, we would be required, among other things, to meet the continued listing requirement for market value of publicly held shares as well as all other standards for initial listing on The Nasdaq Capital Market, with the exception of the Minimum Bid Price Requirement, and would need to provide written notice to Nasdaq of our intention to cure the bid price deficiency during the second compliance period. If it does not appear to Nasdaq that it is possible for us to cure the deficiency, or if we do not regain compliance within the allotted compliance period(s), including any extensions that may be granted by Nasdaq, Nasdaq will provide notice that our Common Stock will be subject to delisting. We would then be entitled to appeal Nasdaq’s determination, but there can be no assurance that such appeal would be successful.</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We intend to monitor the closing bid price of our Common Stock and consider available options to resolve the noncompliance with the Minimum Bid Price Requirement, which could include seeking to effect a reverse stock split. As more fully described in our definitive proxy statement filed with the SEC on April 28, 2023, we are requesting that stockholders approve proposed amendments to our Second Amended and Restated Certificate of Incorporation (our "Charter") at our 2023 annual meeting of stockholders that would permit, but not require, us to effect a reverse stock split of either 1 for 3, 1 for 4, 1 for 5 or 1 for 6. While we plan to review all available options, we may not be able to regain compliance with the Minimum Bid Price Requirement or otherwise be in compliance with other Nasdaq listing criteria. A delisting of our Common Stock from Nasdaq could materially reduce the liquidity of our Common Stock, impairing</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60</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your ability to sell or purchase shares of our Common Stock when you wish to do so, and could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and employees. In the event of a delisting, any action taken by us to restore compliance with listing requirements may not be sufficient to allow the Common Stock to become listed again, stabilize the market price or improve the liquidity of our Common Stock, prevent our Common Stock from dropping below the Nasdaq minimum bid price requirement or prevent future non-compliance with Nasdaq’s listing requirements.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If securities or industry analysts cease publishing research or reports about us, our business or our market, or if they change their recommendations regarding our Common Stock, then the price and trading volume of our Common Stock could decline</w:t>
      </w:r>
      <w:r>
        <w:rPr>
          <w:rFonts w:ascii="Times New Roman;serif" w:hAnsi="Times New Roman;serif"/>
          <w:b w:val="false"/>
          <w:i/>
          <w:sz w:val="20"/>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trading markets for our Common Stock and Warrants will be influenced by the research and reports that industry or securities analysts may publish about us, our business, our market or our competitors. If any of the analysts who cover us now or in the future change their recommendation regarding our stock adversely, or provide more favorable relative recommendations about our competitors, the price of our Common Stock and Public Warrants would likely decline. If any analyst covering our company now or in the future were to cease coverage of us or fail to regularly publish reports on us, we could lose visibility in the financial markets, which could cause the prices and trading volumes of the Common Stock and Public Warrants to decline.</w:t>
      </w:r>
    </w:p>
    <w:p>
      <w:pPr>
        <w:pStyle w:val="TextBody"/>
        <w:spacing w:before="0" w:after="0"/>
        <w:jc w:val="both"/>
        <w:rPr>
          <w:rFonts w:ascii="Times New Roman;serif" w:hAnsi="Times New Roman;serif"/>
          <w:b/>
          <w:i/>
          <w:sz w:val="20"/>
        </w:rPr>
      </w:pPr>
      <w:r>
        <w:rPr>
          <w:rFonts w:ascii="Times New Roman;serif" w:hAnsi="Times New Roman;serif"/>
          <w:b/>
          <w:i/>
          <w:sz w:val="20"/>
        </w:rPr>
        <w:t>There is no guarantee that the Public Warrants or Private Placement Warrants will ever be in the money, and they may expire worthless.</w:t>
      </w:r>
    </w:p>
    <w:p>
      <w:pPr>
        <w:pStyle w:val="TextBody"/>
        <w:spacing w:before="0" w:after="0"/>
        <w:jc w:val="both"/>
        <w:rPr>
          <w:rFonts w:ascii="Times New Roman" w:hAnsi="Times New Roman"/>
          <w:sz w:val="20"/>
        </w:rPr>
      </w:pPr>
      <w:r>
        <w:rPr>
          <w:rFonts w:ascii="Times New Roman;serif" w:hAnsi="Times New Roman;serif"/>
          <w:b w:val="false"/>
          <w:sz w:val="20"/>
        </w:rPr>
        <w:t>The exercise price of our Warrants is higher than is typical with many companies that have merged with similar blank check companies in the past. Historically, with regard to units offered by blank check companies, the exercise price of a Warrant was generally a fraction of the purchase price of the units in the initial public offering. The exercise price for our Warrants is $11.50 per share of Common Stock. There is no guarantee that the Warrants will ever be in the money prior to their expiration, and as such, the Warrants may expire worthless.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We may redeem unexpired Warrants prior to their exercise at a time that is disadvantageous to Warrant holders, thereby making their Warrants worthless</w:t>
      </w:r>
      <w:r>
        <w:rPr>
          <w:rFonts w:ascii="Times New Roman;serif" w:hAnsi="Times New Roman;serif"/>
          <w:b w:val="false"/>
          <w:i/>
          <w:sz w:val="20"/>
        </w:rPr>
        <w:t>.</w:t>
      </w:r>
    </w:p>
    <w:p>
      <w:pPr>
        <w:pStyle w:val="TextBody"/>
        <w:spacing w:before="0" w:after="0"/>
        <w:jc w:val="both"/>
        <w:rPr>
          <w:rFonts w:ascii="Times New Roman" w:hAnsi="Times New Roman"/>
          <w:sz w:val="20"/>
        </w:rPr>
      </w:pPr>
      <w:r>
        <w:rPr>
          <w:rFonts w:ascii="Times New Roman;serif" w:hAnsi="Times New Roman;serif"/>
          <w:b w:val="false"/>
          <w:sz w:val="20"/>
        </w:rPr>
        <w:t>We have the ability to redeem outstanding Warrants at any time after they become exercisable and prior to their expiration, subject to certain exceptions, provided that the last reported sales price of our Common Stock equals or exceeds $10.00 per share (as adjusted for stock splits, stock dividends, reorganizations, recapitalization and the like) for any 20 trading days within a 30 trading-day period ending on the third trading day prior to the date on which we give proper notice of such redemption to the Warrant holders and provided certain other conditions are met. For additional information on the circumstances in which the Public Warrants may be redeemed, see "</w:t>
      </w:r>
      <w:r>
        <w:rPr>
          <w:rFonts w:ascii="Times New Roman;serif" w:hAnsi="Times New Roman;serif"/>
          <w:b w:val="false"/>
          <w:i/>
          <w:sz w:val="20"/>
        </w:rPr>
        <w:t>Description of Securities—Warrants—Public Stockholders’ Warrants</w:t>
      </w:r>
      <w:r>
        <w:rPr>
          <w:rFonts w:ascii="Times New Roman;serif" w:hAnsi="Times New Roman;serif"/>
          <w:b w:val="false"/>
          <w:sz w:val="20"/>
        </w:rPr>
        <w:t>" in our prospectus filed with the SEC on April 6, 2022. If and when the Warrants become redeemable by us, we may exercise our redemption right even if we are unable to register or qualify the underlying securities for sale under all applicable state securities laws. Redemption of the outstanding Warrants could force the Warrant holders (i) to exercise their Warrants and pay the exercise price therefor at a time when it may be disadvantageous for them to do so, (ii)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their Warrants. None of the Private Placement Warrants will be redeemable by us so long as they are held by the initial purchasers or their permitted transferees, subject to certain exceptions.</w:t>
      </w:r>
    </w:p>
    <w:p>
      <w:pPr>
        <w:pStyle w:val="TextBody"/>
        <w:spacing w:before="0" w:after="0"/>
        <w:jc w:val="both"/>
        <w:rPr>
          <w:rFonts w:ascii="Times New Roman" w:hAnsi="Times New Roman"/>
          <w:sz w:val="20"/>
        </w:rPr>
      </w:pPr>
      <w:r>
        <w:rPr>
          <w:rFonts w:ascii="Times New Roman;serif" w:hAnsi="Times New Roman;serif"/>
          <w:b/>
          <w:i/>
          <w:sz w:val="20"/>
        </w:rPr>
        <w:t>Warrants are exercisable for Common Stock, and their exercise would increase the number of shares eligible for future resale in the public market and result in dilution to our stockholders</w:t>
      </w:r>
      <w:r>
        <w:rPr>
          <w:rFonts w:ascii="Times New Roman;serif" w:hAnsi="Times New Roman;serif"/>
          <w:b w:val="false"/>
          <w:i/>
          <w:sz w:val="20"/>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of March 31, 2023, we had outstanding Public Warrants to purchase approximately 14,648,972 shares of Common Stock at $11.50 per share and Private Placement Warrants to purchase 5,900,481 shares at $11.50 per share. The shares of Common Stock issued upon exercise of our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Public Warrants.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Private Placement Warrants are identical to the Public Warrants except that, so long as they are held by the initial purchasers or their permitted transferees, (i) they will not be redeemable by us subject to certain exceptions, (ii) they may be exercised by the holders on a cashless basis and (iii) they are subject to registration rights.</w:t>
      </w:r>
    </w:p>
    <w:p>
      <w:pPr>
        <w:pStyle w:val="TextBody"/>
        <w:spacing w:before="0" w:after="0"/>
        <w:jc w:val="both"/>
        <w:rPr>
          <w:rFonts w:ascii="Times New Roman" w:hAnsi="Times New Roman"/>
          <w:sz w:val="20"/>
        </w:rPr>
      </w:pPr>
      <w:r>
        <w:rPr>
          <w:rFonts w:ascii="Times New Roman;serif" w:hAnsi="Times New Roman;serif"/>
          <w:b/>
          <w:i/>
          <w:sz w:val="20"/>
        </w:rPr>
        <w:t>Anti-takeover provisions contained in our Charter and Bylaws, as well as provisions of Delaware law, could impair a takeover attempt, which could limit the price investors might be willing to pay in the future for our Common Stock</w:t>
      </w:r>
      <w:r>
        <w:rPr>
          <w:rFonts w:ascii="Times New Roman;serif" w:hAnsi="Times New Roman;serif"/>
          <w:b w:val="false"/>
          <w:i/>
          <w:sz w:val="20"/>
        </w:rPr>
        <w: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61</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Charter and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a prohibition on stockholder action by written consent, which forces stockholder action to be taken at an annual or special meeting of our stockholders;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only the board of directors (pursuant to a majority vote of the whole board), the chairperson of the board of directors, or the Chief Executive Officer may call a special meeting;</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stockholder vote of at least 66-2/3% required to remove a director for “cause”;</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stockholder vote of at least 66-2/3% required to approve certain amendments to the Charter and Bylaws; and</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the designation of Delaware and federal courts as the exclusive forums for certain disputes.</w:t>
      </w:r>
    </w:p>
    <w:p>
      <w:pPr>
        <w:pStyle w:val="TextBody"/>
        <w:spacing w:before="0" w:after="0"/>
        <w:jc w:val="both"/>
        <w:rPr>
          <w:rFonts w:ascii="Times New Roman;serif" w:hAnsi="Times New Roman;serif"/>
          <w:b/>
          <w:i/>
          <w:sz w:val="20"/>
        </w:rPr>
      </w:pPr>
      <w:r>
        <w:rPr>
          <w:rFonts w:ascii="Times New Roman;serif" w:hAnsi="Times New Roman;serif"/>
          <w:b/>
          <w:i/>
          <w:sz w:val="20"/>
        </w:rPr>
        <w:t>Our Bylaws provide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Bylaws provide, to the fullest extent permitted by law, that internal corporate claims may be brought only in the Court of Chancery in the State of Delaware (or, if the Court of Chancery does not have, or declines to accept, jurisdiction, another state court or a federal court located within the State of Delaware). In addition, our Bylaws provide that the federal district courts of the United States will be the exclusive forum for resolving any complaint asserting a cause of action arising under the Securities Act. This forum selection provision will not apply to claims brought to enforce a duty or liability created by the Exchange Act. Any person or entity purchasing or otherwise acquiring or holding any interest in our stock shall be deemed to have notice of and consented to the forum provision in our Bylaws.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w:t>
      </w:r>
    </w:p>
    <w:p>
      <w:pPr>
        <w:pStyle w:val="TextBody"/>
        <w:spacing w:before="0" w:after="0"/>
        <w:jc w:val="both"/>
        <w:rPr>
          <w:rFonts w:ascii="Times New Roman" w:hAnsi="Times New Roman"/>
          <w:sz w:val="20"/>
        </w:rPr>
      </w:pPr>
      <w:r>
        <w:rPr>
          <w:rFonts w:ascii="Times New Roman;serif" w:hAnsi="Times New Roman;serif"/>
          <w:b/>
          <w:i/>
          <w:sz w:val="20"/>
        </w:rPr>
        <w:t>The JOBS Act permits “emerging growth companies” like us to take advantage of certain exemptions from various reporting requirements applicable to other public companies that are not emerging growth companies</w:t>
      </w:r>
      <w:r>
        <w:rPr>
          <w:rFonts w:ascii="Times New Roman;serif" w:hAnsi="Times New Roman;serif"/>
          <w:b w:val="false"/>
          <w:i/>
          <w:sz w:val="20"/>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January 20, 2026, the fifth anniversary of Rotor’s initial public offering, (b) in which we have total annual gross revenue of at least $1.235 billion or (c) in which we are deemed to be a large accelerated filer, which means the market value of our Common Stock and Public Warrants that is held by non-affiliates exceeds $700 million as of the last business day of our prior second fiscal quarter, and (ii) the date on which we have issued more than $1.0 billion in non-convertible debt during the prior three-year period.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62</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Investors may find our Common Stock or Public Warrants less attractive because we rely on these exemptions and may continue to rely on them to the extent they remain available to us. If some investors find our Common Stock or Public Warrants less attractive as a result of these exemptions and reduced disclosure as an emerging growth company, there may be a less active trading market for and/or more price volatility with respect to our Common Stock or Public Warrants.</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63</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15" w:name="item_2_unregistered_sales_of_equity"/>
      <w:bookmarkEnd w:id="15"/>
      <w:r>
        <w:rPr>
          <w:rFonts w:ascii="Times New Roman;serif" w:hAnsi="Times New Roman;serif"/>
          <w:b/>
          <w:sz w:val="20"/>
        </w:rPr>
        <w:t>Item 2. Unregistered Sales of Equity Securities and Use of Proceeds.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serif" w:hAnsi="Times New Roman;serif"/>
          <w:b/>
          <w:sz w:val="20"/>
        </w:rPr>
      </w:pPr>
      <w:bookmarkStart w:id="16" w:name="item_3_defaults_upon_senior"/>
      <w:bookmarkEnd w:id="16"/>
      <w:r>
        <w:rPr>
          <w:rFonts w:ascii="Times New Roman;serif" w:hAnsi="Times New Roman;serif"/>
          <w:b/>
          <w:sz w:val="20"/>
        </w:rPr>
        <w:t>Item 3. Defaults Upon Senior Securities.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360" w:after="0"/>
        <w:jc w:val="left"/>
        <w:rPr>
          <w:rFonts w:ascii="Times New Roman;serif" w:hAnsi="Times New Roman;serif"/>
          <w:b/>
          <w:sz w:val="20"/>
        </w:rPr>
      </w:pPr>
      <w:bookmarkStart w:id="17" w:name="item_4_mine_safety_disclosures"/>
      <w:bookmarkEnd w:id="17"/>
      <w:r>
        <w:rPr>
          <w:rFonts w:ascii="Times New Roman;serif" w:hAnsi="Times New Roman;serif"/>
          <w:b/>
          <w:sz w:val="20"/>
        </w:rPr>
        <w:t>Item 4. Mine Safety Disclosures.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360" w:after="0"/>
        <w:jc w:val="left"/>
        <w:rPr>
          <w:rFonts w:ascii="Times New Roman" w:hAnsi="Times New Roman"/>
          <w:sz w:val="20"/>
        </w:rPr>
      </w:pPr>
      <w:bookmarkStart w:id="18" w:name="item_5_other_information"/>
      <w:bookmarkEnd w:id="18"/>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None.</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64</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bookmarkStart w:id="19" w:name="item_6_exhibits"/>
      <w:bookmarkEnd w:id="19"/>
      <w:r>
        <w:rPr>
          <w:rFonts w:ascii="Times New Roman;serif" w:hAnsi="Times New Roman;serif"/>
          <w:b/>
          <w:sz w:val="20"/>
        </w:rPr>
        <w:t>Item 6.</w:t>
      </w:r>
      <w:r>
        <w:rPr>
          <w:rFonts w:ascii="Times New Roman" w:hAnsi="Times New Roman"/>
          <w:sz w:val="20"/>
        </w:rPr>
        <w:t xml:space="preserve"> </w:t>
      </w:r>
      <w:r>
        <w:rPr>
          <w:rFonts w:ascii="Times New Roman;serif" w:hAnsi="Times New Roman;serif"/>
          <w:b/>
          <w:sz w:val="20"/>
        </w:rPr>
        <w:t>Exhibits.</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77"/>
        <w:gridCol w:w="146"/>
        <w:gridCol w:w="9282"/>
      </w:tblGrid>
      <w:tr>
        <w:trPr/>
        <w:tc>
          <w:tcPr>
            <w:tcW w:w="77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82" w:type="dxa"/>
            <w:tcBorders/>
            <w:shd w:fill="auto" w:val="clear"/>
            <w:vAlign w:val="center"/>
          </w:tcPr>
          <w:p>
            <w:pPr>
              <w:pStyle w:val="TableContents"/>
              <w:spacing w:before="0" w:after="283"/>
              <w:rPr>
                <w:sz w:val="4"/>
                <w:szCs w:val="4"/>
              </w:rPr>
            </w:pPr>
            <w:r>
              <w:rPr>
                <w:sz w:val="4"/>
                <w:szCs w:val="4"/>
              </w:rPr>
            </w:r>
          </w:p>
        </w:tc>
      </w:tr>
      <w:tr>
        <w:trPr/>
        <w:tc>
          <w:tcPr>
            <w:tcW w:w="777"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28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77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8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Second Amended and Restated Certificate of Incorporation of Sarcos Technology and Robotics Corporation (incorporated by reference to Exhibit 3.1 to the Company’s Current Report on Form 8-K, filed with the SEC on September 30, 2021).</w:t>
              </w:r>
            </w:hyperlink>
          </w:p>
        </w:tc>
      </w:tr>
      <w:tr>
        <w:trPr/>
        <w:tc>
          <w:tcPr>
            <w:tcW w:w="77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8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Amended and Restated Bylaws of Sarcos Technology and Robotics Corporation (incorporated by reference to Exhibit 3.1 to the Company’s Current Report on Form 8-K filed with the SEC on November 8, 2022).</w:t>
              </w:r>
            </w:hyperlink>
          </w:p>
        </w:tc>
      </w:tr>
      <w:tr>
        <w:trPr/>
        <w:tc>
          <w:tcPr>
            <w:tcW w:w="77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8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trc-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77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8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trc-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77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8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trc-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r>
      <w:tr>
        <w:trPr/>
        <w:tc>
          <w:tcPr>
            <w:tcW w:w="77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8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trc-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r>
      <w:tr>
        <w:trPr/>
        <w:tc>
          <w:tcPr>
            <w:tcW w:w="77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77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7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7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7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7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7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8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pBdr>
          <w:bottom w:val="single" w:sz="4" w:space="1" w:color="000000"/>
        </w:pBdr>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Filed herewith.</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The Certifications attached as Exhibits 32.1 and 32.2 that accompany this Quarterly Report on Form 10-Q are not deemed filed with the Securities and Exchange Commission and are not to be incorporated by reference into any filing of Sarcos Technology and Robotics Corporation under the Securities Act of 1933, as amended, or the Securities Exchange Act of 1934, as amended, whether made before or after the date of this Form 10-Q, irrespective of any general incorporation language contained in such filing.</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0" w:name="signatures"/>
      <w:bookmarkEnd w:id="20"/>
      <w:r>
        <w:rPr>
          <w:rFonts w:ascii="Times New Roman;serif" w:hAnsi="Times New Roman;serif"/>
          <w:b/>
          <w:sz w:val="20"/>
        </w:rPr>
        <w:t>SIGNATURES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its behalf by the undersigned thereunto duly authorized.</w:t>
      </w:r>
    </w:p>
    <w:p>
      <w:pPr>
        <w:pStyle w:val="TextBody"/>
        <w:spacing w:before="0" w:after="0"/>
        <w:jc w:val="left"/>
        <w:rPr/>
      </w:pPr>
      <w:r>
        <w:rPr/>
        <w:t> </w:t>
      </w:r>
    </w:p>
    <w:tbl>
      <w:tblPr>
        <w:tblW w:w="8182" w:type="dxa"/>
        <w:jc w:val="left"/>
        <w:tblInd w:w="0" w:type="dxa"/>
        <w:tblCellMar>
          <w:top w:w="28" w:type="dxa"/>
          <w:left w:w="28" w:type="dxa"/>
          <w:bottom w:w="28" w:type="dxa"/>
          <w:right w:w="28" w:type="dxa"/>
        </w:tblCellMar>
      </w:tblPr>
      <w:tblGrid>
        <w:gridCol w:w="1741"/>
        <w:gridCol w:w="109"/>
        <w:gridCol w:w="406"/>
        <w:gridCol w:w="5926"/>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592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3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SARCOS TECHNOLOGY AND ROBOTICS CORPORATION</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9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92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Kiva A. Allgood</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9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Kiva A. Allgood</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9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President and Chief Executive Officer (</w:t>
            </w:r>
            <w:r>
              <w:rPr>
                <w:rFonts w:ascii="Times New Roman;serif" w:hAnsi="Times New Roman;serif"/>
                <w:b/>
                <w:i/>
                <w:sz w:val="20"/>
              </w:rPr>
              <w:t>Principal Executive Officer</w:t>
            </w:r>
            <w:r>
              <w:rPr>
                <w:rFonts w:ascii="Times New Roman;serif" w:hAnsi="Times New Roman;serif"/>
                <w:b/>
                <w:sz w:val="20"/>
              </w:rPr>
              <w:t>)</w:t>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9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92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Andrew Hamer</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9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Andrew Hamer</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9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Chief Financial Officer (Principal Financial and Accounting Officer)</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66</w:t>
      </w:r>
    </w:p>
    <w:p>
      <w:pPr>
        <w:pStyle w:val="HorizontalLine"/>
        <w:rPr/>
      </w:pPr>
      <w:r>
        <w:rPr/>
      </w:r>
      <w:r>
        <w:br w:type="page"/>
      </w:r>
    </w:p>
    <w:p>
      <w:pPr>
        <w:pStyle w:val="TextBody"/>
        <w:spacing w:before="0" w:after="0"/>
        <w:jc w:val="left"/>
        <w:rPr/>
      </w:pPr>
      <w:bookmarkStart w:id="21" w:name="strc-ex31_1.htm"/>
      <w:bookmarkStart w:id="22" w:name="ksstrcex31_1"/>
      <w:bookmarkEnd w:id="21"/>
      <w:bookmarkEnd w:id="22"/>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Kiva A. Allgood, certify that:</w:t>
      </w:r>
    </w:p>
    <w:p>
      <w:pPr>
        <w:pStyle w:val="TextBody"/>
        <w:spacing w:before="240" w:after="0"/>
        <w:jc w:val="both"/>
        <w:rPr>
          <w:rFonts w:ascii="Times New Roman" w:hAnsi="Times New Roman"/>
          <w:b w:val="false"/>
          <w:sz w:val="20"/>
        </w:rPr>
      </w:pPr>
      <w:r>
        <w:rPr>
          <w:rFonts w:ascii="Times New Roman" w:hAnsi="Times New Roman"/>
          <w:b w:val="false"/>
          <w:sz w:val="20"/>
        </w:rPr>
        <w:t>1.</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 have reviewed this Quarterly Report on Form 10-Q of Sarcos Technology and Robotics Corporation;</w:t>
      </w:r>
    </w:p>
    <w:p>
      <w:pPr>
        <w:pStyle w:val="TextBody"/>
        <w:spacing w:before="240" w:after="0"/>
        <w:jc w:val="both"/>
        <w:rPr>
          <w:rFonts w:ascii="Times New Roman" w:hAnsi="Times New Roman"/>
          <w:b w:val="false"/>
          <w:sz w:val="20"/>
        </w:rPr>
      </w:pPr>
      <w:r>
        <w:rPr>
          <w:rFonts w:ascii="Times New Roman" w:hAnsi="Times New Roman"/>
          <w:b w:val="false"/>
          <w:sz w:val="20"/>
        </w:rPr>
        <w:t>2.</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both"/>
        <w:rPr>
          <w:rFonts w:ascii="Times New Roman" w:hAnsi="Times New Roman"/>
          <w:b w:val="false"/>
          <w:sz w:val="20"/>
        </w:rPr>
      </w:pPr>
      <w:r>
        <w:rPr>
          <w:rFonts w:ascii="Times New Roman" w:hAnsi="Times New Roman"/>
          <w:b w:val="false"/>
          <w:sz w:val="20"/>
        </w:rPr>
        <w:t>3.</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both"/>
        <w:rPr>
          <w:rFonts w:ascii="Times New Roman" w:hAnsi="Times New Roman"/>
          <w:b w:val="false"/>
          <w:sz w:val="20"/>
        </w:rPr>
      </w:pPr>
      <w:r>
        <w:rPr>
          <w:rFonts w:ascii="Times New Roman" w:hAnsi="Times New Roman"/>
          <w:b w:val="false"/>
          <w:sz w:val="20"/>
        </w:rPr>
        <w:t>4.</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both"/>
        <w:rPr>
          <w:rFonts w:ascii="Times New Roman" w:hAnsi="Times New Roman"/>
          <w:b w:val="false"/>
          <w:sz w:val="20"/>
        </w:rPr>
      </w:pPr>
      <w:r>
        <w:rPr>
          <w:rFonts w:ascii="Times New Roman" w:hAnsi="Times New Roman"/>
          <w:b w:val="false"/>
          <w:sz w:val="20"/>
        </w:rPr>
        <w:t>(a)</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both"/>
        <w:rPr>
          <w:rFonts w:ascii="Times New Roman" w:hAnsi="Times New Roman"/>
          <w:b w:val="false"/>
          <w:sz w:val="20"/>
        </w:rPr>
      </w:pPr>
      <w:r>
        <w:rPr>
          <w:rFonts w:ascii="Times New Roman" w:hAnsi="Times New Roman"/>
          <w:b w:val="false"/>
          <w:sz w:val="20"/>
        </w:rPr>
        <w:t>(b)</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both"/>
        <w:rPr>
          <w:rFonts w:ascii="Times New Roman" w:hAnsi="Times New Roman"/>
          <w:b w:val="false"/>
          <w:sz w:val="20"/>
        </w:rPr>
      </w:pPr>
      <w:r>
        <w:rPr>
          <w:rFonts w:ascii="Times New Roman" w:hAnsi="Times New Roman"/>
          <w:b w:val="false"/>
          <w:sz w:val="20"/>
        </w:rPr>
        <w:t>(c)</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both"/>
        <w:rPr>
          <w:rFonts w:ascii="Times New Roman" w:hAnsi="Times New Roman"/>
          <w:b w:val="false"/>
          <w:sz w:val="20"/>
        </w:rPr>
      </w:pPr>
      <w:r>
        <w:rPr>
          <w:rFonts w:ascii="Times New Roman" w:hAnsi="Times New Roman"/>
          <w:b w:val="false"/>
          <w:sz w:val="20"/>
        </w:rPr>
        <w:t>(d)</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both"/>
        <w:rPr>
          <w:rFonts w:ascii="Times New Roman" w:hAnsi="Times New Roman"/>
          <w:b w:val="false"/>
          <w:sz w:val="20"/>
        </w:rPr>
      </w:pPr>
      <w:r>
        <w:rPr>
          <w:rFonts w:ascii="Times New Roman" w:hAnsi="Times New Roman"/>
          <w:b w:val="false"/>
          <w:sz w:val="20"/>
        </w:rPr>
        <w:t>5.</w:t>
      </w:r>
    </w:p>
    <w:p>
      <w:pPr>
        <w:pStyle w:val="TextBody"/>
        <w:spacing w:before="240" w:after="283"/>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spacing w:before="0" w:after="0"/>
        <w:jc w:val="both"/>
        <w:rPr/>
      </w:pPr>
      <w:r>
        <w:rPr/>
        <w:t> </w:t>
      </w:r>
    </w:p>
    <w:tbl>
      <w:tblPr>
        <w:tblW w:w="5587" w:type="dxa"/>
        <w:jc w:val="left"/>
        <w:tblInd w:w="0" w:type="dxa"/>
        <w:tblCellMar>
          <w:top w:w="28" w:type="dxa"/>
          <w:left w:w="28" w:type="dxa"/>
          <w:bottom w:w="28" w:type="dxa"/>
          <w:right w:w="28" w:type="dxa"/>
        </w:tblCellMar>
      </w:tblPr>
      <w:tblGrid>
        <w:gridCol w:w="1741"/>
        <w:gridCol w:w="109"/>
        <w:gridCol w:w="406"/>
        <w:gridCol w:w="3331"/>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33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3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Kiva A. Allgood</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Kiva A. Allgood</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President and Chief Executive Officer</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(Principal Executive Officer)</w:t>
            </w:r>
          </w:p>
        </w:tc>
      </w:tr>
    </w:tbl>
    <w:p>
      <w:pPr>
        <w:pStyle w:val="TextBody"/>
        <w:spacing w:before="0" w:after="0"/>
        <w:jc w:val="left"/>
        <w:rPr/>
      </w:pPr>
      <w:r>
        <w:rPr/>
        <w:t> </w:t>
      </w:r>
    </w:p>
    <w:p>
      <w:pPr>
        <w:pStyle w:val="TextBody"/>
        <w:spacing w:before="240" w:after="0"/>
        <w:jc w:val="left"/>
        <w:rPr/>
      </w:pPr>
      <w:r>
        <w:rPr/>
        <w:t> </w:t>
      </w:r>
    </w:p>
    <w:p>
      <w:pPr>
        <w:pStyle w:val="HorizontalLine"/>
        <w:rPr/>
      </w:pPr>
      <w:r>
        <w:rPr/>
      </w:r>
      <w:r>
        <w:br w:type="page"/>
      </w:r>
    </w:p>
    <w:p>
      <w:pPr>
        <w:pStyle w:val="TextBody"/>
        <w:spacing w:before="0" w:after="0"/>
        <w:jc w:val="left"/>
        <w:rPr/>
      </w:pPr>
      <w:bookmarkStart w:id="23" w:name="strc-ex31_2.htm"/>
      <w:bookmarkStart w:id="24" w:name="ksstrcex31_2"/>
      <w:bookmarkEnd w:id="23"/>
      <w:bookmarkEnd w:id="24"/>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 Andrew Hamer, certify that:</w:t>
      </w:r>
    </w:p>
    <w:p>
      <w:pPr>
        <w:pStyle w:val="TextBody"/>
        <w:spacing w:before="240" w:after="0"/>
        <w:jc w:val="both"/>
        <w:rPr>
          <w:rFonts w:ascii="Times New Roman" w:hAnsi="Times New Roman"/>
          <w:b w:val="false"/>
          <w:sz w:val="20"/>
        </w:rPr>
      </w:pPr>
      <w:r>
        <w:rPr>
          <w:rFonts w:ascii="Times New Roman" w:hAnsi="Times New Roman"/>
          <w:b w:val="false"/>
          <w:sz w:val="20"/>
        </w:rPr>
        <w:t>1.</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 have reviewed this Quarterly Report on Form 10-Q of Sarcos Technology and Robotics Corporation;</w:t>
      </w:r>
    </w:p>
    <w:p>
      <w:pPr>
        <w:pStyle w:val="TextBody"/>
        <w:spacing w:before="240" w:after="0"/>
        <w:jc w:val="both"/>
        <w:rPr>
          <w:rFonts w:ascii="Times New Roman" w:hAnsi="Times New Roman"/>
          <w:b w:val="false"/>
          <w:sz w:val="20"/>
        </w:rPr>
      </w:pPr>
      <w:r>
        <w:rPr>
          <w:rFonts w:ascii="Times New Roman" w:hAnsi="Times New Roman"/>
          <w:b w:val="false"/>
          <w:sz w:val="20"/>
        </w:rPr>
        <w:t>2.</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both"/>
        <w:rPr>
          <w:rFonts w:ascii="Times New Roman" w:hAnsi="Times New Roman"/>
          <w:b w:val="false"/>
          <w:sz w:val="20"/>
        </w:rPr>
      </w:pPr>
      <w:r>
        <w:rPr>
          <w:rFonts w:ascii="Times New Roman" w:hAnsi="Times New Roman"/>
          <w:b w:val="false"/>
          <w:sz w:val="20"/>
        </w:rPr>
        <w:t>3.</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both"/>
        <w:rPr>
          <w:rFonts w:ascii="Times New Roman" w:hAnsi="Times New Roman"/>
          <w:b w:val="false"/>
          <w:sz w:val="20"/>
        </w:rPr>
      </w:pPr>
      <w:r>
        <w:rPr>
          <w:rFonts w:ascii="Times New Roman" w:hAnsi="Times New Roman"/>
          <w:b w:val="false"/>
          <w:sz w:val="20"/>
        </w:rPr>
        <w:t>4.</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both"/>
        <w:rPr>
          <w:rFonts w:ascii="Times New Roman" w:hAnsi="Times New Roman"/>
          <w:b w:val="false"/>
          <w:sz w:val="20"/>
        </w:rPr>
      </w:pPr>
      <w:r>
        <w:rPr>
          <w:rFonts w:ascii="Times New Roman" w:hAnsi="Times New Roman"/>
          <w:b w:val="false"/>
          <w:sz w:val="20"/>
        </w:rPr>
        <w:t>(a)</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both"/>
        <w:rPr>
          <w:rFonts w:ascii="Times New Roman" w:hAnsi="Times New Roman"/>
          <w:b w:val="false"/>
          <w:sz w:val="20"/>
        </w:rPr>
      </w:pPr>
      <w:r>
        <w:rPr>
          <w:rFonts w:ascii="Times New Roman" w:hAnsi="Times New Roman"/>
          <w:b w:val="false"/>
          <w:sz w:val="20"/>
        </w:rPr>
        <w:t>(b)</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both"/>
        <w:rPr>
          <w:rFonts w:ascii="Times New Roman" w:hAnsi="Times New Roman"/>
          <w:b w:val="false"/>
          <w:sz w:val="20"/>
        </w:rPr>
      </w:pPr>
      <w:r>
        <w:rPr>
          <w:rFonts w:ascii="Times New Roman" w:hAnsi="Times New Roman"/>
          <w:b w:val="false"/>
          <w:sz w:val="20"/>
        </w:rPr>
        <w:t>(c)</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both"/>
        <w:rPr>
          <w:rFonts w:ascii="Times New Roman" w:hAnsi="Times New Roman"/>
          <w:b w:val="false"/>
          <w:sz w:val="20"/>
        </w:rPr>
      </w:pPr>
      <w:r>
        <w:rPr>
          <w:rFonts w:ascii="Times New Roman" w:hAnsi="Times New Roman"/>
          <w:b w:val="false"/>
          <w:sz w:val="20"/>
        </w:rPr>
        <w:t>(d)</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both"/>
        <w:rPr>
          <w:rFonts w:ascii="Times New Roman" w:hAnsi="Times New Roman"/>
          <w:b w:val="false"/>
          <w:sz w:val="20"/>
        </w:rPr>
      </w:pPr>
      <w:r>
        <w:rPr>
          <w:rFonts w:ascii="Times New Roman" w:hAnsi="Times New Roman"/>
          <w:b w:val="false"/>
          <w:sz w:val="20"/>
        </w:rPr>
        <w:t>5.</w:t>
      </w:r>
    </w:p>
    <w:p>
      <w:pPr>
        <w:pStyle w:val="TextBody"/>
        <w:spacing w:before="240" w:after="283"/>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6187" w:type="dxa"/>
        <w:jc w:val="left"/>
        <w:tblInd w:w="0" w:type="dxa"/>
        <w:tblCellMar>
          <w:top w:w="28" w:type="dxa"/>
          <w:left w:w="28" w:type="dxa"/>
          <w:bottom w:w="28" w:type="dxa"/>
          <w:right w:w="28" w:type="dxa"/>
        </w:tblCellMar>
      </w:tblPr>
      <w:tblGrid>
        <w:gridCol w:w="1741"/>
        <w:gridCol w:w="109"/>
        <w:gridCol w:w="406"/>
        <w:gridCol w:w="3931"/>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93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9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Andrew Hamer</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Andrew Hamer</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Chief Financial Officer</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(Principal Financial and Accounting Officer)</w:t>
            </w:r>
          </w:p>
        </w:tc>
      </w:tr>
    </w:tbl>
    <w:p>
      <w:pPr>
        <w:pStyle w:val="TextBody"/>
        <w:spacing w:before="0" w:after="0"/>
        <w:jc w:val="left"/>
        <w:rPr/>
      </w:pPr>
      <w:r>
        <w:rPr/>
        <w:t> </w:t>
      </w:r>
    </w:p>
    <w:p>
      <w:pPr>
        <w:pStyle w:val="TextBody"/>
        <w:spacing w:before="240" w:after="0"/>
        <w:jc w:val="left"/>
        <w:rPr/>
      </w:pPr>
      <w:r>
        <w:rPr/>
        <w:t> </w:t>
      </w:r>
    </w:p>
    <w:p>
      <w:pPr>
        <w:pStyle w:val="HorizontalLine"/>
        <w:rPr/>
      </w:pPr>
      <w:r>
        <w:rPr/>
      </w:r>
      <w:r>
        <w:br w:type="page"/>
      </w:r>
    </w:p>
    <w:p>
      <w:pPr>
        <w:pStyle w:val="TextBody"/>
        <w:spacing w:before="0" w:after="0"/>
        <w:jc w:val="left"/>
        <w:rPr/>
      </w:pPr>
      <w:bookmarkStart w:id="25" w:name="strc-ex32_1.htm"/>
      <w:bookmarkStart w:id="26" w:name="ksstrcex32_1"/>
      <w:bookmarkEnd w:id="25"/>
      <w:bookmarkEnd w:id="26"/>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In connection with the Quarterly Report of Sarcos Technology and Robotics Corporation (the “Company”) on Form 10-Q for the period ending March 31, 2023 as filed with the Securities and Exchange Commission on the date hereof (the “Report”), I certify, pursuant to 18 U.S.C. § 1350, as adopted pursuant to § 906 of the Sarbanes-Oxley Act of 2002, that, to my knowledge:</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(1) The Report fully complies with the requirements of section 13(a) or 15(d), as applicable, of the Securities Exchange Act of 1934; and</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spacing w:before="0" w:after="0"/>
        <w:jc w:val="left"/>
        <w:rPr/>
      </w:pPr>
      <w:r>
        <w:rPr/>
        <w:t> </w:t>
      </w:r>
    </w:p>
    <w:tbl>
      <w:tblPr>
        <w:tblW w:w="4852" w:type="dxa"/>
        <w:jc w:val="left"/>
        <w:tblInd w:w="0" w:type="dxa"/>
        <w:tblCellMar>
          <w:top w:w="28" w:type="dxa"/>
          <w:left w:w="28" w:type="dxa"/>
          <w:bottom w:w="28" w:type="dxa"/>
          <w:right w:w="28" w:type="dxa"/>
        </w:tblCellMar>
      </w:tblPr>
      <w:tblGrid>
        <w:gridCol w:w="1741"/>
        <w:gridCol w:w="109"/>
        <w:gridCol w:w="406"/>
        <w:gridCol w:w="2596"/>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9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9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Kiva A. Allgood</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Kiva A. Allgood</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Chief Executive Officer</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(Principal Executive Officer)</w:t>
            </w:r>
          </w:p>
        </w:tc>
      </w:tr>
    </w:tbl>
    <w:p>
      <w:pPr>
        <w:pStyle w:val="TextBody"/>
        <w:spacing w:before="0" w:after="0"/>
        <w:jc w:val="left"/>
        <w:rPr/>
      </w:pPr>
      <w:r>
        <w:rPr/>
        <w:t> </w:t>
      </w:r>
    </w:p>
    <w:p>
      <w:pPr>
        <w:pStyle w:val="TextBody"/>
        <w:spacing w:before="240" w:after="0"/>
        <w:jc w:val="left"/>
        <w:rPr/>
      </w:pPr>
      <w:r>
        <w:rPr/>
        <w:t> </w:t>
      </w:r>
    </w:p>
    <w:p>
      <w:pPr>
        <w:pStyle w:val="HorizontalLine"/>
        <w:rPr/>
      </w:pPr>
      <w:r>
        <w:rPr/>
      </w:r>
      <w:r>
        <w:br w:type="page"/>
      </w:r>
    </w:p>
    <w:p>
      <w:pPr>
        <w:pStyle w:val="TextBody"/>
        <w:spacing w:before="0" w:after="0"/>
        <w:jc w:val="left"/>
        <w:rPr/>
      </w:pPr>
      <w:bookmarkStart w:id="27" w:name="strc-ex32_2.htm"/>
      <w:bookmarkStart w:id="28" w:name="ksstrcex32_2"/>
      <w:bookmarkEnd w:id="27"/>
      <w:bookmarkEnd w:id="28"/>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32.2</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In connection with the Quarterly Report of Sarcos Technology and Robotics Corporation (the “Company”) on Form 10-Q for the period ending March 31, 2023 as filed with the Securities and Exchange Commission on the date hereof (the “Report”), I certify, pursuant to 18 U.S.C. § 1350, as adopted pursuant to § 906 of the Sarbanes-Oxley Act of 2002, that, to my knowledge:</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(1) The Report fully complies with the requirements of section 13(a) or 15(d), as applicable, of the Securities Exchange Act of 1934; and</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spacing w:before="0" w:after="0"/>
        <w:jc w:val="left"/>
        <w:rPr/>
      </w:pPr>
      <w:r>
        <w:rPr/>
        <w:t> </w:t>
      </w:r>
    </w:p>
    <w:tbl>
      <w:tblPr>
        <w:tblW w:w="6187" w:type="dxa"/>
        <w:jc w:val="left"/>
        <w:tblInd w:w="0" w:type="dxa"/>
        <w:tblCellMar>
          <w:top w:w="28" w:type="dxa"/>
          <w:left w:w="28" w:type="dxa"/>
          <w:bottom w:w="28" w:type="dxa"/>
          <w:right w:w="28" w:type="dxa"/>
        </w:tblCellMar>
      </w:tblPr>
      <w:tblGrid>
        <w:gridCol w:w="1741"/>
        <w:gridCol w:w="109"/>
        <w:gridCol w:w="406"/>
        <w:gridCol w:w="3931"/>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93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9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Andrew Hamer</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Andrew Hamer</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Chief Financial Officer</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(Principal Financial and Accounting Officer)</w:t>
            </w:r>
          </w:p>
        </w:tc>
      </w:tr>
    </w:tbl>
    <w:p>
      <w:pPr>
        <w:pStyle w:val="TextBody"/>
        <w:spacing w:before="0" w:after="0"/>
        <w:jc w:val="left"/>
        <w:rPr/>
      </w:pPr>
      <w:r>
        <w:rPr/>
        <w:t> </w:t>
      </w:r>
    </w:p>
    <w:p>
      <w:pPr>
        <w:pStyle w:val="TextBody"/>
        <w:spacing w:before="24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681/000156459021049662/strc-ex31_83.htm" TargetMode="External"/><Relationship Id="rId3" Type="http://schemas.openxmlformats.org/officeDocument/2006/relationships/hyperlink" Target="https://www.sec.gov/Archives/edgar/data/1826681/000095017022023251/strc-ex3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46584</Words>
  <CharactersWithSpaces>305004</CharactersWithSpaces>
  <Paragraphs>4306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