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534035</wp:posOffset>
            </wp:positionH>
            <wp:positionV relativeFrom="page">
              <wp:posOffset>706120</wp:posOffset>
            </wp:positionV>
            <wp:extent cx="6806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723265</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3680" w:right="1600" w:hanging="3659"/>
        <w:spacing w:after="0" w:line="383" w:lineRule="auto"/>
        <w:tabs>
          <w:tab w:leader="none" w:pos="47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 to 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001-39897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Palladyne AI Corp.</w:t>
      </w:r>
    </w:p>
    <w:p>
      <w:pPr>
        <w:sectPr>
          <w:pgSz w:w="11900" w:h="16838" w:orient="portrait"/>
          <w:cols w:equalWidth="0" w:num="1">
            <w:col w:w="11240"/>
          </w:cols>
          <w:pgMar w:left="320" w:top="1159" w:right="339" w:bottom="1440" w:gutter="0" w:footer="0" w:header="0"/>
        </w:sectPr>
      </w:pPr>
    </w:p>
    <w:p>
      <w:pPr>
        <w:spacing w:after="0" w:line="4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8"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650 South 500 West, Suite 150</w:t>
      </w:r>
    </w:p>
    <w:p>
      <w:pPr>
        <w:spacing w:after="0" w:line="3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Salt Lake City, Utah</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85-2838301</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4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84101</w:t>
      </w:r>
    </w:p>
    <w:p>
      <w:pPr>
        <w:spacing w:after="0" w:line="38" w:lineRule="exact"/>
        <w:rPr>
          <w:sz w:val="24"/>
          <w:szCs w:val="24"/>
          <w:color w:val="auto"/>
        </w:rPr>
      </w:pPr>
    </w:p>
    <w:p>
      <w:pPr>
        <w:sectPr>
          <w:pgSz w:w="11900" w:h="16838" w:orient="portrait"/>
          <w:cols w:equalWidth="0" w:num="2">
            <w:col w:w="7700" w:space="240"/>
            <w:col w:w="3300"/>
          </w:cols>
          <w:pgMar w:left="320" w:top="1159"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927-7296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PDYN</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r>
        <w:trPr>
          <w:trHeight w:val="210"/>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PDYNW</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114"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2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6, 2024, the registrant had 30,112,399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9300" w:type="dxa"/>
            <w:vAlign w:val="bottom"/>
            <w:gridSpan w:val="22"/>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488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490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5"/>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4"/>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800" w:type="dxa"/>
            <w:vAlign w:val="bottom"/>
            <w:gridSpan w:val="19"/>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Part II, Item 1A Risk Factors of this Report. The following is a summary of the principal risks we face:</w:t>
      </w:r>
    </w:p>
    <w:p>
      <w:pPr>
        <w:spacing w:after="0" w:line="5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stage company with a history of losses and are likely to incur losses, which could be significant, for the foreseeable future.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limited resources and access to capital, and our failure to properly estimate the time and expense required to commercialize our prior hardware-centric industrial robotics solutions, we made the decision in late 2023 to focus on our AI/ML Software Platform and related products and to suspend the development and commercialization of our hardware products. These and future decisions about how to use our limited resources may prove to be wrong and may adversely affect our business.</w:t>
      </w:r>
    </w:p>
    <w:p>
      <w:pPr>
        <w:spacing w:after="0" w:line="7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yet to achieve positive operating cash flow, and our ability to generate positive cash flow is uncertain.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previous history or experience with commercializing software products and may not be able to do so efficiently, effectively or at all. We were unsuccessful in our efforts to commercialize the hardware technologies that we and our predecessor companies developed over the past several decades.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commercialization of our AI/ML Software Platform and related products may be delayed beyond our current expectations and therefore product availability to customers, customer acquisition and receipt of software licensing revenue could be delayed.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revenues are expected to be primarily derived from the licensing of our AI/ML Software Platform-related products for the foreseeable future.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issues in the development and use of our AI/ML Software Platform or related products, or issues in products developed by others, may result in reputational harm or liability.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AI/ML Software Platform and related products are new technologies, and the timing and magnitude of revenues from customers is uncertain. If we cannot successfully commercialize our AI/ML Software Platform and related products on our expected schedule, if the platform does not offer our potential customers the features, functionality and return on investment that they expect, and/or if potential customers are not willing to pay for our software products at the license rates that we currently expect, our ability to generate material revenues will be materially impaired.</w:t>
      </w:r>
    </w:p>
    <w:p>
      <w:pPr>
        <w:spacing w:after="0" w:line="7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generate material revenues from our software products before we exhaust our financial resources, we may need to cease business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attract or retain customers at sufficient rates or in sufficient numbers or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previous history with our licensing sales model.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assumptions about market demand, pricing, adoption rates and sales cycles for our software products may be inaccurate.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Palladyne IQ product requires certain limited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that is subject to rapid technological change, and we expect competition to increase. Our products may not be competitive with other alternatives.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complete or enhance our product offerings through our research and development efforts.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both"/>
        <w:ind w:left="503"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design flaws, errors, defects, glitches, bugs or malfunctions (collectively, “Defects”) in our AI/ML Software Platform and related products, failure of our AI/ML Software Platform and related products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“open source” software, which could negatively affect our ability to offer our AI/ML Software Platform and related products and subject us to possible litigation.</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business and prospects depend significantly on our ability to build an effective brand. We may not succeed in establishing, maintaining and strengthening an effective brand, and our brand and reputation could be harmed by negative publicity regarding us or our AI/ML Software Platform and related products. We believe that our previous inability to successfully commercialize our hardware products, and our resulting financial performance, damaged our prior brand. As a result, in March 2024 we changed our name to Palladyne AI Corp. and have branded our AI/ML software products accordingly.</w:t>
      </w:r>
    </w:p>
    <w:p>
      <w:pPr>
        <w:spacing w:after="0" w:line="75"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business, we may not be able to design, develop, market and commercialize our software products successfully.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control the costs associated with our operations in order to achieve profitability.</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substantial research and development costs and devote significant resources to developing and commercializing our AI/ML Software Platform and related products, and we may never reach profitability and/or achieve significant or any revenues.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require a significant amount of capital. Our future capital needs may require us to sell additional equity or debt securities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initiatives to improve our cost structure, including significant workforce reductions, may not result in all anticipated savings, could result in total costs and expenses that are greater than expected and could disrupt our business.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vary significantly from period to period due to fluctuations in our operating costs, revenues (including from development contracts), product demand and other factors.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our senior management and other key employees and, if we are unable to attract, integrate and retain a sufficient number of qualified employees, our ability to design and commercialize our AI/ML Software Platform and related products, operate our business and compete could be harmed.</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in the future be subject to risks associated with strategic relationships or transactions and may not identify or form desired strategic relationships in the future.</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new or changing governmental regulations relating to the development, marketing, licensing, distribution or use of our AI/ML Software Platform and related products or to the providing of customer service, and a failure to comply with such regulations could lead to delays in launching our platform and/or withdrawal of our platform from the market, delay our projected revenues, increase costs and/or make our business unviable if we are unable to modify our software products to comply.</w:t>
      </w:r>
    </w:p>
    <w:p>
      <w:pPr>
        <w:spacing w:after="0" w:line="71" w:lineRule="exact"/>
        <w:rPr>
          <w:rFonts w:ascii="Times New Roman" w:cs="Times New Roman" w:eastAsia="Times New Roman" w:hAnsi="Times New Roman"/>
          <w:sz w:val="18"/>
          <w:szCs w:val="18"/>
          <w:color w:val="auto"/>
        </w:rPr>
      </w:pPr>
    </w:p>
    <w:p>
      <w:pPr>
        <w:ind w:left="503"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and Warrants are subject to potential delisting from The Nasdaq Global Market in the event we do not meet Nasdaq’s continued listing requirements, which would likely impair the liquidity of the trading market for our Common Stock and Warrants.</w:t>
      </w:r>
    </w:p>
    <w:p>
      <w:pPr>
        <w:jc w:val="center"/>
        <w:ind w:right="49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data</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21,328</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23,139</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Marketable securities</w:t>
            </w:r>
          </w:p>
        </w:tc>
        <w:tc>
          <w:tcPr>
            <w:tcW w:w="12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15,947</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Unbilled receivables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24,698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45,063</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4,842</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9,160</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10,092</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38,738</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60,426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5,805</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00" w:type="dxa"/>
            <w:vAlign w:val="bottom"/>
            <w:tcBorders>
              <w:bottom w:val="single" w:sz="8" w:color="CFF0FC"/>
            </w:tcBorders>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8,456</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11,036</w:t>
            </w:r>
          </w:p>
        </w:tc>
        <w:tc>
          <w:tcPr>
            <w:tcW w:w="100" w:type="dxa"/>
            <w:vAlign w:val="bottom"/>
          </w:tcPr>
          <w:p>
            <w:pPr>
              <w:spacing w:after="0"/>
              <w:rPr>
                <w:sz w:val="19"/>
                <w:szCs w:val="19"/>
                <w:color w:val="auto"/>
              </w:rPr>
            </w:pP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15,317</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19,521</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$0.0001 par value, 165,000,000 shares authorized as of September 30, 2024, and December 31,</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2023; 26,863,965 and 25,877,865 shares issued and outstanding as of September 30, 2024, and December 31, 2023,</w:t>
            </w: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461,280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459,113</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2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(437,862 )</w:t>
            </w:r>
          </w:p>
        </w:tc>
        <w:tc>
          <w:tcPr>
            <w:tcW w:w="10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(418,214 )</w:t>
            </w: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23,421</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40,905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38,738</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60,426</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-2828290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-2811145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-2073910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-1628140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-179705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0" w:type="dxa"/>
            <w:vAlign w:val="bottom"/>
          </w:tcPr>
          <w:p>
            <w:pPr>
              <w:spacing w:after="0"/>
              <w:rPr>
                <w:sz w:val="19"/>
                <w:szCs w:val="19"/>
                <w:color w:val="auto"/>
              </w:rPr>
            </w:pPr>
          </w:p>
        </w:tc>
        <w:tc>
          <w:tcPr>
            <w:tcW w:w="284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5800" w:type="dxa"/>
            <w:vAlign w:val="bottom"/>
          </w:tcPr>
          <w:p>
            <w:pPr>
              <w:ind w:left="284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5,400</w:t>
            </w:r>
          </w:p>
        </w:tc>
        <w:tc>
          <w:tcPr>
            <w:tcW w:w="100" w:type="dxa"/>
            <w:vAlign w:val="bottom"/>
            <w:shd w:val="clear" w:color="auto" w:fill="CFF0FC"/>
          </w:tcPr>
          <w:p>
            <w:pPr>
              <w:spacing w:after="0"/>
              <w:rPr>
                <w:sz w:val="19"/>
                <w:szCs w:val="19"/>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 of revenue (exclusive of items shown separately below)</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3,951</w:t>
            </w:r>
          </w:p>
        </w:tc>
        <w:tc>
          <w:tcPr>
            <w:tcW w:w="100" w:type="dxa"/>
            <w:vAlign w:val="bottom"/>
            <w:shd w:val="clear" w:color="auto" w:fill="CFF0FC"/>
          </w:tcPr>
          <w:p>
            <w:pPr>
              <w:spacing w:after="0"/>
              <w:rPr>
                <w:sz w:val="20"/>
                <w:szCs w:val="20"/>
                <w:color w:val="auto"/>
              </w:rPr>
            </w:pPr>
          </w:p>
        </w:tc>
      </w:tr>
      <w:tr>
        <w:trPr>
          <w:trHeight w:val="22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31,120</w:t>
            </w:r>
          </w:p>
        </w:tc>
        <w:tc>
          <w:tcPr>
            <w:tcW w:w="100" w:type="dxa"/>
            <w:vAlign w:val="bottom"/>
          </w:tcPr>
          <w:p>
            <w:pPr>
              <w:spacing w:after="0"/>
              <w:rPr>
                <w:sz w:val="19"/>
                <w:szCs w:val="19"/>
                <w:color w:val="auto"/>
              </w:rPr>
            </w:pPr>
          </w:p>
        </w:tc>
      </w:tr>
      <w:tr>
        <w:trPr>
          <w:trHeight w:val="23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3,965</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25,544</w:t>
            </w:r>
          </w:p>
        </w:tc>
        <w:tc>
          <w:tcPr>
            <w:tcW w:w="100" w:type="dxa"/>
            <w:vAlign w:val="bottom"/>
            <w:shd w:val="clear" w:color="auto" w:fill="CFF0FC"/>
          </w:tcPr>
          <w:p>
            <w:pPr>
              <w:spacing w:after="0"/>
              <w:rPr>
                <w:sz w:val="20"/>
                <w:szCs w:val="20"/>
                <w:color w:val="auto"/>
              </w:rPr>
            </w:pPr>
          </w:p>
        </w:tc>
      </w:tr>
      <w:tr>
        <w:trPr>
          <w:trHeight w:val="22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9,901</w:t>
            </w:r>
          </w:p>
        </w:tc>
        <w:tc>
          <w:tcPr>
            <w:tcW w:w="100" w:type="dxa"/>
            <w:vAlign w:val="bottom"/>
          </w:tcPr>
          <w:p>
            <w:pPr>
              <w:spacing w:after="0"/>
              <w:rPr>
                <w:sz w:val="19"/>
                <w:szCs w:val="19"/>
                <w:color w:val="auto"/>
              </w:rPr>
            </w:pPr>
          </w:p>
        </w:tc>
      </w:tr>
      <w:tr>
        <w:trPr>
          <w:trHeight w:val="23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shd w:val="clear" w:color="auto" w:fill="CFF0FC"/>
          </w:tcPr>
          <w:p>
            <w:pPr>
              <w:spacing w:after="0"/>
              <w:rPr>
                <w:sz w:val="20"/>
                <w:szCs w:val="20"/>
                <w:color w:val="auto"/>
              </w:rPr>
            </w:pPr>
          </w:p>
        </w:tc>
      </w:tr>
      <w:tr>
        <w:trPr>
          <w:trHeight w:val="22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 write-down and restructuring</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(187 )</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(192 )</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16,328</w:t>
            </w:r>
          </w:p>
        </w:tc>
        <w:tc>
          <w:tcPr>
            <w:tcW w:w="100" w:type="dxa"/>
            <w:vAlign w:val="bottom"/>
          </w:tcPr>
          <w:p>
            <w:pPr>
              <w:spacing w:after="0"/>
              <w:rPr>
                <w:sz w:val="19"/>
                <w:szCs w:val="19"/>
                <w:color w:val="auto"/>
              </w:rPr>
            </w:pPr>
          </w:p>
        </w:tc>
      </w:tr>
      <w:tr>
        <w:trPr>
          <w:trHeight w:val="223"/>
        </w:trPr>
        <w:tc>
          <w:tcPr>
            <w:tcW w:w="580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32,581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27,464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89,301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(7,299 )</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(30,754 )</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(20,439 )</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(83,901 )</w:t>
            </w:r>
          </w:p>
        </w:tc>
      </w:tr>
      <w:tr>
        <w:trPr>
          <w:trHeight w:val="23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 net</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100" w:type="dxa"/>
            <w:vAlign w:val="bottom"/>
            <w:shd w:val="clear" w:color="auto" w:fill="CFF0FC"/>
          </w:tcPr>
          <w:p>
            <w:pPr>
              <w:spacing w:after="0"/>
              <w:rPr>
                <w:sz w:val="20"/>
                <w:szCs w:val="20"/>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gain on warrant liability</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(43 )</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(175 )</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9"/>
                <w:szCs w:val="19"/>
                <w:color w:val="auto"/>
              </w:rPr>
            </w:pPr>
          </w:p>
        </w:tc>
      </w:tr>
      <w:tr>
        <w:trPr>
          <w:trHeight w:val="23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 expense</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(7,093 )</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(28,981 )</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(19,645 )</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(79,114 )</w:t>
            </w:r>
          </w:p>
        </w:tc>
      </w:tr>
      <w:tr>
        <w:trPr>
          <w:trHeight w:val="23"/>
        </w:trPr>
        <w:tc>
          <w:tcPr>
            <w:tcW w:w="5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(3 )</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(3 )</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(3 )</w:t>
            </w:r>
          </w:p>
        </w:tc>
      </w:tr>
      <w:tr>
        <w:trPr>
          <w:trHeight w:val="23"/>
        </w:trPr>
        <w:tc>
          <w:tcPr>
            <w:tcW w:w="580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(7,096 )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(28,981 )</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(19,648 )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(79,117 )</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 and diluted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(0.27 )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(1.13 )</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(0.76 )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(3.09 )</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computing net loss per share</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 and diluted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26,177,413</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25,706,023</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26,018,708</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25,563,895</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-1898015</wp:posOffset>
            </wp:positionV>
            <wp:extent cx="10223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235" cy="18859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-1898015</wp:posOffset>
            </wp:positionV>
            <wp:extent cx="10223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235" cy="188595"/>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-1898015</wp:posOffset>
            </wp:positionV>
            <wp:extent cx="9398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-1898015</wp:posOffset>
            </wp:positionV>
            <wp:extent cx="9398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-1139190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-1139190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-1139190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-830580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-830580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-830580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-505460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-505460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-505460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-179070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-179070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-179070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0" w:type="dxa"/>
            <w:vAlign w:val="bottom"/>
          </w:tcPr>
          <w:p>
            <w:pPr>
              <w:spacing w:after="0"/>
              <w:rPr>
                <w:sz w:val="19"/>
                <w:szCs w:val="19"/>
                <w:color w:val="auto"/>
              </w:rPr>
            </w:pPr>
          </w:p>
        </w:tc>
        <w:tc>
          <w:tcPr>
            <w:tcW w:w="284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5800" w:type="dxa"/>
            <w:vAlign w:val="bottom"/>
          </w:tcPr>
          <w:p>
            <w:pPr>
              <w:ind w:left="284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(7,096 )</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(28,981 )</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(19,648 )</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(79,117 )</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Change in unrealized gain (loss) on available-for-sale investments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(3 )</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20"/>
                <w:szCs w:val="20"/>
                <w:color w:val="auto"/>
              </w:rPr>
            </w:pPr>
          </w:p>
        </w:tc>
      </w:tr>
      <w:tr>
        <w:trPr>
          <w:trHeight w:val="217"/>
        </w:trPr>
        <w:tc>
          <w:tcPr>
            <w:tcW w:w="5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(7,096 )</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(28,967 )</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(19,651 )</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(79,098 )</w:t>
            </w: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-346710</wp:posOffset>
            </wp:positionV>
            <wp:extent cx="102235"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235" cy="18859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-346710</wp:posOffset>
            </wp:positionV>
            <wp:extent cx="102235"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235" cy="188595"/>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-346710</wp:posOffset>
            </wp:positionV>
            <wp:extent cx="9398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-346710</wp:posOffset>
            </wp:positionV>
            <wp:extent cx="9398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2340" w:type="dxa"/>
            <w:vAlign w:val="bottom"/>
            <w:gridSpan w:val="3"/>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360" w:type="dxa"/>
            <w:vAlign w:val="bottom"/>
          </w:tcPr>
          <w:p>
            <w:pPr>
              <w:spacing w:after="0"/>
              <w:rPr>
                <w:sz w:val="18"/>
                <w:szCs w:val="18"/>
                <w:color w:val="auto"/>
              </w:rPr>
            </w:pPr>
          </w:p>
        </w:tc>
        <w:tc>
          <w:tcPr>
            <w:tcW w:w="2340" w:type="dxa"/>
            <w:vAlign w:val="bottom"/>
            <w:tcBorders>
              <w:bottom w:val="single" w:sz="8" w:color="auto"/>
            </w:tcBorders>
            <w:gridSpan w:val="3"/>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20"/>
        </w:trPr>
        <w:tc>
          <w:tcPr>
            <w:tcW w:w="3360" w:type="dxa"/>
            <w:vAlign w:val="bottom"/>
          </w:tcPr>
          <w:p>
            <w:pPr>
              <w:spacing w:after="0"/>
              <w:rPr>
                <w:sz w:val="19"/>
                <w:szCs w:val="19"/>
                <w:color w:val="auto"/>
              </w:rPr>
            </w:pPr>
          </w:p>
        </w:tc>
        <w:tc>
          <w:tcPr>
            <w:tcW w:w="2340" w:type="dxa"/>
            <w:vAlign w:val="bottom"/>
            <w:tcBorders>
              <w:bottom w:val="single" w:sz="8" w:color="auto"/>
            </w:tcBorders>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9"/>
                <w:szCs w:val="19"/>
                <w:color w:val="auto"/>
              </w:rPr>
            </w:pP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2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25,708,519</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447,085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(17 ) $</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(302,621 )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7,204</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repurchased for payment of tax</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 and other</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(2,170 )</w:t>
            </w: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(21,476 )</w:t>
            </w: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(21,476 )</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25,713,553</w:t>
            </w: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449,784</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(324,097 )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125,732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3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151,327</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repurchased for payment of tax</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 and other</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(22,991 )</w:t>
            </w: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(28,660 )</w:t>
            </w: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(28,660 )</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25,841,889</w:t>
            </w: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451,815</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(12 ) $</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(352,757 )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99,049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3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6,074</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6,074</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19,751</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repurchased for payment of tax</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 and other</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(10,808 )</w:t>
            </w: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(28,981 )</w:t>
            </w: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(28,981 )</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25,850,832</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457,888</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(381,738 )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-2099310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-2082165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-2099310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-2082165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-2099310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-2082165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-2099310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-2082165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-2099310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-2082165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-1062355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-1045210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-1062355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-1045210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-1062355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-1045210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-1062355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-1045210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-1062355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-1045210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-24765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-8255</wp:posOffset>
            </wp:positionV>
            <wp:extent cx="768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2340" w:type="dxa"/>
            <w:vAlign w:val="bottom"/>
            <w:gridSpan w:val="3"/>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360" w:type="dxa"/>
            <w:vAlign w:val="bottom"/>
          </w:tcPr>
          <w:p>
            <w:pPr>
              <w:spacing w:after="0"/>
              <w:rPr>
                <w:sz w:val="18"/>
                <w:szCs w:val="18"/>
                <w:color w:val="auto"/>
              </w:rPr>
            </w:pPr>
          </w:p>
        </w:tc>
        <w:tc>
          <w:tcPr>
            <w:tcW w:w="2340" w:type="dxa"/>
            <w:vAlign w:val="bottom"/>
            <w:tcBorders>
              <w:bottom w:val="single" w:sz="8" w:color="auto"/>
            </w:tcBorders>
            <w:gridSpan w:val="3"/>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20"/>
        </w:trPr>
        <w:tc>
          <w:tcPr>
            <w:tcW w:w="3360" w:type="dxa"/>
            <w:vAlign w:val="bottom"/>
          </w:tcPr>
          <w:p>
            <w:pPr>
              <w:spacing w:after="0"/>
              <w:rPr>
                <w:sz w:val="19"/>
                <w:szCs w:val="19"/>
                <w:color w:val="auto"/>
              </w:rPr>
            </w:pPr>
          </w:p>
        </w:tc>
        <w:tc>
          <w:tcPr>
            <w:tcW w:w="2340" w:type="dxa"/>
            <w:vAlign w:val="bottom"/>
            <w:tcBorders>
              <w:bottom w:val="single" w:sz="8" w:color="auto"/>
            </w:tcBorders>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9"/>
                <w:szCs w:val="19"/>
                <w:color w:val="auto"/>
              </w:rPr>
            </w:pP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2"/>
        </w:trPr>
        <w:tc>
          <w:tcPr>
            <w:tcW w:w="3360" w:type="dxa"/>
            <w:vAlign w:val="bottom"/>
          </w:tcPr>
          <w:p>
            <w:pPr>
              <w:spacing w:after="0"/>
              <w:rPr>
                <w:sz w:val="19"/>
                <w:szCs w:val="19"/>
                <w:color w:val="auto"/>
              </w:rPr>
            </w:pPr>
          </w:p>
        </w:tc>
        <w:tc>
          <w:tcPr>
            <w:tcW w:w="12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25,877,865</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459,113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(418,214 )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697,967</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repurchased for payment of tax</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(23,260 )</w:t>
            </w: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(7,229 )</w:t>
            </w: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(7,229 )</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26,552,572</w:t>
            </w: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459,642</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 $</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(425,443 )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34,201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3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198,127</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repurchased for payment of tax</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(15,200 )</w:t>
            </w: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34,195</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(5,323 )</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(5,323 )</w:t>
            </w:r>
          </w:p>
        </w:tc>
        <w:tc>
          <w:tcPr>
            <w:tcW w:w="0" w:type="dxa"/>
            <w:vAlign w:val="bottom"/>
          </w:tcPr>
          <w:p>
            <w:pPr>
              <w:spacing w:after="0"/>
              <w:rPr>
                <w:sz w:val="1"/>
                <w:szCs w:val="1"/>
                <w:color w:val="auto"/>
              </w:rPr>
            </w:pPr>
          </w:p>
        </w:tc>
      </w:tr>
      <w:tr>
        <w:trPr>
          <w:trHeight w:val="23"/>
        </w:trPr>
        <w:tc>
          <w:tcPr>
            <w:tcW w:w="3360" w:type="dxa"/>
            <w:vAlign w:val="bottom"/>
            <w:shd w:val="clear" w:color="auto" w:fill="CFF0F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26,769,694</w:t>
            </w:r>
          </w:p>
        </w:tc>
        <w:tc>
          <w:tcPr>
            <w:tcW w:w="120" w:type="dxa"/>
            <w:vAlign w:val="bottom"/>
          </w:tcPr>
          <w:p>
            <w:pPr>
              <w:spacing w:after="0"/>
              <w:rPr>
                <w:sz w:val="19"/>
                <w:szCs w:val="19"/>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460,574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(430,766 )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Shares repurchased for payment of tax</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withholdings</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(8,107 )</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75,527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(7,096 )</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(7,096 )</w:t>
            </w:r>
          </w:p>
        </w:tc>
        <w:tc>
          <w:tcPr>
            <w:tcW w:w="0" w:type="dxa"/>
            <w:vAlign w:val="bottom"/>
          </w:tcPr>
          <w:p>
            <w:pPr>
              <w:spacing w:after="0"/>
              <w:rPr>
                <w:sz w:val="1"/>
                <w:szCs w:val="1"/>
                <w:color w:val="auto"/>
              </w:rPr>
            </w:pPr>
          </w:p>
        </w:tc>
      </w:tr>
      <w:tr>
        <w:trPr>
          <w:trHeight w:val="23"/>
        </w:trPr>
        <w:tc>
          <w:tcPr>
            <w:tcW w:w="3360" w:type="dxa"/>
            <w:vAlign w:val="bottom"/>
            <w:shd w:val="clear" w:color="auto" w:fill="CFF0F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26,863,965</w:t>
            </w:r>
          </w:p>
        </w:tc>
        <w:tc>
          <w:tcPr>
            <w:tcW w:w="12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461,280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(437,862 )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-2207260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-2190115</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-2207260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-2190115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-2207260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-2190115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-2207260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-2190115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-2207260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-2190115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-2207260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-2190115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-1178560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-1178560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-1178560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-1178560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-1178560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-1178560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-141605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-141605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-141605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-141605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-141605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12065</wp:posOffset>
            </wp:positionV>
            <wp:extent cx="49377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-126365</wp:posOffset>
            </wp:positionV>
            <wp:extent cx="49377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20" w:type="dxa"/>
            <w:vAlign w:val="bottom"/>
          </w:tcPr>
          <w:p>
            <w:pPr>
              <w:spacing w:after="0"/>
              <w:rPr>
                <w:sz w:val="19"/>
                <w:szCs w:val="19"/>
                <w:color w:val="auto"/>
              </w:rPr>
            </w:pPr>
          </w:p>
        </w:tc>
        <w:tc>
          <w:tcPr>
            <w:tcW w:w="3520" w:type="dxa"/>
            <w:vAlign w:val="bottom"/>
            <w:gridSpan w:val="6"/>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77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(19,648 )</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(79,117 )</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10,808</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0" w:type="dxa"/>
            <w:vAlign w:val="bottom"/>
          </w:tcPr>
          <w:p>
            <w:pPr>
              <w:spacing w:after="0"/>
              <w:rPr>
                <w:sz w:val="19"/>
                <w:szCs w:val="19"/>
                <w:color w:val="auto"/>
              </w:rPr>
            </w:pPr>
          </w:p>
        </w:tc>
        <w:tc>
          <w:tcPr>
            <w:tcW w:w="8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investment discount</w:t>
            </w:r>
          </w:p>
        </w:tc>
        <w:tc>
          <w:tcPr>
            <w:tcW w:w="1000" w:type="dxa"/>
            <w:vAlign w:val="bottom"/>
          </w:tcPr>
          <w:p>
            <w:pPr>
              <w:spacing w:after="0"/>
              <w:rPr>
                <w:sz w:val="19"/>
                <w:szCs w:val="19"/>
                <w:color w:val="auto"/>
              </w:rPr>
            </w:pP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(56 )</w:t>
            </w:r>
          </w:p>
        </w:tc>
        <w:tc>
          <w:tcPr>
            <w:tcW w:w="3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(1,833 )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Asset write-down</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10,827</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(63 )</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Unbilled receivable</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(7,169 )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000" w:type="dxa"/>
            <w:vAlign w:val="bottom"/>
          </w:tcPr>
          <w:p>
            <w:pPr>
              <w:spacing w:after="0"/>
              <w:rPr>
                <w:sz w:val="19"/>
                <w:szCs w:val="19"/>
                <w:color w:val="auto"/>
              </w:rPr>
            </w:pP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(1,076 )</w:t>
            </w:r>
          </w:p>
        </w:tc>
        <w:tc>
          <w:tcPr>
            <w:tcW w:w="3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(1,525 )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liabilities and other current liabilities</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(2,420 )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(1,021 )</w:t>
            </w: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1000" w:type="dxa"/>
            <w:vAlign w:val="bottom"/>
          </w:tcPr>
          <w:p>
            <w:pPr>
              <w:spacing w:after="0"/>
              <w:rPr>
                <w:sz w:val="19"/>
                <w:szCs w:val="19"/>
                <w:color w:val="auto"/>
              </w:rPr>
            </w:pP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(843 )</w:t>
            </w:r>
          </w:p>
        </w:tc>
        <w:tc>
          <w:tcPr>
            <w:tcW w:w="3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(997 )</w:t>
            </w:r>
          </w:p>
        </w:tc>
      </w:tr>
      <w:tr>
        <w:trPr>
          <w:trHeight w:val="223"/>
        </w:trPr>
        <w:tc>
          <w:tcPr>
            <w:tcW w:w="77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(17,531</w:t>
            </w:r>
          </w:p>
        </w:tc>
        <w:tc>
          <w:tcPr>
            <w:tcW w:w="28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(60,123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(217 )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000" w:type="dxa"/>
            <w:vAlign w:val="bottom"/>
          </w:tcPr>
          <w:p>
            <w:pPr>
              <w:spacing w:after="0"/>
              <w:rPr>
                <w:sz w:val="19"/>
                <w:szCs w:val="19"/>
                <w:color w:val="auto"/>
              </w:rPr>
            </w:pPr>
          </w:p>
        </w:tc>
        <w:tc>
          <w:tcPr>
            <w:tcW w:w="8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(58,622 )</w:t>
            </w: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15,783</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60,345</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Shares repurchased for payment of tax withholdings</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(84 )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 of obligations under capital leases</w:t>
            </w:r>
          </w:p>
        </w:tc>
        <w:tc>
          <w:tcPr>
            <w:tcW w:w="1000" w:type="dxa"/>
            <w:vAlign w:val="bottom"/>
          </w:tcPr>
          <w:p>
            <w:pPr>
              <w:spacing w:after="0"/>
              <w:rPr>
                <w:sz w:val="19"/>
                <w:szCs w:val="19"/>
                <w:color w:val="auto"/>
              </w:rPr>
            </w:pP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(3 )</w:t>
            </w:r>
          </w:p>
        </w:tc>
        <w:tc>
          <w:tcPr>
            <w:tcW w:w="3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23"/>
        </w:trPr>
        <w:tc>
          <w:tcPr>
            <w:tcW w:w="77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8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w:t>
            </w:r>
          </w:p>
        </w:tc>
        <w:tc>
          <w:tcPr>
            <w:tcW w:w="1000" w:type="dxa"/>
            <w:vAlign w:val="bottom"/>
          </w:tcPr>
          <w:p>
            <w:pPr>
              <w:spacing w:after="0"/>
              <w:rPr>
                <w:sz w:val="19"/>
                <w:szCs w:val="19"/>
                <w:color w:val="auto"/>
              </w:rPr>
            </w:pP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(1,811 )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9"/>
                <w:szCs w:val="19"/>
                <w:color w:val="auto"/>
              </w:rPr>
            </w:pPr>
          </w:p>
        </w:tc>
      </w:tr>
      <w:tr>
        <w:trPr>
          <w:trHeight w:val="23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23,139</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35,159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21,328</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35,310</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-2417445</wp:posOffset>
            </wp:positionV>
            <wp:extent cx="939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-2417445</wp:posOffset>
            </wp:positionV>
            <wp:extent cx="939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-1658620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-1658620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-925830</wp:posOffset>
            </wp:positionV>
            <wp:extent cx="939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-925830</wp:posOffset>
            </wp:positionV>
            <wp:extent cx="9398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-458470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-458470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Palladyne AI Corp. (the “Company” or “Palladyne AI”) is a pioneer in the robotic systems industry. The Company’s mission is to deliver software to its customers that enhances the utility and functionality of third-party stationary and mobile robotic systems by enabling these systems to quickly observe, learn, reason and act in structured and unstructured environments. The Company’s full-stack, closed-loop autonomy software platform (“AI/ML Software Platform”) is being designed with artificial intelligence (“AI”) and machine learning (“ML”) technologies to enable robotic systems to perceive their environment and quickly adapt to changing circumstances by generalizing (i.e., learning) from their past experience using dynamic real-time operations “on the edge” (i.e., on the robotic system) without extensive programming and with minimal robot training. To reflect the Company’s transition from a hardware-focused company, in March 2024 the Company changed its name from Sarcos Technology and Robotics Corporation to Palladyne AI Corp.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in accordance with accounting principles generally accepted in the United States (“GAAP”).</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as of September 30, 2024, are unaudited. The condensed consolidated balance sheet as of December 31, 2023, included herein was derived from the audited consolidated financial statements as of that date. Certain information and note disclosures normally included in annual financial statements prepared in accordance with GAAP have been condensed or omitted. As such, the information included herein should be read in conjunction with the consolidated financial statements and accompanying notes as of and for the year ended December 31, 2023, included in the Company’s Annual Report on Form 10-K, filed with the SEC on February 28,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accounts and transactions have been eliminated in consolidation. The Company’s fiscal year begins on January 1 and ends on December 31.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opinion of the Company’s management, the unaudited condensed consolidated financial statements include all adjustments necessary for fair financial statement presentation. All adjustments are of a normal recurring nature. Interim results are not necessarily indicative of the results to be expected for any subsequent quarter or for the fiscal year ending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5, 2023, the Company effected a 1-for-6 reverse stock split ("Reverse Stock Split") of the Company's outstanding shares of Common Stock, as approved by the Company's stockholders at the Company’s Annual Meeting of Stockholders held on June 14, 2023. All share and per share amounts of Common Stock, options, warrants, restricted stock and restricted stock units in the accompanying condensed consolidated financial statements and notes thereto have been retroactively adjusted for all periods presented to reflect the reverse stock split.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 and 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and use of estimates and assumptions described in the annual consolidated financial statements for the year ended December 31, 2023, that have had a material impact on the Company’s condensed consolidated financial statements and related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cash equivalents and marketable securities were $21.3 million as of September 30, 2024, compared to $39.1 million as of December 31, 2023. The Company has incurred losses and negative cash flows from operations since inception and is likely to continue to incur losses and negative cash flows from operations in the near term. As of September 30, 2024, the Company had an accumulated deficit of approximately $437.9 million and working capital of $19.8 million.</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GAAP and on the basis that the Company will continue as a going concern, which contemplates the realization of assets and the satisfaction of liabilities and commitments in the normal course of business.</w:t>
      </w: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main source of liquidity has been cash generated by equity offerings. The Company’s primary use of cash is for operations and administrative activities including employee-related expenses, and general, operating and overhead expenses. Future capital requirements will depend on many factors, including the Company’s timing and extent of development efforts, the expansion and success of sales and marketing activities, customer growth rate, customer retention, the introduction of new and enhanced product offerings and market acceptance of the Company’s products. The Company believes it has sufficient financial resources for at least the next 12 months from the date of this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revenue from the sale of its products and from the delivery of goods and services arising out of its contractual arrangements to provide product development contract services that are funded by the customer. The Company recognizes revenue when promised goods or services are transferred to customers in an amount that reflects the consideration to which the Company expects to be entitled in exchange for those goods or services by following a five-step process:</w:t>
      </w:r>
    </w:p>
    <w:p>
      <w:pPr>
        <w:spacing w:after="0" w:line="178" w:lineRule="exact"/>
        <w:rPr>
          <w:sz w:val="20"/>
          <w:szCs w:val="20"/>
          <w:color w:val="auto"/>
        </w:rPr>
      </w:pPr>
    </w:p>
    <w:p>
      <w:pPr>
        <w:jc w:val="both"/>
        <w:ind w:left="1020" w:hanging="503"/>
        <w:spacing w:after="0" w:line="256"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contract with a customer: </w:t>
      </w:r>
      <w:r>
        <w:rPr>
          <w:rFonts w:ascii="Times New Roman" w:cs="Times New Roman" w:eastAsia="Times New Roman" w:hAnsi="Times New Roman"/>
          <w:sz w:val="18"/>
          <w:szCs w:val="18"/>
          <w:color w:val="auto"/>
        </w:rPr>
        <w:t>A contract with a customer exists when (i) the Company enters into an enforceable contract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that defines each party’s rights and obligations regarding the products and services to be transferred and identifies the payment terms related to these products and services, (ii) the contract has commercial substance and (iii) the Company determines that collection of substantially all consideration for products and services that are transferred is probable based on the customer’s intent and ability to pay the promised consideration. Contract modifications may include changes in scope of work, and/or the period of completion of the project. The Company analyzes contract modifications to determine if they should be accounted for as a modification to an existing contract or a new stand-alone contract.</w:t>
      </w:r>
    </w:p>
    <w:p>
      <w:pPr>
        <w:spacing w:after="0" w:line="182" w:lineRule="exact"/>
        <w:rPr>
          <w:rFonts w:ascii="Times New Roman" w:cs="Times New Roman" w:eastAsia="Times New Roman" w:hAnsi="Times New Roman"/>
          <w:sz w:val="18"/>
          <w:szCs w:val="18"/>
          <w:i w:val="1"/>
          <w:iCs w:val="1"/>
          <w:color w:val="auto"/>
        </w:rPr>
      </w:pPr>
    </w:p>
    <w:p>
      <w:pPr>
        <w:jc w:val="both"/>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The Company enters into contracts that can include combinations of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which are either capable of being distinct and accounted for as separate performance obligations or as one performance obligation if the majority of tasks and services form a single project or capability. Determining whether products or services are considered distinct performance obligations that should be accounted for separately may require significant judgment.</w:t>
      </w:r>
    </w:p>
    <w:p>
      <w:pPr>
        <w:spacing w:after="0" w:line="179" w:lineRule="exact"/>
        <w:rPr>
          <w:rFonts w:ascii="Times New Roman" w:cs="Times New Roman" w:eastAsia="Times New Roman" w:hAnsi="Times New Roman"/>
          <w:sz w:val="18"/>
          <w:szCs w:val="18"/>
          <w:i w:val="1"/>
          <w:iCs w:val="1"/>
          <w:color w:val="auto"/>
        </w:rPr>
      </w:pPr>
    </w:p>
    <w:p>
      <w:pPr>
        <w:jc w:val="both"/>
        <w:ind w:left="1020" w:hanging="503"/>
        <w:spacing w:after="0" w:line="254"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determined based on the consideration to which the Company will be entitled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transferring goods or services to the customer. Such amounts are typically stated in the customer contract. However, to the extent that the Company identifies variable consideration, the Company will estimate the variable consideration at the onset of the arrangement as long as it is probable that a significant reversal in the amount of cumulative revenue recognized will not occur when the uncertainty associated with the variable consideration is subsequently resolved. The Company’s current contracts do not include any significant financing components because the timing of the transfer of the underlying products and services under contract are at the customer's discretion. Additionally, the Company does not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Taxes collected from customers and remitted to governmental authorities are not included in revenue.</w:t>
      </w:r>
    </w:p>
    <w:p>
      <w:pPr>
        <w:spacing w:after="0" w:line="185" w:lineRule="exact"/>
        <w:rPr>
          <w:rFonts w:ascii="Times New Roman" w:cs="Times New Roman" w:eastAsia="Times New Roman" w:hAnsi="Times New Roman"/>
          <w:sz w:val="18"/>
          <w:szCs w:val="18"/>
          <w:i w:val="1"/>
          <w:iCs w:val="1"/>
          <w:color w:val="auto"/>
        </w:rPr>
      </w:pPr>
    </w:p>
    <w:p>
      <w:pPr>
        <w:jc w:val="both"/>
        <w:ind w:left="1020" w:hanging="503"/>
        <w:spacing w:after="0" w:line="254"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Allocate the transaction price to performance obligations in the contract: </w:t>
      </w:r>
      <w:r>
        <w:rPr>
          <w:rFonts w:ascii="Times New Roman" w:cs="Times New Roman" w:eastAsia="Times New Roman" w:hAnsi="Times New Roman"/>
          <w:sz w:val="18"/>
          <w:szCs w:val="18"/>
          <w:color w:val="auto"/>
        </w:rPr>
        <w:t>Once the Company has determined the transaction price,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price is allocated to each performance obligation in a manner depicting the amount of consideration to which the Company expects to be entitled in exchange for transferring the good(s) or service(s) to the customer. If applicable, the Company allocates the transaction price to each performance obligation identified in the contract on a relative standalone selling price basis. The standalone selling price represents the amount the Company would sell the good(s) or service(s) to a customer on a standalone basis. For government contracts, the Company uses expected cost plus a margin as the standalone selling price. Because the Company's contract pricing with government customers is generally based on expected cost plus a margin, the standalone selling price of the good(s) or service(s) in the Company's contracts with government customers are typically equal to the selling price stated in the contract. When we sell standard good(s) or service(s) with observable standalone sale transactions, the observable standalone sales transactions are used to determine the standalone selling price.</w:t>
      </w:r>
    </w:p>
    <w:p>
      <w:pPr>
        <w:spacing w:after="0" w:line="185" w:lineRule="exact"/>
        <w:rPr>
          <w:rFonts w:ascii="Times New Roman" w:cs="Times New Roman" w:eastAsia="Times New Roman" w:hAnsi="Times New Roman"/>
          <w:sz w:val="18"/>
          <w:szCs w:val="18"/>
          <w:i w:val="1"/>
          <w:iCs w:val="1"/>
          <w:color w:val="auto"/>
        </w:rPr>
      </w:pPr>
    </w:p>
    <w:p>
      <w:pPr>
        <w:jc w:val="both"/>
        <w:ind w:left="1020" w:hanging="503"/>
        <w:spacing w:after="0" w:line="256"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Recognize revenue when or as the Company satisfies a performance obligation</w:t>
      </w:r>
      <w:r>
        <w:rPr>
          <w:rFonts w:ascii="Times New Roman" w:cs="Times New Roman" w:eastAsia="Times New Roman" w:hAnsi="Times New Roman"/>
          <w:sz w:val="18"/>
          <w:szCs w:val="18"/>
          <w:color w:val="auto"/>
        </w:rPr>
        <w:t>: For each performance obligation identified,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at contract inception whether it satisfies the performance obligation over time or at a point in time. For performance obligations satisfied over time, revenue is recognized as work progresses when the Company is entitled to the reimbursement of costs plus a reasonable profit for work performed for which the Company has no alternate use. For these performance obligations, the Company generally recognizes</w:t>
      </w:r>
    </w:p>
    <w:p>
      <w:pPr>
        <w:spacing w:after="0" w:line="1" w:lineRule="exact"/>
        <w:rPr>
          <w:sz w:val="20"/>
          <w:szCs w:val="20"/>
          <w:color w:val="auto"/>
        </w:rPr>
      </w:pPr>
    </w:p>
    <w:p>
      <w:pPr>
        <w:jc w:val="both"/>
        <w:ind w:left="1020"/>
        <w:spacing w:after="0" w:line="250" w:lineRule="auto"/>
        <w:rPr>
          <w:sz w:val="20"/>
          <w:szCs w:val="20"/>
          <w:color w:val="auto"/>
        </w:rPr>
      </w:pPr>
      <w:r>
        <w:rPr>
          <w:rFonts w:ascii="Times New Roman" w:cs="Times New Roman" w:eastAsia="Times New Roman" w:hAnsi="Times New Roman"/>
          <w:sz w:val="18"/>
          <w:szCs w:val="18"/>
          <w:color w:val="auto"/>
        </w:rPr>
        <w:t>revenue using an input method with revenue amounts being recognized proportionately as costs are incurred relative to the total expected costs to satisfy the performance obligation. The Company believes that costs incurred as a portion of total estimated costs is an appropriate measure of progress towards satisfaction of the performance obligation since this measure reasonably depicts the progress of the work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effort. Revenue for performance obligations that are not recognized over time are recognized at the point in time when control transfers to the customer (which is generally upon delivery). For performance obligations that are satisfied at a point in time, the Company evaluates the point in time when the customer can direct the use of, and obtain the benefits from, the products and services. Shipping and handling costs are recorded at the time of product shipment to the customer and are included within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derives its revenue from two sources. First, the Company enters into research and development agreements primarily relating to the commercialization of the Company’s products. Second, the Company sells its products and related parts and repair services. Product development contract revenue includes revenue arising from different types of contractual arrangements, including cost-type contracts and fixed-price contracts. Product revenue primarily consists of sales of the Company’s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Contract Revenue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Cost-type contracts </w:t>
      </w:r>
      <w:r>
        <w:rPr>
          <w:rFonts w:ascii="Times New Roman" w:cs="Times New Roman" w:eastAsia="Times New Roman" w:hAnsi="Times New Roman"/>
          <w:sz w:val="18"/>
          <w:szCs w:val="18"/>
          <w:color w:val="auto"/>
        </w:rPr>
        <w:t>– Research, development and/or testing service contracts, including cost-plus-fixed-fee and time and material contracts, relate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development of the Company's products and related technology. Cost-type contracts are generally entered into with the U.S. government. These contracts are billed at cost plus a margin as defined by the contract and the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 Fixed-price development contracts relate primarily to the development of technology in the area of robotic platforms. Fixed-price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contracts generally require a significant service of integrating a complex set of tasks and components into a single deliverable. Revenue on fixed-price contracts is generally recognized over time as goods and services are provided. To the extent the Company’s actual costs vary from the fixed fee, we will generate more or less profit or could incur a loss. The Company will recognize losses at the contract level in earnings in the period in which they are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revenue relates to sales of the Company’s legacy commercially available products, and certain miscellaneous parts, accessories and repair services. The Company provides a limited one-year warranty on certain product sales.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Revenue recognized for Product Development Contract Revenue and Product Revenue for the three and nine months ended September 30, 2024 and 2023,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00" w:type="dxa"/>
            <w:vAlign w:val="bottom"/>
          </w:tcPr>
          <w:p>
            <w:pPr>
              <w:spacing w:after="0"/>
              <w:rPr>
                <w:sz w:val="17"/>
                <w:szCs w:val="17"/>
                <w:color w:val="auto"/>
              </w:rPr>
            </w:pPr>
          </w:p>
        </w:tc>
      </w:tr>
      <w:tr>
        <w:trPr>
          <w:trHeight w:val="225"/>
        </w:trPr>
        <w:tc>
          <w:tcPr>
            <w:tcW w:w="5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9"/>
                <w:szCs w:val="19"/>
                <w:color w:val="auto"/>
              </w:rPr>
            </w:pPr>
          </w:p>
        </w:tc>
      </w:tr>
      <w:tr>
        <w:trPr>
          <w:trHeight w:val="226"/>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 Development Contract 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2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4,614</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19"/>
                <w:szCs w:val="19"/>
                <w:color w:val="auto"/>
              </w:rPr>
            </w:pPr>
          </w:p>
        </w:tc>
      </w:tr>
      <w:tr>
        <w:trPr>
          <w:trHeight w:val="263"/>
        </w:trPr>
        <w:tc>
          <w:tcPr>
            <w:tcW w:w="5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Revenue, net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24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7,025</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 and cash collection results in the recognition of accounts receivable, unbilled receivables, contract assets and deferred revenue in the Company’s condensed consolidated balance sheets.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funds received in excess of revenue recognized that is contingent upon the satisfaction of performance obligations is accounted for as deferred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include unbilled receivables which are amounts resulting from timing differences between revenue recognition and billing in accordance with agreed-upon contractual terms, which typically occur subsequent to revenue being recognized.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our accounts receivable, unbilled receivables, contract assets and deferred revenue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are as follows: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10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12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Deferred</w:t>
            </w:r>
          </w:p>
        </w:tc>
      </w:tr>
      <w:tr>
        <w:trPr>
          <w:trHeight w:val="203"/>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Unbilled</w:t>
            </w:r>
          </w:p>
        </w:tc>
        <w:tc>
          <w:tcPr>
            <w:tcW w:w="140" w:type="dxa"/>
            <w:vAlign w:val="bottom"/>
          </w:tcPr>
          <w:p>
            <w:pPr>
              <w:spacing w:after="0"/>
              <w:rPr>
                <w:sz w:val="17"/>
                <w:szCs w:val="17"/>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Pr>
          <w:p>
            <w:pPr>
              <w:spacing w:after="0"/>
              <w:rPr>
                <w:sz w:val="19"/>
                <w:szCs w:val="19"/>
                <w:color w:val="auto"/>
              </w:rPr>
            </w:pPr>
          </w:p>
        </w:tc>
      </w:tr>
      <w:tr>
        <w:trPr>
          <w:trHeight w:val="22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as of December 31, 2023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FF0FC"/>
          </w:tcPr>
          <w:p>
            <w:pPr>
              <w:spacing w:after="0"/>
              <w:rPr>
                <w:sz w:val="19"/>
                <w:szCs w:val="19"/>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Increase/(decrease), net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(455 )</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(75 )</w:t>
            </w:r>
          </w:p>
        </w:tc>
      </w:tr>
      <w:tr>
        <w:trPr>
          <w:trHeight w:val="263"/>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as of September 30, 2024</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-25400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-25400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its current contract assets, long-term contract assets and current deferred revenue within prepaid expenses and other current assets, other non-current assets and accrued liabilities, respectively. During the three and nine months ended September 30, 2024, the Company recognized all of the deferred revenue which existed at December 31, 2023. There was no deferred revenue as of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backlog, or revenue related to remaining performance obligations, of $3.7 million. The Company expects most of this backlog to be recognized over the next 12 months. The Company’s backlog represents the expected value of exercised contracts, both funded and unfunded, less revenue recognized to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 2023-07 (“ASU 2023-07”), Segment Reporting (Topic 280): Improvements to Reportable Segment Disclosures, which requires enhanced disclosure of significant segment expenses on an annual and interim basis. ASU 2023-07 is effective for fiscal years beginning after December 15, 2023, and interim periods within fiscal years beginning after December 31, 2024, on a retrospective basis. Early adoption is permitted. The Company is currently evaluating the impact of this accounting standard update on its consolidated financial statements and related disclosures.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(“ASU 2023-09”), Income Taxes (Topic 740): Improvements to Income Tax Disclosures.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2026 and will be applied on a prospective basis with the option to apply the standard retrospectively. The Company does not expect a material impact on its consolidated financial statements related to ASU 2023-09.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Topic 820, Fair Value Measurement, defines fair value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spacing w:after="0" w:line="16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Level 1—Fair value is based on observable inputs such as quoted prices for identical assets or liabilities in active markets.</w:t>
      </w:r>
    </w:p>
    <w:p>
      <w:pPr>
        <w:spacing w:after="0" w:line="225" w:lineRule="exact"/>
        <w:rPr>
          <w:sz w:val="20"/>
          <w:szCs w:val="20"/>
          <w:color w:val="auto"/>
        </w:rPr>
      </w:pPr>
    </w:p>
    <w:p>
      <w:pPr>
        <w:ind w:left="1660"/>
        <w:spacing w:after="0" w:line="282" w:lineRule="auto"/>
        <w:rPr>
          <w:sz w:val="20"/>
          <w:szCs w:val="20"/>
          <w:color w:val="auto"/>
        </w:rPr>
      </w:pPr>
      <w:r>
        <w:rPr>
          <w:rFonts w:ascii="Times New Roman" w:cs="Times New Roman" w:eastAsia="Times New Roman" w:hAnsi="Times New Roman"/>
          <w:sz w:val="18"/>
          <w:szCs w:val="18"/>
          <w:color w:val="auto"/>
        </w:rPr>
        <w:t>Level 2—Fair value is determined using quoted prices for similar assets or liabilities in active markets or quoted prices for identical or similar assets or liabilities in markets that are not active or are directly or indirectly observable.</w:t>
      </w:r>
    </w:p>
    <w:p>
      <w:pPr>
        <w:spacing w:after="0" w:line="162" w:lineRule="exact"/>
        <w:rPr>
          <w:sz w:val="20"/>
          <w:szCs w:val="20"/>
          <w:color w:val="auto"/>
        </w:rPr>
      </w:pPr>
    </w:p>
    <w:p>
      <w:pPr>
        <w:ind w:left="1660"/>
        <w:spacing w:after="0" w:line="282" w:lineRule="auto"/>
        <w:rPr>
          <w:sz w:val="20"/>
          <w:szCs w:val="20"/>
          <w:color w:val="auto"/>
        </w:rPr>
      </w:pPr>
      <w:r>
        <w:rPr>
          <w:rFonts w:ascii="Times New Roman" w:cs="Times New Roman" w:eastAsia="Times New Roman" w:hAnsi="Times New Roman"/>
          <w:sz w:val="18"/>
          <w:szCs w:val="18"/>
          <w:color w:val="auto"/>
        </w:rPr>
        <w:t>Level 3—Fair value is determined using one or more significant inputs that are unobservable in active markets at the measurement date, such as an option pricing model, discounted cash flow or similar technique.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 on a Recurring Basis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 recurring basis, the Company measures certain of its financial assets and liabilities at fair value. The fair value of the Company’s financial assets and liabilities measured at fair value on a recurring basis was determined using the following inputs as of September 30, 2024 and December 31,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U.S. Treasury securities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20"/>
                <w:szCs w:val="20"/>
                <w:color w:val="auto"/>
              </w:rPr>
            </w:pPr>
          </w:p>
        </w:tc>
      </w:tr>
      <w:tr>
        <w:trPr>
          <w:trHeight w:val="21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 liability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9"/>
                <w:szCs w:val="19"/>
                <w:color w:val="auto"/>
              </w:rPr>
            </w:pPr>
          </w:p>
        </w:tc>
      </w:tr>
      <w:tr>
        <w:trPr>
          <w:trHeight w:val="26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26"/>
        </w:trPr>
        <w:tc>
          <w:tcPr>
            <w:tcW w:w="5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U.S. Treasury securities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4,973</w:t>
            </w:r>
          </w:p>
        </w:tc>
        <w:tc>
          <w:tcPr>
            <w:tcW w:w="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4,973</w:t>
            </w:r>
          </w:p>
        </w:tc>
        <w:tc>
          <w:tcPr>
            <w:tcW w:w="100" w:type="dxa"/>
            <w:vAlign w:val="bottom"/>
            <w:shd w:val="clear" w:color="auto" w:fill="CFF0FC"/>
          </w:tcPr>
          <w:p>
            <w:pPr>
              <w:spacing w:after="0"/>
              <w:rPr>
                <w:sz w:val="20"/>
                <w:szCs w:val="20"/>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U.S. treasury securities</w:t>
            </w: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15,947</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20,920</w:t>
            </w:r>
          </w:p>
        </w:tc>
        <w:tc>
          <w:tcPr>
            <w:tcW w:w="4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4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20,920</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 liability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9"/>
                <w:szCs w:val="19"/>
                <w:color w:val="auto"/>
              </w:rPr>
            </w:pPr>
          </w:p>
        </w:tc>
      </w:tr>
      <w:tr>
        <w:trPr>
          <w:trHeight w:val="26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-2005330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-1988185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-2005330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-1988185</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-2005330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-1988185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-805180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-805180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-805180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held $3.0 million of available-for-sale debt securities with maturity dates within one year. The fair value of the Company's available-for-sale debt securities approximates their amortized cost basis. The Company considers all highly liquid investments purchased with an original maturity of three months or less to be cash equivalents. The carrying amounts of accounts receivable, unbilled receivables, accounts payable and accrued expenses approximate their fair values because of the relatively short periods until they are required to be settled.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inventories, net consisted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jc w:val="right"/>
              <w:ind w:right="66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9"/>
                <w:szCs w:val="19"/>
                <w:color w:val="auto"/>
              </w:rPr>
            </w:pPr>
          </w:p>
        </w:tc>
      </w:tr>
      <w:tr>
        <w:trPr>
          <w:trHeight w:val="219"/>
        </w:trPr>
        <w:tc>
          <w:tcPr>
            <w:tcW w:w="7720" w:type="dxa"/>
            <w:vAlign w:val="bottom"/>
            <w:tcBorders>
              <w:bottom w:val="single" w:sz="8" w:color="CFF0FC"/>
            </w:tcBorders>
            <w:shd w:val="clear" w:color="auto" w:fill="CFF0FC"/>
          </w:tcPr>
          <w:p>
            <w:pPr>
              <w:jc w:val="right"/>
              <w:ind w:right="6359"/>
              <w:spacing w:after="0"/>
              <w:rPr>
                <w:sz w:val="20"/>
                <w:szCs w:val="20"/>
                <w:color w:val="auto"/>
              </w:rPr>
            </w:pPr>
            <w:r>
              <w:rPr>
                <w:rFonts w:ascii="Times New Roman" w:cs="Times New Roman" w:eastAsia="Times New Roman" w:hAnsi="Times New Roman"/>
                <w:sz w:val="16"/>
                <w:szCs w:val="16"/>
                <w:color w:val="auto"/>
              </w:rPr>
              <w:t>Finished goods, net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jc w:val="right"/>
              <w:ind w:right="6339"/>
              <w:spacing w:after="0"/>
              <w:rPr>
                <w:sz w:val="20"/>
                <w:szCs w:val="20"/>
                <w:color w:val="auto"/>
              </w:rPr>
            </w:pPr>
            <w:r>
              <w:rPr>
                <w:rFonts w:ascii="Times New Roman" w:cs="Times New Roman" w:eastAsia="Times New Roman" w:hAnsi="Times New Roman"/>
                <w:sz w:val="16"/>
                <w:szCs w:val="16"/>
                <w:color w:val="auto"/>
              </w:rPr>
              <w:t>Total inventories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ind w:left="128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-179070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prepaid expenses and other current assets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9"/>
                <w:szCs w:val="19"/>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insurance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tcPr>
          <w:p>
            <w:pPr>
              <w:spacing w:after="0"/>
              <w:rPr>
                <w:sz w:val="19"/>
                <w:szCs w:val="19"/>
                <w:color w:val="auto"/>
              </w:rPr>
            </w:pPr>
          </w:p>
        </w:tc>
      </w:tr>
      <w:tr>
        <w:trPr>
          <w:trHeight w:val="23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prepaid expenses and assets</w:t>
            </w:r>
          </w:p>
        </w:tc>
        <w:tc>
          <w:tcPr>
            <w:tcW w:w="12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-179705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property and equipment, net consist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7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Robotics and manufacturing equipment</w:t>
            </w:r>
          </w:p>
        </w:tc>
        <w:tc>
          <w:tcPr>
            <w:tcW w:w="580" w:type="dxa"/>
            <w:vAlign w:val="bottom"/>
            <w:tcBorders>
              <w:top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28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100" w:type="dxa"/>
            <w:vAlign w:val="bottom"/>
            <w:shd w:val="clear" w:color="auto" w:fill="CFF0FC"/>
          </w:tcPr>
          <w:p>
            <w:pPr>
              <w:spacing w:after="0"/>
              <w:rPr>
                <w:sz w:val="19"/>
                <w:szCs w:val="19"/>
                <w:color w:val="auto"/>
              </w:rPr>
            </w:pPr>
          </w:p>
        </w:tc>
      </w:tr>
      <w:tr>
        <w:trPr>
          <w:trHeight w:val="22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4,458</w:t>
            </w:r>
          </w:p>
        </w:tc>
        <w:tc>
          <w:tcPr>
            <w:tcW w:w="100" w:type="dxa"/>
            <w:vAlign w:val="bottom"/>
          </w:tcPr>
          <w:p>
            <w:pPr>
              <w:spacing w:after="0"/>
              <w:rPr>
                <w:sz w:val="19"/>
                <w:szCs w:val="19"/>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Computer equipment</w:t>
            </w:r>
          </w:p>
        </w:tc>
        <w:tc>
          <w:tcPr>
            <w:tcW w:w="5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shd w:val="clear" w:color="auto" w:fill="CFF0FC"/>
          </w:tcPr>
          <w:p>
            <w:pPr>
              <w:spacing w:after="0"/>
              <w:rPr>
                <w:sz w:val="20"/>
                <w:szCs w:val="20"/>
                <w:color w:val="auto"/>
              </w:rPr>
            </w:pPr>
          </w:p>
        </w:tc>
      </w:tr>
      <w:tr>
        <w:trPr>
          <w:trHeight w:val="22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Financed leased computer equipment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5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FF0FC"/>
          </w:tcPr>
          <w:p>
            <w:pPr>
              <w:spacing w:after="0"/>
              <w:rPr>
                <w:sz w:val="20"/>
                <w:szCs w:val="20"/>
                <w:color w:val="auto"/>
              </w:rPr>
            </w:pPr>
          </w:p>
        </w:tc>
      </w:tr>
      <w:tr>
        <w:trPr>
          <w:trHeight w:val="223"/>
        </w:trPr>
        <w:tc>
          <w:tcPr>
            <w:tcW w:w="78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Furniture and fixtures, and other fixed assets</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Borders>
              <w:bottom w:val="single" w:sz="8" w:color="CFF0FC"/>
            </w:tcBorders>
          </w:tcPr>
          <w:p>
            <w:pPr>
              <w:spacing w:after="0"/>
              <w:rPr>
                <w:sz w:val="19"/>
                <w:szCs w:val="19"/>
                <w:color w:val="auto"/>
              </w:rPr>
            </w:pPr>
          </w:p>
        </w:tc>
      </w:tr>
      <w:tr>
        <w:trPr>
          <w:trHeight w:val="229"/>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5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7,351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9,109</w:t>
            </w:r>
          </w:p>
        </w:tc>
        <w:tc>
          <w:tcPr>
            <w:tcW w:w="100" w:type="dxa"/>
            <w:vAlign w:val="bottom"/>
            <w:shd w:val="clear" w:color="auto" w:fill="CFF0FC"/>
          </w:tcPr>
          <w:p>
            <w:pPr>
              <w:spacing w:after="0"/>
              <w:rPr>
                <w:sz w:val="19"/>
                <w:szCs w:val="19"/>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5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(2,941 )</w:t>
            </w:r>
          </w:p>
        </w:tc>
        <w:tc>
          <w:tcPr>
            <w:tcW w:w="1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(4,267 )</w:t>
            </w:r>
          </w:p>
        </w:tc>
      </w:tr>
      <w:tr>
        <w:trPr>
          <w:trHeight w:val="263"/>
        </w:trPr>
        <w:tc>
          <w:tcPr>
            <w:tcW w:w="7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80" w:type="dxa"/>
            <w:vAlign w:val="bottom"/>
            <w:tcBorders>
              <w:top w:val="single" w:sz="8" w:color="auto"/>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-479425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Depreciation expenses were $0.2 million and $0.5 million, for the three months ended September 30, 2024 and 2023, respectively. Depreciation expenses were $0.6 million and $1.3 million, for the nine months ended September 30,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accrued liabilities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9"/>
                <w:szCs w:val="19"/>
                <w:color w:val="auto"/>
              </w:rPr>
            </w:pPr>
          </w:p>
        </w:tc>
      </w:tr>
      <w:tr>
        <w:trPr>
          <w:trHeight w:val="22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Payroll and related costs</w:t>
            </w:r>
          </w:p>
        </w:tc>
        <w:tc>
          <w:tcPr>
            <w:tcW w:w="60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3,913</w:t>
            </w:r>
          </w:p>
        </w:tc>
        <w:tc>
          <w:tcPr>
            <w:tcW w:w="100" w:type="dxa"/>
            <w:vAlign w:val="bottom"/>
            <w:shd w:val="clear" w:color="auto" w:fill="CFF0FC"/>
          </w:tcPr>
          <w:p>
            <w:pPr>
              <w:spacing w:after="0"/>
              <w:rPr>
                <w:sz w:val="19"/>
                <w:szCs w:val="19"/>
                <w:color w:val="auto"/>
              </w:rPr>
            </w:pPr>
          </w:p>
        </w:tc>
      </w:tr>
      <w:tr>
        <w:trPr>
          <w:trHeight w:val="22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restructuring accrual</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9"/>
                <w:szCs w:val="19"/>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Legal services accrual</w:t>
            </w:r>
          </w:p>
        </w:tc>
        <w:tc>
          <w:tcPr>
            <w:tcW w:w="6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shd w:val="clear" w:color="auto" w:fill="CFF0FC"/>
          </w:tcPr>
          <w:p>
            <w:pPr>
              <w:spacing w:after="0"/>
              <w:rPr>
                <w:sz w:val="20"/>
                <w:szCs w:val="20"/>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9"/>
                <w:szCs w:val="19"/>
                <w:color w:val="auto"/>
              </w:rPr>
            </w:pPr>
          </w:p>
        </w:tc>
      </w:tr>
      <w:tr>
        <w:trPr>
          <w:trHeight w:val="263"/>
        </w:trPr>
        <w:tc>
          <w:tcPr>
            <w:tcW w:w="7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60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Earn-Out Shares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24, 2021 (the “Closing Date”), Rotor Acquisition Corp. (“Rotor”), a Delaware corporation, consummated the previously announced business combination (the “Business Combination”) pursuant to the terms of the Agreement and Plan of Merger, dated as of April 5, 2021 (the “Original Merger Agreement”), by and among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Rotor, Merger Sub and Old Sarcos. Pursuant to the terms of the Merger Agreement, the Business Combination between Rotor and Old Sarcos was effected through the merger of Merger Sub with and into Old Sarcos, with Old Sarcos continuing as the surviving corporation (the “Merger”) and a wholly-owned subsidiary of Rotor. On the Closing Date, Rotor changed its name to Sarcos Technology and Robotics Corporation. To reflect the Company’s transition from a hardware-focused company to an AI software-focused company, in March 2024 the Company changed its name from Sarcos Technology and Robotics Corporation to Palladyne AI Corp.</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Business Combination, each holder of Old Sarcos capital stock is entitled to Contingent Merger Consideration following the closing of the Business Combination in the form of earn-outs, up to an aggregate of 4,687,500 shares of Common Stock (the “Earn-Out Shares”). The Earn-Out Shares will become payable as follows:</w:t>
      </w:r>
    </w:p>
    <w:p>
      <w:pPr>
        <w:spacing w:after="0" w:line="68" w:lineRule="exact"/>
        <w:rPr>
          <w:sz w:val="20"/>
          <w:szCs w:val="20"/>
          <w:color w:val="auto"/>
        </w:rPr>
      </w:pPr>
    </w:p>
    <w:p>
      <w:pPr>
        <w:jc w:val="both"/>
        <w:ind w:left="1020" w:firstLine="6"/>
        <w:spacing w:after="0" w:line="266" w:lineRule="auto"/>
        <w:tabs>
          <w:tab w:leader="none" w:pos="15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2,343,750 shares of Common Stock of the Company in the aggregate if the closing share price of a share of Common Stock of the Company is equal to or exceeds $90.00 for 20 trading days in any 30 consecutive trading day period at any time during the period beginning on the first anniversary of the Closing Date and ending on the fourth anniversary of the Closing Date.</w:t>
      </w:r>
    </w:p>
    <w:p>
      <w:pPr>
        <w:spacing w:after="0" w:line="67" w:lineRule="exact"/>
        <w:rPr>
          <w:rFonts w:ascii="Times New Roman" w:cs="Times New Roman" w:eastAsia="Times New Roman" w:hAnsi="Times New Roman"/>
          <w:sz w:val="18"/>
          <w:szCs w:val="18"/>
          <w:color w:val="auto"/>
        </w:rPr>
      </w:pPr>
    </w:p>
    <w:p>
      <w:pPr>
        <w:jc w:val="both"/>
        <w:ind w:left="1020" w:firstLine="6"/>
        <w:spacing w:after="0" w:line="266" w:lineRule="auto"/>
        <w:tabs>
          <w:tab w:leader="none" w:pos="15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2,343,750 shares of Common Stock of the Company if the closing share price of a share of Common Stock of the Company is equal to or exceeds $120.00 for 20 trading days in any 30 consecutive trading day period at any time during the period beginning on the first anniversary of the Closing Date and ending on the fifth anniversary of the Closing Date.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Earn-Out Shares are treated as equity-linked instruments as opposed to shares outstanding, and as such are not included in shares outstanding on the Company’s condensed consolidated balance sheets. As of September 30, 2024, there remained 4,687,500 Earn-Out Shares potentially issuable.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5.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20, 2021, Rotor consummated the initial public offering (“IPO”) of 27,600,000 units (the “Units”), including the full exercise by the underwriters of their over-allotment option. Each Unit included one sixth of a share of Class A Common Stock and one half of one warrant (the “Public Warrants”). Simultaneously with the closing of the IPO, Rotor consummated the sale of 7,270,000 warrants (the “Private Placement Warrants”) in a private placement to Rotor Sponsor LLC (the “Sponsor”), an affiliate of Rotor’s officers and directors, and certain funds and accounts managed by two qualified institutional buyers. At the Closing Date, Old Sarcos acquired the net liabilities from Rotor, including the Public Warrants, that were recorded as equity instruments, and the Private Placement Warrants, that were recorded as warrant liabilities (together the “Warrants”).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sixth of a share of the Company’s Common Stock at a price of $11.50 per warrant, subject to adjustment as discussed below, at any time commencing on January 20, 2022, provided that the Company has an effective registration statement under the Securities Act of 1933, as amended (the “Securities Act”) covering the shares of the Common Stock issuable upon exercise of the Warrants and a current prospectus relating to them is available (or the Company permits holders to exercise their Warrants on a cashless basis under the circumstances specified in the warrant agreement (the “Warrant Agreement”) entered into between Continental Stock Transfer &amp; Trust Company and Rotor and such shares are registered, qualified or exempt from registration under the securities laws of the state of residence of the holder. Pursuant to the Warrant Agreement, a Warrant holder may exercise its Warrants only for a whole number of shares of the Company’s Common Stock. The Warrants will expire five years after the completion of the Business Combination, or September 24, 2026, at 5:00 p.m., New York City time, or earlier upon redemption or liquidation. As of September 30, 2024, there were 20,549,453 Warrants outstanding.</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the Company satisfying its obligations described below with respect to registration, or a valid exemption from registration is available. No Warrant will be exercisable, and the Company will not be obligated to issue a share of Common Stock upon exercise of a Warrant unless the share of the Company’s Common Stock issuable upon such Warrant exercise has been registered, qualified or deemed to be exempt under the securities laws of the state of residence of the registered holder of the Warrants. If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a registration statement is not effective for the exercised Warrants, the purchaser in the Rotor IPO of a Unit containing such Warrant will have paid the full purchase price for the Unit solely for the share of the Company’s Common Stock underlying such Unit.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described herein, the Private Placement Warrants have terms and provisions that are identical to those of the Public Warrants. If the Private Placement Warrants are held by holders other than the initial purchasers or their permitted transferees, the Private Placement Warrants will be redeemable by the Company in all redemption scenarios and exercisable by the holders on the same basis as the Public Warrants. The Private Placement Warrants will not be redeemable by the Company so long as they are held by the initial purchasers or their permitted transferees, subject to certain exceptions. The initial purchasers or their permitted transferees, have the option to exercise the Private Placement Warrants on a cashless basis.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the Company’s Common Stock Equals or Exceeds $108.00. </w:t>
      </w:r>
      <w:r>
        <w:rPr>
          <w:rFonts w:ascii="Times New Roman" w:cs="Times New Roman" w:eastAsia="Times New Roman" w:hAnsi="Times New Roman"/>
          <w:sz w:val="18"/>
          <w:szCs w:val="18"/>
          <w:color w:val="auto"/>
        </w:rPr>
        <w:t>Once the Warrants become exercisable,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may call the Warrants for redemption:</w:t>
      </w:r>
    </w:p>
    <w:p>
      <w:pPr>
        <w:spacing w:after="0" w:line="120"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184"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shares of the Company’s Common Stock for any 20 trading days within a 30-trading day period commencing after the Warrants become exercisable and ending three business days before the Company sends the notice of redemption to the Warrant holders (which is referred to as the “Reference Value”) equals or exceeds $108.00 per share (as adjusted for stock splits, stock dividends, reorganizations, recapitalizations and the like).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and when the Warrants become redeemable by the Company, the Company may exercise its redemption right even if it is unable to register or qualify the underlying securities for sale under all applicable state securities laws. However, the Company will not redeem the Warrants unless an effective registration statement under the Securities Act covering the shares of the Company’s Common Stock issuable upon exercise of the Warrants is effective and a current prospectus relating to those shares of the Company’s Common Stock is available throughout the 30-day redemption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Our Common Stock Equals or Exceeds $60.00. </w:t>
      </w:r>
      <w:r>
        <w:rPr>
          <w:rFonts w:ascii="Times New Roman" w:cs="Times New Roman" w:eastAsia="Times New Roman" w:hAnsi="Times New Roman"/>
          <w:sz w:val="18"/>
          <w:szCs w:val="18"/>
          <w:color w:val="auto"/>
        </w:rPr>
        <w:t>Once the Warrants become exercisable,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outstanding Warrants (except as described herein with respect to the Private Placement Warrants if the Company does not utilize this redemption provision):</w:t>
      </w:r>
    </w:p>
    <w:p>
      <w:pPr>
        <w:spacing w:after="0" w:line="135" w:lineRule="exact"/>
        <w:rPr>
          <w:sz w:val="20"/>
          <w:szCs w:val="20"/>
          <w:color w:val="auto"/>
        </w:rPr>
      </w:pPr>
    </w:p>
    <w:p>
      <w:pPr>
        <w:ind w:left="760" w:hanging="378"/>
        <w:spacing w:after="0"/>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9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the Company’s Common Stock;</w:t>
      </w:r>
    </w:p>
    <w:p>
      <w:pPr>
        <w:spacing w:after="0" w:line="13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(as defined above) equals or exceeds $60.00 per share (as adjusted for stock splits, stock dividends, reorganizations, recapitalizations and the like); and</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$108.00 per share (as adjusted for stock splits, stock dividends, reorganizations, recapitalizations and the like) the Private Placement Warrants must also be concurrently called for redemption on the same terms (except as described above with respect to a holder’s ability to cashless exercise its Warrants) as the outstanding Public Warrants, as described above.</w:t>
      </w:r>
    </w:p>
    <w:p>
      <w:pPr>
        <w:spacing w:after="0" w:line="17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Stock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2021 Equity Incentive Plan (the “2021 Plan”) provides stock options, restricted stock units (“RSUs”), restricted stock awards (“RSAs”), stock appreciation rights (“SARS”) and performance awards for issuance to Company employees, officers, directors, non-employee agents and consultants. In general, outstanding awards granted under the 2021 Plan vest over one to four years and, in the case of options, are exercisable up to 10 years from the date of grant. The maximum number of shares of Common Stock that may be issued pursuant to the 2021 Plan is (i) 5.0 million shares of Common Stock of the Company plus (ii) any shares of Common Stock subject to stock options and other awards that were assumed in the Business Combination and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pursuant to clause (ii) equal to 2.1 million shares of Common Stock. As of September 30, 2024, 2.0 million shares were available to grant under the 2021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2015 Equity Incentive Plan (the “2015 Plan”) provided stock options, RSUs, RSAs, SARS and performance awards for issuance to Company employees, officers, directors, non-employee agents and consultants. Outstanding awards under the 2015 Plan generally vest over three to five years and are exercisable up to 10 years from the date of grant. Unvested options are forfeited upon termination. No further awards may be made under the 2015 Plan. Any forfeited awards will be added to the 2021 Plan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Inducement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the 2024 Inducement Equity Incentive Plan (the “Inducement Plan”) with an effective date of December 15, 2024, to reserve 500,000 shares of Common Stock to be used exclusively for grants of nonstatutory stock options, RSUs, RSAs, SARS and performance awards to individuals who were not previously employees or directors of the Company (or who are returning to employment following a bona fide period of non-employment), as an inducement material to the individual’s entry into employment with the Company, pursuant to Nasdaq Listing Rule 5635(c)(4). The Inducement Plan was adopted and approved without stockholder approval pursuant to Nasdaq Listing Rule 5635(c)(4). As of December 15, 2024, 500,000 shares of Common Stock will be available to grant under the Inducement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no stock-based compensation expense has been incurred in respect of the Inducement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2021 Employee Stock Purchase Plan (the “ESPP”) provides for the issuance of shares of Common Stock pursuant to purchase rights granted to employees over designated offering periods, by funds accumulated primarily through elective payroll deductions. As of September 30, 2024, no offering periods have commenced and no shares have been issued under the ESPP.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We will commence offerings under the ESPP beginning with the first offering to begin in December 2024. Offering periods are generally to be six months long and begin on June 1 and December 1 of each year. The purchase price for shares of Common Stock purchased under the ESPP is to be 85% of the lesser of the fair market value of the Common Stock on (i) the first trading day of the applicable offering period and (ii) the last trading day of the offering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no stock-based compensation expense has been incurred in respect of the ESPP.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stock option activity for the nine months ended September 30,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80" w:type="dxa"/>
            <w:vAlign w:val="bottom"/>
          </w:tcPr>
          <w:p>
            <w:pPr>
              <w:spacing w:after="0"/>
              <w:rPr>
                <w:sz w:val="19"/>
                <w:szCs w:val="19"/>
                <w:color w:val="auto"/>
              </w:rPr>
            </w:pPr>
          </w:p>
        </w:tc>
        <w:tc>
          <w:tcPr>
            <w:tcW w:w="374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3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Contractual</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03"/>
        </w:trPr>
        <w:tc>
          <w:tcPr>
            <w:tcW w:w="3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2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25"/>
        </w:trPr>
        <w:tc>
          <w:tcPr>
            <w:tcW w:w="3480" w:type="dxa"/>
            <w:vAlign w:val="bottom"/>
          </w:tcPr>
          <w:p>
            <w:pPr>
              <w:spacing w:after="0"/>
              <w:rPr>
                <w:sz w:val="19"/>
                <w:szCs w:val="19"/>
                <w:color w:val="auto"/>
              </w:rPr>
            </w:pPr>
          </w:p>
        </w:tc>
        <w:tc>
          <w:tcPr>
            <w:tcW w:w="17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6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9"/>
                <w:szCs w:val="19"/>
                <w:color w:val="auto"/>
              </w:rPr>
            </w:pPr>
          </w:p>
        </w:tc>
      </w:tr>
      <w:tr>
        <w:trPr>
          <w:trHeight w:val="230"/>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December 31, 2023</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2,845,084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FF0FC"/>
          </w:tcPr>
          <w:p>
            <w:pPr>
              <w:spacing w:after="0"/>
              <w:rPr>
                <w:sz w:val="19"/>
                <w:szCs w:val="19"/>
                <w:color w:val="auto"/>
              </w:rPr>
            </w:pPr>
          </w:p>
        </w:tc>
      </w:tr>
      <w:tr>
        <w:trPr>
          <w:trHeight w:val="220"/>
        </w:trPr>
        <w:tc>
          <w:tcPr>
            <w:tcW w:w="3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555,000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3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Exercised</w:t>
            </w:r>
          </w:p>
        </w:tc>
        <w:tc>
          <w:tcPr>
            <w:tcW w:w="2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(109,722 )</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26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FF0FC"/>
          </w:tcPr>
          <w:p>
            <w:pPr>
              <w:spacing w:after="0"/>
              <w:rPr>
                <w:sz w:val="20"/>
                <w:szCs w:val="20"/>
                <w:color w:val="auto"/>
              </w:rPr>
            </w:pPr>
          </w:p>
        </w:tc>
      </w:tr>
      <w:tr>
        <w:trPr>
          <w:trHeight w:val="223"/>
        </w:trPr>
        <w:tc>
          <w:tcPr>
            <w:tcW w:w="3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Cancelled</w:t>
            </w: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(1,746,065 )</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September 30, 2024</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1,544,297</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6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 December 31, 2023</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1,250,104</w:t>
            </w:r>
          </w:p>
        </w:tc>
        <w:tc>
          <w:tcPr>
            <w:tcW w:w="3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26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9"/>
                <w:szCs w:val="19"/>
                <w:color w:val="auto"/>
              </w:rPr>
            </w:pPr>
          </w:p>
        </w:tc>
      </w:tr>
      <w:tr>
        <w:trPr>
          <w:trHeight w:val="263"/>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Exercisable – September 30, 2024</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511,120</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60" w:type="dxa"/>
            <w:vAlign w:val="bottom"/>
            <w:tcBorders>
              <w:bottom w:val="single" w:sz="8" w:color="CFF0FC"/>
            </w:tcBorders>
            <w:shd w:val="clear" w:color="auto" w:fill="CFF0FC"/>
          </w:tcPr>
          <w:p>
            <w:pPr>
              <w:spacing w:after="0"/>
              <w:rPr>
                <w:sz w:val="22"/>
                <w:szCs w:val="2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-333375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-333375</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-333375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Repricing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17, 2024, the Company amended certain options to purchase 773,551 shares of the Company’s Common Stock. All of the options subject to the amendments had exercise prices that exceeded the value of the Company’s Common Stock on the amendment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set of amendments, which were entered into with seven senior employees of the Company, applied to options to purchase an aggregate of 225,670 shares held by those seven senior employees. These amendments (1) re-started the vesting schedule of the amended options, including for options that had already vested and (2) reduced the per share exercise price of the options to $1.59 (the “New Exercise Price”), which is equal to the closing price of the Company’s Common Stock on April 17, 2024, the effective date of the amendments. No other terms of these options were modified.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other set of amendments applied to options to purchase an aggregate of 547,881 shares held by other eligible current employees and service providers of the Company with an exercise price per share greater than the New Exercise Price. These amendments reduced the per share exercise price of affected options to the New Exercise Price, which is equal to the closing price of the Company’s Common Stock on April 17, 2024, the effective date of the amendments. No other terms of such options were modified.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incremental fair value to be recognized as a result of the amendments was $0.2 million. The incremental fair value attributable to the vested options of $0.1 million was recognized as stock-based compensation expense during the nine months ended September 30, 2024. The remaining incremental fair value attributable to the unvested option shares will be amortized over the remaining requisite service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RSU activity for the nine months ended September 30,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56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r>
      <w:tr>
        <w:trPr>
          <w:trHeight w:val="200"/>
        </w:trPr>
        <w:tc>
          <w:tcPr>
            <w:tcW w:w="39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25"/>
        </w:trPr>
        <w:tc>
          <w:tcPr>
            <w:tcW w:w="39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6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19"/>
                <w:szCs w:val="19"/>
                <w:color w:val="auto"/>
              </w:rPr>
            </w:pPr>
          </w:p>
        </w:tc>
      </w:tr>
      <w:tr>
        <w:trPr>
          <w:trHeight w:val="22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December 31, 2023</w:t>
            </w:r>
          </w:p>
        </w:tc>
        <w:tc>
          <w:tcPr>
            <w:tcW w:w="5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1,180,115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FF0FC"/>
          </w:tcPr>
          <w:p>
            <w:pPr>
              <w:spacing w:after="0"/>
              <w:rPr>
                <w:sz w:val="19"/>
                <w:szCs w:val="19"/>
                <w:color w:val="auto"/>
              </w:rPr>
            </w:pPr>
          </w:p>
        </w:tc>
      </w:tr>
      <w:tr>
        <w:trPr>
          <w:trHeight w:val="220"/>
        </w:trPr>
        <w:tc>
          <w:tcPr>
            <w:tcW w:w="3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5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1,544,319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9"/>
                <w:szCs w:val="19"/>
                <w:color w:val="auto"/>
              </w:rPr>
            </w:pPr>
          </w:p>
        </w:tc>
      </w:tr>
      <w:tr>
        <w:trPr>
          <w:trHeight w:val="239"/>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Released</w:t>
            </w:r>
          </w:p>
        </w:tc>
        <w:tc>
          <w:tcPr>
            <w:tcW w:w="56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(297,945 )</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shd w:val="clear" w:color="auto" w:fill="CFF0FC"/>
          </w:tcPr>
          <w:p>
            <w:pPr>
              <w:spacing w:after="0"/>
              <w:rPr>
                <w:sz w:val="20"/>
                <w:szCs w:val="20"/>
                <w:color w:val="auto"/>
              </w:rPr>
            </w:pPr>
          </w:p>
        </w:tc>
      </w:tr>
      <w:tr>
        <w:trPr>
          <w:trHeight w:val="223"/>
        </w:trPr>
        <w:tc>
          <w:tcPr>
            <w:tcW w:w="3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Cancelled</w:t>
            </w:r>
          </w:p>
        </w:tc>
        <w:tc>
          <w:tcPr>
            <w:tcW w:w="378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(700,797 )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9"/>
                <w:szCs w:val="19"/>
                <w:color w:val="auto"/>
              </w:rPr>
            </w:pPr>
          </w:p>
        </w:tc>
      </w:tr>
      <w:tr>
        <w:trPr>
          <w:trHeight w:val="263"/>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September 30, 2024</w:t>
            </w:r>
          </w:p>
        </w:tc>
        <w:tc>
          <w:tcPr>
            <w:tcW w:w="378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1,725,692</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19"/>
        </w:trPr>
        <w:tc>
          <w:tcPr>
            <w:tcW w:w="3900" w:type="dxa"/>
            <w:vAlign w:val="bottom"/>
          </w:tcPr>
          <w:p>
            <w:pPr>
              <w:spacing w:after="0"/>
              <w:rPr>
                <w:sz w:val="24"/>
                <w:szCs w:val="24"/>
                <w:color w:val="auto"/>
              </w:rPr>
            </w:pPr>
          </w:p>
        </w:tc>
        <w:tc>
          <w:tcPr>
            <w:tcW w:w="3780" w:type="dxa"/>
            <w:vAlign w:val="bottom"/>
          </w:tcPr>
          <w:p>
            <w:pPr>
              <w:jc w:val="right"/>
              <w:ind w:right="1877"/>
              <w:spacing w:after="0"/>
              <w:rPr>
                <w:sz w:val="20"/>
                <w:szCs w:val="20"/>
                <w:color w:val="auto"/>
              </w:rPr>
            </w:pPr>
            <w:r>
              <w:rPr>
                <w:rFonts w:ascii="Times New Roman" w:cs="Times New Roman" w:eastAsia="Times New Roman" w:hAnsi="Times New Roman"/>
                <w:sz w:val="18"/>
                <w:szCs w:val="18"/>
                <w:color w:val="auto"/>
              </w:rPr>
              <w:t>19</w:t>
            </w: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-779145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Restricted Stock Awards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employee RSA activity for the nine months ended September 30,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80" w:type="dxa"/>
            <w:vAlign w:val="bottom"/>
          </w:tcPr>
          <w:p>
            <w:pPr>
              <w:spacing w:after="0"/>
              <w:rPr>
                <w:sz w:val="19"/>
                <w:szCs w:val="19"/>
                <w:color w:val="auto"/>
              </w:rPr>
            </w:pPr>
          </w:p>
        </w:tc>
        <w:tc>
          <w:tcPr>
            <w:tcW w:w="356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Restricted Stock Awards Outstanding</w:t>
            </w:r>
          </w:p>
        </w:tc>
      </w:tr>
      <w:tr>
        <w:trPr>
          <w:trHeight w:val="200"/>
        </w:trPr>
        <w:tc>
          <w:tcPr>
            <w:tcW w:w="768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00" w:type="dxa"/>
            <w:vAlign w:val="bottom"/>
          </w:tcPr>
          <w:p>
            <w:pPr>
              <w:spacing w:after="0"/>
              <w:rPr>
                <w:sz w:val="17"/>
                <w:szCs w:val="17"/>
                <w:color w:val="auto"/>
              </w:rPr>
            </w:pPr>
          </w:p>
        </w:tc>
      </w:tr>
      <w:tr>
        <w:trPr>
          <w:trHeight w:val="203"/>
        </w:trPr>
        <w:tc>
          <w:tcPr>
            <w:tcW w:w="7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25"/>
        </w:trPr>
        <w:tc>
          <w:tcPr>
            <w:tcW w:w="7680" w:type="dxa"/>
            <w:vAlign w:val="bottom"/>
          </w:tcPr>
          <w:p>
            <w:pPr>
              <w:spacing w:after="0"/>
              <w:rPr>
                <w:sz w:val="19"/>
                <w:szCs w:val="19"/>
                <w:color w:val="auto"/>
              </w:rPr>
            </w:pPr>
          </w:p>
        </w:tc>
        <w:tc>
          <w:tcPr>
            <w:tcW w:w="16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19"/>
                <w:szCs w:val="19"/>
                <w:color w:val="auto"/>
              </w:rPr>
            </w:pPr>
          </w:p>
        </w:tc>
      </w:tr>
      <w:tr>
        <w:trPr>
          <w:trHeight w:val="23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December 31, 2023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tcPr>
          <w:p>
            <w:pPr>
              <w:spacing w:after="0"/>
              <w:rPr>
                <w:sz w:val="19"/>
                <w:szCs w:val="19"/>
                <w:color w:val="auto"/>
              </w:rPr>
            </w:pPr>
          </w:p>
        </w:tc>
      </w:tr>
      <w:tr>
        <w:trPr>
          <w:trHeight w:val="263"/>
        </w:trPr>
        <w:tc>
          <w:tcPr>
            <w:tcW w:w="76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September 30,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280" w:type="dxa"/>
            <w:vAlign w:val="bottom"/>
            <w:tcBorders>
              <w:top w:val="single" w:sz="8" w:color="CFF0FC"/>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-179070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stock-based compensation expense in the condensed consolidated statement of operations and comprehensive loss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25"/>
        </w:trPr>
        <w:tc>
          <w:tcPr>
            <w:tcW w:w="5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00" w:type="dxa"/>
            <w:vAlign w:val="bottom"/>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FF0FC"/>
          </w:tcPr>
          <w:p>
            <w:pPr>
              <w:spacing w:after="0"/>
              <w:rPr>
                <w:sz w:val="19"/>
                <w:szCs w:val="19"/>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tcPr>
          <w:p>
            <w:pPr>
              <w:spacing w:after="0"/>
              <w:rPr>
                <w:sz w:val="19"/>
                <w:szCs w:val="19"/>
                <w:color w:val="auto"/>
              </w:rPr>
            </w:pPr>
          </w:p>
        </w:tc>
      </w:tr>
      <w:tr>
        <w:trPr>
          <w:trHeight w:val="23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shd w:val="clear" w:color="auto" w:fill="CFF0FC"/>
          </w:tcPr>
          <w:p>
            <w:pPr>
              <w:spacing w:after="0"/>
              <w:rPr>
                <w:sz w:val="20"/>
                <w:szCs w:val="20"/>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4,771</w:t>
            </w:r>
          </w:p>
        </w:tc>
        <w:tc>
          <w:tcPr>
            <w:tcW w:w="100" w:type="dxa"/>
            <w:vAlign w:val="bottom"/>
          </w:tcPr>
          <w:p>
            <w:pPr>
              <w:spacing w:after="0"/>
              <w:rPr>
                <w:sz w:val="19"/>
                <w:szCs w:val="19"/>
                <w:color w:val="auto"/>
              </w:rPr>
            </w:pPr>
          </w:p>
        </w:tc>
      </w:tr>
      <w:tr>
        <w:trPr>
          <w:trHeight w:val="23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 write-down and restructuring</w:t>
            </w: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6,074</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10,808</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-179070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-179070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-179070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approximately $4.8 million of unrecognized stock-based compensation cost, which is expected to be recognized over a weighted average period of 2.6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Net Loss Per Share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common stockholders for the three and nine months ended September 30, 2024 and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00" w:type="dxa"/>
            <w:vAlign w:val="bottom"/>
          </w:tcPr>
          <w:p>
            <w:pPr>
              <w:spacing w:after="0"/>
              <w:rPr>
                <w:sz w:val="17"/>
                <w:szCs w:val="17"/>
                <w:color w:val="auto"/>
              </w:rPr>
            </w:pPr>
          </w:p>
        </w:tc>
        <w:tc>
          <w:tcPr>
            <w:tcW w:w="2400" w:type="dxa"/>
            <w:vAlign w:val="bottom"/>
            <w:gridSpan w:val="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25"/>
        </w:trPr>
        <w:tc>
          <w:tcPr>
            <w:tcW w:w="5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(7,096 )</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(28,981 )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(19,648 )</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(79,117 )</w:t>
            </w:r>
          </w:p>
        </w:tc>
      </w:tr>
      <w:tr>
        <w:trPr>
          <w:trHeight w:val="20"/>
        </w:trPr>
        <w:tc>
          <w:tcPr>
            <w:tcW w:w="5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Weighted average shares outstanding, basic and diluted</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26,177,413</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25,706,023</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26,018,708</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25,563,895</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(0.27 )</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(1.13 )</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(0.76 )</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(3.09 )</w:t>
            </w:r>
          </w:p>
        </w:tc>
      </w:tr>
      <w:tr>
        <w:trPr>
          <w:trHeight w:val="238"/>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Anti-dilutive securities, excluded</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12,007,398</w:t>
            </w:r>
          </w:p>
        </w:tc>
        <w:tc>
          <w:tcPr>
            <w:tcW w:w="26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12,473,978</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12,007,398</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12,473,978</w:t>
            </w:r>
          </w:p>
        </w:tc>
        <w:tc>
          <w:tcPr>
            <w:tcW w:w="10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-184150</wp:posOffset>
            </wp:positionV>
            <wp:extent cx="768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-167005</wp:posOffset>
            </wp:positionV>
            <wp:extent cx="768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-184150</wp:posOffset>
            </wp:positionV>
            <wp:extent cx="768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-167005</wp:posOffset>
            </wp:positionV>
            <wp:extent cx="768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-184150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-167005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-184150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-167005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the same for the three and nine months ended September 30, 2024 and 2023, as the inclusion of potential shares of Common Stock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for the periods presented.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determine the Company’s quarterly provision for income taxes, the Company used an estimated annual effective tax rate that is based on expected annual income and statutory tax rates in the various jurisdictions in which the Company operates. Certain significant unusual or infrequently occurring items that are separately reported are separately recognized in the quarter during which they occur and can be a source of variability in the effective tax rate from quarter to quarter.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had no significant income tax expense for the three and nine months ended September 30, 2024 and 2023. The provision for income taxes for the three months ended September 30, 2024 and 2023 is based on the Company’s estimated annualized effective tax rate for the fiscal years ending December 31, 2024 and 2023, respectively. For the three and nine months ended September 30, 2024, the Company’s recognized effective tax rate differs from the U.S. federal statutory rate as the Company recorded net losses during the period with a corresponding full valuation allowance on the net deferred tax assets created from the losses.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been and may in the future be involved in various claims, lawsuits, investigations and other proceedings in the normal course of business. The Company accrues a liability when management believes information available prior to the issuance of its financial statements indicates it is probable a loss has been incurred as of the date of the financial statements and the amount of loss can be reasonably estimated. The Company adjusts its accruals to reflect the impact of negotiation, settlements, rulings, advice of legal counsel and other information and events pertaining to a particular case. Legal costs are expensed as incurred. The Company has not recorded any material loss contingency related to legal proceedings in the balance sheets as of September 30, 2024 and December 31,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provides or may provide indemnifications of varying scope and terms to investors, directors, officers, employees, customers or vendors with respect to certain matters, including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As of September 30, 2024 and December 31, 2023, the Company has not accrued a liability for these indemnification obligations as the likelihood of incurring a material payment obligation in connection with these indemnification obligations is either not probable or not reasonably estimable.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(“CEO”) is the Chief Operating Decision Maker (“CODM”). The CODM allocates resources and makes operating decisions based on financial information presented on a consolidated basis. The CODM does not evaluate profitability below the level of the consolidated company. Accordingly, the Company has determined that it has a single reportable segment and operating segment structure.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revenue is derived primarily from U.S. customers. The Company had $1.1 million and $2.0 million of revenue earned from customers located outside the United States during the three and nine months ended September 30,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long-lived assets are maintained in the United States. All losses are attributable to operations within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31, 2024, the Company entered into a Securities Purchase Agreement with an accredited investor pursuant to which the Company agreed to (a) issue and sell 2,790,700 shares of Common Stock in a registered offering and (b) issue and sell warrants to purchase up to 2,790,700 shares of Common Stock in a private placement. Each share was sold with one common warrant at a combined purchase price of $2.15.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October 31, 2024, the Company entered into a separate Securities Purchase Agreement with the Company’s Chief Executive Officer and certain other members of the Board of Directors in which it agreed to issue and sell in a private placement (a) 430,105 shares of Common Stock at a price of $2.20 per share and (b) warrants to purchase up to 430,105 shares of Common stock at a price of $0.125 per warrant. The Company will receive approximately $7 million in gross proceeds from the Registered Offering and private placements combined.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warrants issued in conjunction with these offerings have an exercise price of $2.30 per share, will become exercisable six months from issuance and will expire five and one-half years from the date of issuance. The transactions closed on November 1, 2024.</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A.G.P. / Alliance Global Partners acted as the placement agent in connection with the Registered Offering and the private placements. A.G.P. was paid a commission of 7% on the gross proceeds received by the Company in the offerings for sales they arranged. The Company reimbursed A.G.P. $50,000 for certain fees and expenses, including legal fees, and paid a non-accountable expense allowance of $10,000.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noted, the “Company,” “Palladyne AI Corp.,” “Palladyne,” “we,” “us,” and “our” refers to Palladyne AI Corp., and its subsidiaries, collectively. You should read the following discussion and analysis of our financial condition and results of operations in conjunction with our unaudited interim condensed consolidated financial statements and related notes thereto included elsewhere in this Quarterly Report (this “Report”) as well as our Annual Report on Form 10-K for the fiscal year ended December 31, 2023 (the “2023 Form 10-K”) and our other filings, including Current Reports on Form 8-K, that we have filed with the SEC through the date of this Report. As discussed in the Special Note Regarding Forward-Looking Statements below, in addition to historical information, the following discussion and analysis contains forward-looking statements that involve risks, uncertainties and assumptions. Our actual results may differ materially from those anticipated in these forward-looking statements as a result of certain factors, including those set forth in Part II Item 1A Risk Factors and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Section 27A of the Securities Act of 1933, as amended (the “Securities Act”) and Section 21E of the Securities Exchange Act of 1934, as amended (the “Exchange Act”). These forward-looking statements relate to expectations for future financial performance, business strategies or expectations for our business. Specifically, forward-looking statements may include statements relating to:</w:t>
      </w:r>
    </w:p>
    <w:p>
      <w:pPr>
        <w:spacing w:after="0" w:line="139" w:lineRule="exact"/>
        <w:rPr>
          <w:sz w:val="20"/>
          <w:szCs w:val="20"/>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pivot our business pursuant to our strategy to focus on the development of our full-stack, closed-loop autonomy software platform (“AI/ML Software Platform”) and related products;</w:t>
      </w:r>
    </w:p>
    <w:p>
      <w:pPr>
        <w:spacing w:after="0" w:line="13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sell our AI/ML Software Platform and related products and the capabilities and functionality of our AI/ML Software Platform and related products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timeline for commercial release of our products and receipt of corresponding revenues;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and size of the markets that we are targeting;</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 product roadmaps, including expected timing of new product releases and target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rapid technological changes;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future businesses and technologies and the potential advantages of our products as compared to competitors;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and expenses;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evolving laws and regulations applicable to our business;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with the necessary experience, including employees who are instrumental to our new business strategy;</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financial and operating information and estimates of market size and opportunities;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our reductions in force on our cash usage and savings, cost structure and restructuring costs;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contingency plans to further limit operations and reduce costs and/or seek additional financing should licensing revenues not materialize in time or sufficient amount to support our operations;</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health epidemics and global economic and geopolitical conditions and international conflicts on our business and the business of our customers;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for our software products;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requirements and sources and uses of cash;</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and the outcome of any known and unknown litigation and regulatory proceedings;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protect our brand;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de minimis hardware development efforts; and</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preceded by, followed by or that include the words “may,” “can,” “should,” “will,” “estimate,” “plan,” “project,” “forecast,” “intend,” “expect,” “anticipate,” “believe,” “seek,” “aim,” “target” or similar expressions.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II Item 1A Risk Factors of this Report. Should one or more of these risks or uncertainties materialize, or should any of the assumptions prove incorrect, actual results may vary in material respects from those projected in these forward-looking statements. Our Risk Factors are not guarantees that no such conditions exist as of the date of this Report and should not be interpreted as an affirmative statement that such risks or conditions have not materialized, in whole or in part.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known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mission is to deliver software to our customers that enhances the utility and functionality of third-party stationary and mobile robotic systems by enabling these systems to quickly observe, learn, reason and act in structured and unstructured environments. Our AI/ML Software Platform is designed with artificial intelligence, or AI, and machine learning, or ML, technologies to enable robotic systems to perceive their environment and quickly adapt to changing circumstances by generalizing (i.e., learning) from their past experience using dynamic real-time operations “on the edge” (i.e., on the robotic system) without extensive programming and with minimal robot training. We believe this “human-like” ability to learn and adapt will be a key differentiator in helping our customers maintain optimal productivity in dynamic or unstructured environments, where new situations and unexpected challenges are more likely to cause delays and costly downtime. Our value proposition is further enhanced relative to other competitive solutions because robotic systems using our AI/ML Software Platform are not required to be continuously connected to the cloud for our software to function, thereby reducing the performance issues associated with poor connectivity and latency typically associated with processing in the cloud. Our approach also reduces the expense typically associated with transmitting large amounts of data to and from the cloud.</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pioneer in the robotic systems industry, we benefit from lessons learned over 30-plus years, as well as significant investment in our internal research and development efforts. Software has been an integral part of our development efforts over the years. Our vision for our AI/ML Software Platform began in 2017 as a foundational technology to enhance training for the autonomous operation of our own internally developed hardware solutions and progressed to our first contract with the U.S. Department of Defense to develop our CYTAR (Cybernetic Training for Autonomous Robots) AI/ML platform in 2019. We have since continued to develop our AI/ML software both for the U.S. Department of Defense and in connection with our development of commercial robotic systems.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designed our AI/ML Software Platform to be hardware agnostic in order to be compatible with most industrial robots being sold today and to support specific types of commercially available robots with additional development and the necessary application programming interface (API). The AI/ML Software Platform is designed to enable robotic systems to perform tasks that involve variations in the environment and the objects being manipulated by the robot. Specifically, our AI/ML Software Platform incorporates internal and external environmental inputs that allow robots to comprehend their environment, determine reasonable behavior given these inputs and to act in real time to achieve the expected task. Each newly learned task will then be incorporated and used to perform future tasks. We believe this closed-loop autonomy approach is the key to how our software can expedite robot training, expand the tasks that a robot can perform, reduce costly workflow stoppages, mitigate downtimes and reduce human labor requirements.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Our AI/ML Software Platform is the foundation for our first two software products. The first, Palladyne IQ, has been developed for use with both stationary industrial robots and cobots, and the second, Palladyne Pilot, is being developed for use with mobile robotic platforms such as drones and unmanned ground vehicles.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released the initial commercial version of our Palladyne IQ product on October 1, 2024 on schedule, and expect to release the initial commercial version of Palladyne Pilot by the end of the first quarter of 2025. The initial commercial version of our Palladyne IQ product continues to undergo reliability testing, debugging and other stabilizing improvements as we continue internal testing and learn from customer trials. We have conducted and continue to conduct customer trials of Palladyne IQ, and we expect more trials to begin throughout the remainder of 2024. We expect to begin generating revenues from commercial customers of Palladyne IQ in 2025. We expect to have the MVP version (i.e., a version of the product that is capable of performing the minimal functions necessary but that does not have all the features of and has not been fully tested, debugged or refined into our planned product for general commercial release) of Palladyne Pilot ready for customer trials by the end of 2024 and a commercial product ready for release by the end of the first quarter of 2025. We recently completed a customer trial of an early version of Palladyne Pilot on stationary devices.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U.S. government revenue-generating contracts related to various aspects of our AI/ML Software Platform and our Palladyne IQ and Palladyne Pilot products. As scheduled to date, we have timely met all the development milestones associated with these contracts and recognized revenue based on work completed.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to date we have met our key AI/ML Software Platform and related products' product development timelines and government contract milestones on schedule, we may not be able to do so in the future and our current expectations regarding the timing or success of customer trials, product release, revenues, features and related matters may be delayed or may not occur. Please see Part II Item 1A Risk Factors for a discussion of the risks related to these activities, in particular those discussed under “</w:t>
      </w:r>
      <w:r>
        <w:rPr>
          <w:rFonts w:ascii="Times New Roman" w:cs="Times New Roman" w:eastAsia="Times New Roman" w:hAnsi="Times New Roman"/>
          <w:sz w:val="18"/>
          <w:szCs w:val="18"/>
          <w:i w:val="1"/>
          <w:iCs w:val="1"/>
          <w:color w:val="auto"/>
        </w:rPr>
        <w:t>Risks Related to our Business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our business evaluation and refined product strategy announced in 2023, we reorganized our operations to focus on this AI/ML Software Platform opportunity and are taking or have taken actions to reduce costs, including our 2023 RIFs (as defined below) and winding down substantially all of our operations in Pittsburgh, Pennsylvania. For additional information around the risks associated with our strategic decision-making see Part II Item 1A Risk Factors “</w:t>
      </w:r>
      <w:r>
        <w:rPr>
          <w:rFonts w:ascii="Times New Roman" w:cs="Times New Roman" w:eastAsia="Times New Roman" w:hAnsi="Times New Roman"/>
          <w:sz w:val="18"/>
          <w:szCs w:val="18"/>
          <w:i w:val="1"/>
          <w:iCs w:val="1"/>
          <w:color w:val="auto"/>
        </w:rPr>
        <w:t>Due to our limited resources and access to capital, and our failure to properly estimate the time and expense required to commercialize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hardware-centric industrial robotics solutions, we made the decision to focus on our AI/ML Software Platform and related products and to suspend the development and commercialization of our hardware products. These and future decisions about how to use our limited resources may prove to be wrong and may adversely affect our business.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Operating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Part II Item 1A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Testing and Commercial Launch of our AI/ML Software Products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expect to derive commercial licensing revenues from Palladyne IQ and Palladyne Pilot beginning in 2025. We expect to continue commercialization efforts, internal testing and customer trials for both products for the remainder of 2024. Whether we are successful in these efforts depends on many factors, including those discussed under Part II Item 1A Risk Factors. Such risks may result in delay in achieving product revenues, which would adversely affect our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use our cash on hand to continue to enhance our software platform and products, conduct product development activities, pursue marketing and sales opportunities and fund operations as we seek to commercialize and achieve revenue from our products. The amount and timing of our future funding requirements will depend on many factors, including the pace and results of our product development efforts, our ability to sell our software products and thereby recognize associated revenue, capital and human capital requirements to develop and sell products prior to receiving payments sufficient to cover our costs and our ability to lower product costs as volumes increase.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taken and continue to take numerous steps to manage our use of cash. For example, on July 12, 2023 (the “July 2023 RIF”), and on November 14, 2023 (the “November 2023 RIF,” and together with the July 2023 RIF, the “2023 RIFs”), we announced reductions in force intended to further conserve our cash resources and manage operating expenses. The majority of the cash payments related to the expenses from the July 2023 RIF were paid out during the third quarter of 2023. The majority of the cash payments related to the November 2023 RIF were paid out during the fourth quarter of 2023 and the first quarter of 2024. On October 31, 2024 we announced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that we raised approximately $7 million in gross proceeds from the sale of Common Stock and warrants through a registered offering and two separate private placements.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we have sufficient liquidity to operate for at least the next 12 months without the need to raise additional capital. However, we may need to seek additional financing during that time to bolster our cash reserves and increase our ability to continue to pursue our business objectives. As a result, we intend to continue monitoring our liquidity, financial and business results and outlook and market conditions, and may be opportunistic and raise capital when we consider market conditions are good or a favorable opportunity exists. Any delays in the successful commercialization and sales of our AI/ML Software Platform will negatively impact our ability to generate revenue, our profitability, our cash flows, our overall operating performance and our ability to continue operations and result in the need to raise additional capital sooner than expected. We will continue to carefully evaluate our use of cash as we pursue our AI/ML Software Platform opportunity.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delays in the successful commercialization and sales of our products will negatively impact our ability to generate revenue, our profitability, our cash flows, our overall operating performance and our ability to continue operations and result in the need to raise additional capital sooner than expected. We will continue to carefully evaluate our use of cash as we pursue our AI/ML Software Platform opportunity.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demand for AI/ML platforms and applications has grown in recent years, the market for these platforms and applications continues to evolve. The market demand for our software products is unproven, and important assumptions about the characteristics of targeted markets, pricing and sales cycles may be inaccurate. While we believe that our AI/ML Software Platform and related products will provide significant benefits and return on investment to customers, we are dependent on customers who are willing to adopt, purchase, and implement new technologies and products. If customer demand does not develop as expected or we do not accurately forecast pricing, adoption rates and sales cycles for our products, our business, results of operations and financial condition will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and Innovation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pioneer in the robotic systems industry and benefit from lessons learned over 30-plus years and significant investment in research and development in our proprietary technologies. Through our previous hardware development efforts, we developed a significant amount of advanced technology that we are leveraging to develop our AI/ML Software Platform and related products. We believe our financial performance is dependent on our ability to successfully develop and commercialize our advanced AI/ML technologies and related products. It is important that we continually identify and respond to rapidly evolving customer requirements and competitive threats, develop and introduce innovative products, enhance our products and generate active market demand for and sell our products. If we fail to do this, our market and financial position and revenue may be adversely affected, and our investments in these technologies will not be recovered.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and Macro-economic Environment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Geopolitical and macro-economic factors, such as inflation, interest rates, oil prices, unemployment rates, international conflicts, such as the current wars between Russia and Ukraine and in the middle east, volatility in the stock market and political or social unrest, can have significant impacts on economic activity, which in turn could affect demand for our products or our ability to cost-effectively develop and sell our products. Among other things, these and similar factors can affect our ability to hire or retain qualified personnel, our labor and materials costs, the prices we charge for our software products and the budgets of our customers and their expected return-on-investment from the purchase of a license for our software product. Many of these factors are outside of our control but can have a significant impact on our business success and operating results. If we are unable to manage our business successfully in response to any such factors, our business and results of operations would be adversely affected.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three months ended September 30, 2024, and 2023, respectively: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25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4"/>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2024 vs. 2023 Change</w:t>
            </w: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9"/>
                <w:szCs w:val="19"/>
                <w:color w:val="auto"/>
              </w:rPr>
            </w:pPr>
          </w:p>
        </w:tc>
      </w:tr>
      <w:tr>
        <w:trPr>
          <w:trHeight w:val="21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Development Contract Revenue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5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4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4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(676 )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(86 )%</w:t>
            </w:r>
          </w:p>
        </w:tc>
      </w:tr>
      <w:tr>
        <w:trPr>
          <w:trHeight w:val="20"/>
        </w:trPr>
        <w:tc>
          <w:tcPr>
            <w:tcW w:w="5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26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240" w:type="dxa"/>
            <w:vAlign w:val="bottom"/>
            <w:gridSpan w:val="2"/>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(956 )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(52 )%</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Revenue decreased by $1.0 million, or 52%, from $1.8 million for the three months ended September 30, 2023, to $0.9 million for the three months ended September 30, 2024, as explained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Contract Revenue</w:t>
      </w:r>
    </w:p>
    <w:p>
      <w:pPr>
        <w:spacing w:after="0" w:line="227"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Product development contract revenue decreased by $0.3 million, or 27%, from $1.0 million for the three months ended September 30, 2023, to $0.8 million for the three months ended September 30, 2024. The decrease was primarily due to the completion of certain product development contracts during 2023 that have not yet been replaced with new contracts. We expect future revenue from product development contracts to fluctuate due to the timing of additional development contracts signed and the completion of existing contracts. For the time being, we intend to take on only those development contracts that we believe support and contribute to our AI/ML Software Platform development efforts. As a result, there may be fewer opportunities to replace completed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Revenue derived from product sales decreased by $0.7 million, or 86%, from $0.8 million for the three months ended September 30, 2023, to $0.1 million for the three months ended September 30, 2024. The decrease was due to fluctuations in legacy hardware product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three months ended September 30, 2024 and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25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2024 vs. 2023 Change</w:t>
            </w: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gridSpan w:val="2"/>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2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4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(743 )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(61 )%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(7,429 )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(74 )%</w:t>
            </w:r>
          </w:p>
        </w:tc>
      </w:tr>
      <w:tr>
        <w:trPr>
          <w:trHeight w:val="23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(3,592 )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(419 )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3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2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(819 )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46"/>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 write-down and restructuring</w:t>
            </w:r>
          </w:p>
        </w:tc>
        <w:tc>
          <w:tcPr>
            <w:tcW w:w="2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(187 )</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(11,409 )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(102 )%</w:t>
            </w:r>
          </w:p>
        </w:tc>
      </w:tr>
      <w:tr>
        <w:trPr>
          <w:trHeight w:val="20"/>
        </w:trPr>
        <w:tc>
          <w:tcPr>
            <w:tcW w:w="5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8,170</w:t>
            </w:r>
          </w:p>
        </w:tc>
        <w:tc>
          <w:tcPr>
            <w:tcW w:w="26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32,581</w:t>
            </w:r>
          </w:p>
        </w:tc>
        <w:tc>
          <w:tcPr>
            <w:tcW w:w="240" w:type="dxa"/>
            <w:vAlign w:val="bottom"/>
            <w:gridSpan w:val="2"/>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(24,411 )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6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6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Cost of revenue decreased by $0.7 million, or 61%, from $1.2 million for the three months ended September 30, 2023, to $0.5 million for the three months ended September 30, 2024. Cost of revenue decreased mainly due to decreased labor and material expenses charged to product development contracts due to contract mix during the three months ended September 30, 2024 as compared to the prior year period.</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$7.4 million, or 74% from $10.0 million for the three months ended September 30, 2023, to $2.6 million for the three months ended September 30, 2024. The decrease was driven primarily by reduced labor and labor related expenses due to the 2023 RIFs.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by $3.6 million, or 48%, from $7.6 million for the three months ended September 30, 2023, to $4.0 million for the three months ended September 30, 2024. General and administrative expense decreased primarily due to reduced labor and labor related expenses, including stock-based compensation, due to the 2023 RIFs.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Sales and marketing expense decreased by $0.4 million, or 24%, from $1.8 million for the three months ended September 30, 2023, to $1.3 million for the three months ended September 30, 2024. This decrease was driven by a decrease in professional service fees related to third-party platform expense utilized in data management of our products and services and decreased events and public relations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Amortization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our product development reprioritization announced in November 2023, our intangible assets were fully amortized as of December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Write-down and Restructuring</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Asset write-down and restructuring expenses were $11.2 million for the three months ended September 30, 2023, as a result of the prior year product development reprioritization and the 2023 RIFs. There were no significant asset write-down and restructuring costs for the three months ended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for the three months ended September 30, 2024 and 2023, respectively: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25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2024 vs. 2023 Change</w:t>
            </w: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gridSpan w:val="2"/>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 net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2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4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(557 )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(69 )%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gain on warrant liability</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(43 )</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(139 )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(145 )%</w:t>
            </w:r>
          </w:p>
        </w:tc>
      </w:tr>
      <w:tr>
        <w:trPr>
          <w:trHeight w:val="246"/>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(871 )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5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6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240" w:type="dxa"/>
            <w:vAlign w:val="bottom"/>
            <w:gridSpan w:val="2"/>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(1,567 )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(88 )%</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Other income decreased by $1.6 million for the three months ended September 30, 2024 as compared to the prior year period, primarily as a result of decreased other income related to the employee retention credit refund received during the prior year period and decreased interest income from our investments in marketable securities due to the reduction in invested funds during the current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We had no significant income tax expense for the three months ended September 30, 2024 and 2023. The provision for income taxes for the three months ended September 30, 2024 and 2023 is based on the Company’s estimated annualized effective tax rate for the fiscal years ending December 31, 2024 and 2023, respectively. For the three months ended September 30, 2024 and 2023, the Company’s recognized effective tax rate differs from the U.S. federal statutory rate as the Company recorded net losses during the period with a corresponding full valuation allowance on the net deferred tax assets created from the losses.</w:t>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3"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nine months ended September 30, 2024 and 2023, respectively: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25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4"/>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2024 vs. 2023 Change</w:t>
            </w:r>
          </w:p>
        </w:tc>
      </w:tr>
      <w:tr>
        <w:trPr>
          <w:trHeight w:val="224"/>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9"/>
                <w:szCs w:val="19"/>
                <w:color w:val="auto"/>
              </w:rPr>
            </w:pPr>
          </w:p>
        </w:tc>
      </w:tr>
      <w:tr>
        <w:trPr>
          <w:trHeight w:val="21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Development Contract Revenue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4,359</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(255 )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4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220" w:type="dxa"/>
            <w:vAlign w:val="bottom"/>
          </w:tcPr>
          <w:p>
            <w:pPr>
              <w:spacing w:after="0"/>
              <w:rPr>
                <w:sz w:val="21"/>
                <w:szCs w:val="21"/>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239 %</w:t>
            </w: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7,025</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5,400</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2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30 %</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5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Revenue increased by $1.6 million, or 30%, from $5.4 million for the nine months ended September 30, 2023, to $7.0 million for the nine months ended September 30, 2024, as explained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Contract Revenue</w:t>
      </w:r>
    </w:p>
    <w:p>
      <w:pPr>
        <w:spacing w:after="0" w:line="227"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Product development contract revenue decreased by $0.3 million, or 6%, from $4.6 million for the nine months ended September 30, 2023, to $4.4 million for the nine months ended September 30, 2024. The decrease was primarily due to the completion of certain product development contracts during 2023 that have not yet been replaced with new contracts. We expect future revenue from product development contracts to fluctuate due to the timing of additional development contracts signed and the completion of existing contracts. For the time being, we intend to take on only those development contracts that we believe support and contribute to our AI/ML Software Platform development efforts. As a result, there may be fewer opportunities to replace completed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Revenue derived from product sales increased by $1.9 million, from the nine months ended September 30, 2023. The increase was primarily due to fluctuations in legacy hardware product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nine months ended September 30, 2024 and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25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2024 vs. 2023 Change</w:t>
            </w: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gridSpan w:val="2"/>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2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3,951</w:t>
            </w:r>
          </w:p>
        </w:tc>
        <w:tc>
          <w:tcPr>
            <w:tcW w:w="4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(1,017 )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(23,295 )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3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(12,163 )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3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(6,385 )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2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(2,457 )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46"/>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 write-down and restructuring</w:t>
            </w:r>
          </w:p>
        </w:tc>
        <w:tc>
          <w:tcPr>
            <w:tcW w:w="2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(192 )</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(16,520 )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(101 )%</w:t>
            </w:r>
          </w:p>
        </w:tc>
      </w:tr>
      <w:tr>
        <w:trPr>
          <w:trHeight w:val="20"/>
        </w:trPr>
        <w:tc>
          <w:tcPr>
            <w:tcW w:w="5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27,464</w:t>
            </w:r>
          </w:p>
        </w:tc>
        <w:tc>
          <w:tcPr>
            <w:tcW w:w="26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89,301</w:t>
            </w:r>
          </w:p>
        </w:tc>
        <w:tc>
          <w:tcPr>
            <w:tcW w:w="240" w:type="dxa"/>
            <w:vAlign w:val="bottom"/>
            <w:gridSpan w:val="2"/>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(61,837 )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(69 )%</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6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6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Cost of revenue decreased by $1.0 million, or 26%, from $4.0 million for the nine months ended September 30, 2023, to $2.9 million for the nine months ended September 30, 2024. Cost of revenue decreased mainly due to decreased labor and material expenses charged to product development contracts due to contract mix, partially offset by increased product costs associated with our product revenue during the nine months ended September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$23.3 million, or 75% from $31.1 million for the nine months ended September 30, 2023, to $7.8 million for the nine months ended September 30, 2024. The decrease was driven primarily by reduced labor and labor related expenses due to the 2023 RIFs.</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1"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by $12.2 million, or 48%, from $25.5 million for the nine months ended September 30, 2023, to $13.4 million for the nine months ended September 30, 2024. General and administrative expense decreased primarily due to reduced labor and labor related expenses, including stock-based compensation, due to the 2023 RIFs.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Sales and marketing expense decreased by $6.4 million, or 64%, from $9.9 million for the nine months ended September 30, 2023, to $3.5 million for the nine months ended September 30, 2024. This decrease was driven by a decrease in professional service fees related to third-party platform expense utilized in data management of our products and services, labor and labor related expenses due to the 2023 RIFs and decreased events and public relations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Amortization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our product development reprioritization announced in November 2023, our intangible assets were fully amortized as of December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Write-down and Restructuring</w:t>
      </w:r>
    </w:p>
    <w:p>
      <w:pPr>
        <w:spacing w:after="0" w:line="227"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Asset write-down and restructuring expenses were $16.3 million for the nine months ended September 30, 2023, as a result of the prior year product development reprioritization. There were no significant asset write-down and restructuring costs for the nine months ended September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for the nine months ended September 30, 2024 and 2023, respectively: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25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2024 vs. 2023 Change</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gridSpan w:val="2"/>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 net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2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4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(1,812 )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gain on warrant liability</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(175 )</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(274 )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(277 )%</w:t>
            </w:r>
          </w:p>
        </w:tc>
      </w:tr>
      <w:tr>
        <w:trPr>
          <w:trHeight w:val="246"/>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(1,907 )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5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26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4,787</w:t>
            </w:r>
          </w:p>
        </w:tc>
        <w:tc>
          <w:tcPr>
            <w:tcW w:w="240" w:type="dxa"/>
            <w:vAlign w:val="bottom"/>
            <w:gridSpan w:val="2"/>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(3,993 )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Other income decreased by $4.0 million for the nine months ended September 30, 2024 as compared to the prior year period, primarily as a result of employee retention credit refunds received in the prior year period and decreased interest income from our investments in marketable securities due to the reduction in invested funds during the current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We had no significant income tax expense for the nine months ended September 30, 2024 and 2023. The provision for income taxes for the nine months ended September 30, 2024 and 2023 is based on the Company’s estimated annualized effective tax rate for the fiscal years ending December 31, 2024 and 2023, respectively. For the nine months ended September 30, 2024 and 2023, the Company’s recognized effective tax rate differs from the U.S. federal statutory rate as the Company recorded net losses during the period with a corresponding full valuation allowance on the net deferred tax assets created from the losses.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and Total Estimated Contract Value</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backlog, as of September 30, 2024, was $3.7 million, $2.7 million of which was funded and $1.0 million of which was unfunded. Our backlog is equal to our remaining performance obligations under contracts or the expected value of exercised contracts, both funded and unfunded, less revenue recognized to date. Our total estimated contract value, which combines backlog with estimated potential contract value, including unexercised options from existing firm contracts, was $10.6 million as of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Cash, cash equivalents and marketable securities were $21.3 million as of September 30, 2024, compared to $39.1 million as of December 31, 2023. We have incurred losses and negative cash flows from operations since inception and are likely to continue to incur losses and negative cash flows from operations in the near term. As of September 30, 2024, we had an accumulated deficit of</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3" w:right="2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$437.9 million and working capital of $19.8 million. On October 31, 2024, we announced that we raised approximately $7 million in gross proceeds from the sale of Common Stock and warrants through a registered offering and two separate private placements. We believe that our cash, cash equivalents and marketable securities on hand will be sufficient to support operations, working capital and capital expenditure requirements for at least the next 12 months from the date of this Report.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released the initial commercial version of our Palladyne IQ product on October 1, 2024, on schedule, and expect to release the initial commercial version of Palladyne Pilot at the end of the first quarter of 2025. The initial commercial version of our Palladyne IQ product continues to undergo reliability testing, debugging and other stabilizing improvements as we continue internal testing and learn from customer trials. Customer trials of Palladyne IQ are ongoing, and we do not yet have sufficient feedback from customers to be able to predict the duration of the sales cycle or the timing, amount and growth rate of revenues associated with the Palladyne IQ product.</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use of cash is for operations and administrative activities including employee-related expenses and general, operating and overhead expenses. While we do not have any debt, we do have a long-term lease for our facilities in Salt Lake City, Utah. Future capital requirements will depend on many factors, including the timing and extent of development efforts, the expansion and results of sales and marketing activities, the sales cycle for our products, customer acquisition and revenue growth rate, customer retention, the introduction of new and enhanced product offerings and market acceptance of our products.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taken many steps to reduce our use of cash, including suspending our hardware product development efforts and focusing those efforts on our AI/ML Software Platform and products derived from our AI/ML Software Platform, two reductions in force announced in 2023 and the closure of our operations in Pittsburgh, Pennsylvania. We plan to use our existing capital to complete the development of the initial commercial version of our Palladyne Pilot product and conduct sales and marketing efforts for both Palladyne IQ and Palladyne Pilot, as well as continue product development efforts for the next versions of our products. However, we are developing contingency plans to further limit operations and reduce costs and/or seek additional financing should product revenues not materialize or not materialize in time or sufficient amount to support our operations.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the pace and results of our product development efforts, our ability to release and license our commercial products and thereby recognize associated revenue and capital requirements to conduct marketing and sales activities prior to receiving payments sufficient to cover our costs. Any delays in the successful commercialization of our software products will negatively impact our ability to generate revenue, profitability, overall operating performance, financial condition and ability to continue operations. If we are unable to raise additional capital when desired or needed, our business, results of operations and financial condition would be materially and adversely affected.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enter into arrangements to acquire or invest in complementary businesses, services and technologies, which may require acquisition capital as well as operational capital for these acquisitions or arrangements. We may be required to seek additional equity or debt financing to facilitate these arrangements. In the event that additional financing is required from outside sources in connection with these arrangements, we may not be able to raise it on terms acceptable to us, or at all.</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currently primarily use cash from equity financings to fund operations and capital expenditures and meet working capital requirements. If additional funds are required to support our working capital requirements, for acquisitions or for other purposes, we may seek to raise funds through additional debt or equity financings or from other sources. We have taken numerous steps to manage our use of cash, including conducting the 2023 RIFs, and other related actions. However, we may need to seek additional financing, and we intend to continue monitoring our liquidity, financial and business results and outlook and market conditions, and may be opportunistic and raise capital when market conditions are good or a favorable opportunity exists including in “at-the-market” equity offering programs. . Any delays in the successful commercialization and sales of our software products will negatively impact our ability to generate revenue, our profitability and our overall operating performance and result in the need to raise additional capital sooner than expected.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additional interest expense. Additional financing may not be available at all or, if available, may not be available on terms favorable to us or that we find acceptable. For additional information around the risks associated with our capital needs see Part II Item 1A Risk Factors “</w:t>
      </w:r>
      <w:r>
        <w:rPr>
          <w:rFonts w:ascii="Times New Roman" w:cs="Times New Roman" w:eastAsia="Times New Roman" w:hAnsi="Times New Roman"/>
          <w:sz w:val="18"/>
          <w:szCs w:val="18"/>
          <w:i w:val="1"/>
          <w:iCs w:val="1"/>
          <w:color w:val="auto"/>
        </w:rPr>
        <w:t>Our business plans require a significant amount of capital. Our future capital needs may require us to sell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equity or debt securities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periods presented: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27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2024 vs. 2023 Change</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gridSpan w:val="2"/>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(17,531 )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(60,123 )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42,592</w:t>
            </w:r>
          </w:p>
        </w:tc>
        <w:tc>
          <w:tcPr>
            <w:tcW w:w="2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(71 )%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(44,562 )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(74 )%</w:t>
            </w:r>
          </w:p>
        </w:tc>
      </w:tr>
      <w:tr>
        <w:trPr>
          <w:trHeight w:val="246"/>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(63 )</w:t>
            </w:r>
          </w:p>
        </w:tc>
        <w:tc>
          <w:tcPr>
            <w:tcW w:w="2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0"/>
        </w:trPr>
        <w:tc>
          <w:tcPr>
            <w:tcW w:w="5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(1,811 )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(1,962 )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(1,299 )%</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Cash flows used in operating activities during the nine months ended September 30, 2024 decreased by $42.6 million to $17.5 million from $60.1 million during the same period in 2023. The decrease to net cash used in operating activities was primarily attributable to a $59.5 million decrease to net loss, which was driven by the 2023 RIFs, partially offset by a net decrease of $20.5 million in non-cash expenses driven mainly by decreased asset write-downs, stock-based compensation and amortization of intangible assets. Additionally, net cash used in operating activities related to changes in operating assets and liabilities decreased by $3.6 million, driven mainly by increases in inventories during the nine months ended September 30,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22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net cash provided by investing activities during the nine months ended September 30, 2024 decreased by $44.6 million. The decrease in cash provided by investing activities is predominantly due to the $61.4 million of maturities of marketable securities, net of purchases during the nine months ended September 30, 2023, as compared to the $16.0 million of maturities of marketable securities and no purchases of marketable securities, during the nine months ended September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27"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Our net cash used in financing activities during the nine months ended September 30, 2024, decreased 11% as compared to the nine months ended September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0"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w:t>
      </w:r>
    </w:p>
    <w:p>
      <w:pPr>
        <w:spacing w:after="0" w:line="1" w:lineRule="exact"/>
        <w:rPr>
          <w:sz w:val="20"/>
          <w:szCs w:val="20"/>
          <w:color w:val="auto"/>
        </w:rPr>
      </w:pPr>
    </w:p>
    <w:p>
      <w:pPr>
        <w:ind w:left="280" w:hanging="272"/>
        <w:spacing w:after="0"/>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total annual gross revenue of $1.235 billion or more during such fiscal year (as indexed for inflation),</w:t>
      </w:r>
    </w:p>
    <w:p>
      <w:pPr>
        <w:spacing w:after="0" w:line="9" w:lineRule="exact"/>
        <w:rPr>
          <w:rFonts w:ascii="Times New Roman" w:cs="Times New Roman" w:eastAsia="Times New Roman" w:hAnsi="Times New Roman"/>
          <w:sz w:val="18"/>
          <w:szCs w:val="18"/>
          <w:color w:val="auto"/>
        </w:rPr>
      </w:pPr>
    </w:p>
    <w:p>
      <w:pPr>
        <w:jc w:val="both"/>
        <w:ind w:right="100" w:firstLine="8"/>
        <w:spacing w:after="0" w:line="253" w:lineRule="auto"/>
        <w:tabs>
          <w:tab w:leader="none" w:pos="31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in the prior three-year period or (iv) December 31, 2026,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1"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There have been no material changes to our critical accounting policies or estimates as disclosed in our Annual Report on Form 10-K for the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 Basis of Presentation and Summary of Significant Accounting Policies, to our unaudited interim condensed consolidated financial statements included elsewhere in this Report for recently adopted accounting pronouncements and recently issued accounting pronouncements not yet adopted as of the date of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 rules and forms. Disclosure controls and procedures are also designed with the objective of ensuring that such information is accumulated and communicated to our management, including the principa</w:t>
      </w:r>
      <w:r>
        <w:rPr>
          <w:rFonts w:ascii="Arial" w:cs="Arial" w:eastAsia="Arial" w:hAnsi="Arial"/>
          <w:sz w:val="18"/>
          <w:szCs w:val="18"/>
          <w:color w:val="auto"/>
        </w:rPr>
        <w:t>l</w:t>
      </w:r>
      <w:r>
        <w:rPr>
          <w:rFonts w:ascii="Times New Roman" w:cs="Times New Roman" w:eastAsia="Times New Roman" w:hAnsi="Times New Roman"/>
          <w:sz w:val="18"/>
          <w:szCs w:val="18"/>
          <w:color w:val="auto"/>
        </w:rPr>
        <w:t xml:space="preserve"> executive officer and principa</w:t>
      </w:r>
      <w:r>
        <w:rPr>
          <w:rFonts w:ascii="Arial" w:cs="Arial" w:eastAsia="Arial" w:hAnsi="Arial"/>
          <w:sz w:val="18"/>
          <w:szCs w:val="18"/>
          <w:color w:val="auto"/>
        </w:rPr>
        <w:t>l</w:t>
      </w:r>
      <w:r>
        <w:rPr>
          <w:rFonts w:ascii="Times New Roman" w:cs="Times New Roman" w:eastAsia="Times New Roman" w:hAnsi="Times New Roman"/>
          <w:sz w:val="18"/>
          <w:szCs w:val="18"/>
          <w:color w:val="auto"/>
        </w:rPr>
        <w:t xml:space="preserve">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the end of the fiscal quarter ended September 30, 2024, pursuant to Rule 13a-15(b) under the Exchange Act. Based upon that evaluation, our Certifying Officers concluded that our disclosure controls and procedures were effective as of September 30, 2024.</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designed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fiscal quarter ended September 30, 2024 covered by this Report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Report, including “Management’s Discussion and Analysis of Financial Condition and Results of Operations” and our unaudited condensed consolidated financial statements and related notes. If any of the events described in the following risk factors and the risks described elsewhere in this Report occurs, our business, operating results and financial condition could be materially harmed. This Report also contains forward-looking statements that involve risks and uncertainties. Our actual results could differ materially from those anticipated in the forward-looking statements as a result of factors that are described below and elsewhere in this Report or other risks that we currently deem immaterial or that may be unknown to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early stage company with a history of losses and are likely to incur losses, which could be significant, for the foreseeable future.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incurred losses and negative cash flows from operations since inception and are likely to continue to incur losses and negative cash flows from operations in the near term. We incurred a net loss of $19.6 million for the nine months ended September 30, 2024, and a net loss of $115.6 million for the year ended December 31, 2023. As of September 30, 2024, we had an accumulated deficit of $437.9 million and working capital of $19.8 million. We believe that we are likely to continue to incur operating and net losses, which could be significant, for the foreseeable future. Our shift in product development and commercialization strategy to focus on our AI/ML Software Platform and related products has affected the timing of expected revenue and has made forecasting our quarterly and annual results more challenging. Even if we are able to successfully develop our AI/ML Software Platform and related products and attract customers for commercial sales, we may not become profitable. Our potential profitability is dependent upon the successful development, commercial introduction and adoption on a large scale of our AI/ML Software Platform and related products and our ability to lower costs, none of which may occur. We may not be successful in achieving meaningful revenues from these products. Further, the timing, amount and growth rate of any such revenues are unknown.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likely to continue to incur losses in future periods as we:</w:t>
      </w:r>
    </w:p>
    <w:p>
      <w:pPr>
        <w:spacing w:after="0" w:line="333"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design, develop and commercialize our AI/ML Software Platform and related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sales and marketing activities and develop our sales and customer service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expand our AI/ML Software Platform's technology infrastructure and cybersecurity measures, policies and controls;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general and administrative functions and systems to support our operations and to operate as a publicly-traded company.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we will incur costs and expenses from these and other efforts before we receive significant licensing revenue, we expect to incur losses in future periods, which could be significant. In addition, we may find that these efforts are more expensive than we currently anticipate or that these efforts may result in less than expected or no additional revenue, which would further increase our losses and affect our ability to continue operations. We may have to obtain additional capital from external sources, and additional financing may not be available when needed or, if available, may not be available on terms favorable to us or to our stockholders. See “</w:t>
      </w:r>
      <w:r>
        <w:rPr>
          <w:rFonts w:ascii="Times New Roman" w:cs="Times New Roman" w:eastAsia="Times New Roman" w:hAnsi="Times New Roman"/>
          <w:sz w:val="18"/>
          <w:szCs w:val="18"/>
          <w:i w:val="1"/>
          <w:iCs w:val="1"/>
          <w:color w:val="auto"/>
        </w:rPr>
        <w:t>Our business plans require a significant amount of capital. Our future capital needs may require us to sell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equity or debt securities that may dilute our stockholders or introduce covenants that may restrict our operations or our ability to pay dividends. If we require additional capital and are not able to secure new funding, we may not be able to continue our business operations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and our failure to properly estimate the time and expense required to commercialize our prior hardware-centric industrial robotics solutions, we made the decision in late 2023 to focus on our AI/ML Software Platform and related products and to suspend the development and commercialization of our hardware products. These and future decisions about how to use our limited resources may prove to be wrong and may adversely affect our business.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limited financial and human resources and, as a result, we have in the past and may in the future forgo or delay pursuit of opportunities with product candidates that might have had greater commercial potential or a greater likelihood of success. For example, on November 14, 2023, we announced a pivot in strategy to suspend our efforts to bring our hardware products to market and instead focus our resources and efforts on the development of our commercial AI/ML Software Platform and related products and a related significant reduction in force. After continued analysis of our business and careful consideration of our hardware product’s development costs and market opportunity, and of our available resources, we concluded that focusing on our AI/ML Software Platform and related products met our goal of pursuing significant near-term revenue tied to acute customer needs and would reduce our capital requirements and related risks in line with available resources. However, this strategy may not prove to be effective. Moreover, we may not be able to monetize all of the assets unrelated to our current business strategy.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development of our software products is a complex and evolving process that involves the development of new and emerging technologies, continued investment, including in privacy, safety and security efforts, and potential collaborations with other companies, developers, partners and other participants. Market acceptance of our software products is uncertain and we may need to change product features to meet customer needs. We regularly evaluate our product roadmaps and make significant changes as our understanding of the technological challenges and market landscape and our product ideas and designs evolve. In addition, we have no experience with commercializing a software platform or software products, which may enable other companies to compete more effectively than us, and we may not be successful. We also may be unsuccessful in our research and product development efforts.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 develop and commercialize our AI/ML Software Platform and related products, we may become subject to a variety of existing or new laws and regulations in the United States and international jurisdictions, such as the European Union's Artificial Intelligence Act (the "AI Act"), including in the areas of privacy, security, safety, competition and consumer protection, which may delay or impede the development and commercialization of our AI/ML Software Platform and related products, increase our operating costs, require significant management time and attention or otherwise harm our business. As a result of these or other factors, our product strategy may not be successful in the foreseeable future, or at all, which would adversely affect our business, reputation, or financial results.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early stage company, with no experience commercializing software products. Our projected financial and operating information reflect estimates of future performance and are based on multiple business, financial, technical and operational assumptions, including product strategy, timely hiring or retention of needed personnel, timing and success of commercial launch of our software products, the level of demand for our software products, the size of our target markets, the performance of our software platform and products, the utilization of the platform, product pricing and the nature and length of the sales cycle. However, given our limited commercial experience, many of these assumptions may prove to be incorrect. Projections and other statements about future expectations are forward-looking statements that are inherently subject to significant risks, uncertainties and contingencies, many of which are beyond our control (in addition to the information contained in these Risk Factors, see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yet to achieve positive operating cash flow, and our ability to generate positive cash flow is uncertain.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had negative cash flow from operating activities of $76.6 million and $65.4 million for the years ended December 31, 2023 and 2022, respectively, and negative cash flow from operating activities of $17.5 million for the nine months ended September 30, 2024. We expect to continue to have negative cash flow from operating and investing activities for the foreseeable future as we expect to incur research and development, sales and marketing, and general and administrative expenses and make capital expenditures in our efforts to commercialize our software products, increase sales and engage in continuous development work. We may not achieve positive cash flow in the near future or at all. Our business also may at times require significant amounts of working capital to support the growth of additional products. An inability to generate positive cash flow for the near term may adversely affect our ability to raise capital for our business on reasonable terms, adversely affect our ability to pursue our business objectives, diminish customer willingness to enter into transactions with us and have other adverse effects, all of which would affect our ability to continue operations. See "</w:t>
      </w:r>
      <w:r>
        <w:rPr>
          <w:rFonts w:ascii="Times New Roman" w:cs="Times New Roman" w:eastAsia="Times New Roman" w:hAnsi="Times New Roman"/>
          <w:sz w:val="18"/>
          <w:szCs w:val="18"/>
          <w:i w:val="1"/>
          <w:iCs w:val="1"/>
          <w:color w:val="auto"/>
        </w:rPr>
        <w:t>We are an early stage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a history of losses and are likely to incur losses, which could be significant, for the foreseeable future."</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no previous history or experience with commercializing software products and may not be able to do so efficiently, effectively or at all. We were unsuccessful in our efforts to commercialize the hardware technologies that we and our predecessor companies developed over the past several decades.</w:t>
      </w: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both"/>
        <w:spacing w:after="0" w:line="254" w:lineRule="auto"/>
        <w:rPr>
          <w:sz w:val="20"/>
          <w:szCs w:val="20"/>
          <w:color w:val="auto"/>
        </w:rPr>
      </w:pPr>
      <w:r>
        <w:rPr>
          <w:rFonts w:ascii="Times New Roman" w:cs="Times New Roman" w:eastAsia="Times New Roman" w:hAnsi="Times New Roman"/>
          <w:sz w:val="18"/>
          <w:szCs w:val="18"/>
          <w:color w:val="auto"/>
        </w:rPr>
        <w:t>We have no previous history or experience commercializing AI/ML software products or platforms and may not be able to do so efficiently or effectively or at all. Further, we have historically been unsuccessful in our efforts to commercialize our hardware products. Moreover, commercialization may be delayed due to the challenges discussed under "</w:t>
      </w:r>
      <w:r>
        <w:rPr>
          <w:rFonts w:ascii="Times New Roman" w:cs="Times New Roman" w:eastAsia="Times New Roman" w:hAnsi="Times New Roman"/>
          <w:sz w:val="18"/>
          <w:szCs w:val="18"/>
          <w:i w:val="1"/>
          <w:iCs w:val="1"/>
          <w:color w:val="auto"/>
        </w:rPr>
        <w:t>Successful commercialization of our AI/ML Software Platform and related products may be delayed beyond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expectations and therefore product availability to customers, customer acquisition and receipt of software licensing revenue could be delayed."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element of our long-term business strategy involves sales, marketing, training and customer service operations, including hiring personnel with the necessary experience. Managing and maintaining these operations is expensive and time consuming, and an inability to leverage such an organization effectively or at all could inhibit potential sales and the penetration and adoption of our software products. In addition, certain decisions we make regarding priorities and staffing in these areas in our efforts to responsibly manage our financial resources could have unintended negative effects on our revenue, such as by weakening the sales and marketing infrastructures or lowering the quality of customer service.</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Successful commercialization of our AI/ML Software Platform and related products may be delayed beyond our current expectations and therefore product availability to customers, customer acquisition and receipt of software licensing revenue could be delayed.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focused on the development and commercialization of our AI/ML Software Platform and related products. If product testing or customer use demonstrate that our software products do not deliver the performance, reliability, functionality and/or safety that we or our potential customers expect, commercial success may be delayed as we work to address the deficiencies. As a result of such delays, we may receive revenue later than expected or not at all if our potential customers decide to seek alternative solutions to our products, adversely affecting our results of operations and financial condition.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our current estimates for completion of our Palladyne Pilot development efforts and the achievement of software product sales to potential customers are dependent in part on our ability to hire and retain qualified employees. We have seen a significant increase in personnel costs in recent years due to shortages of qualified personnel in the labor market and general inflationary pressures. If we are unable to recruit and retain employees as needed to complete the development of and commercialize our software products, we may be unable to do so in a timely manner or at all.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geopolitical events and macro-economic conditions, such as the current wars between Russia and Ukraine and in the middle east, inflation and high interest rates, and responses thereto have contributed to price increases. If we are unable to develop and commercialize our software products in a cost efficient manner, our financial results, financial condition and prospects would be materially and adversely affected.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to date we have met our primary software development milestones as scheduled, over recent years we experienced, and we continue to experience, these challenges, which have at times negatively impacted our product development schedules and progress. We expect these challenges to continue and, if they do and if we are unable to effectively mitigate their impact, it is likely that we will be unable to meet our currently expected timelines.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anticipated revenues are expected to be primarily derived from the licensing of our AI/ML Software Platform-related products for the foreseeable future.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successful in commercializing our AI/ML Software Platform and related products, our revenue will be concentrated in licensing those software products for the foreseeable future. We will need to continue to enhance our platform, develop new capabilities and establish and grow our customer base to diversify our revenue and customers. To the extent our AI/ML Software Platform and related products do not meet customer expectations, or cannot be completed or released on their projected timelines and in line with cost targets, our future revenue, operating results and financial condition will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issues in the development and use of our AI/ML Software Platform or related products, or issues in products developed by others, may result in reputational harm or liability.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issues in the development or use of our AI/ML Software Platform or related products, or issues in products developed by others, may result in reputational harm or liability. As with many innovations, AI presents risks, challenges, and unintended consequences that could affect its adoption, and therefore our business. AI algorithms and training methodologies may be flawed, ineffective or inadequate. AI development or deployment practices by us or others could result in incidents that impair the acceptance of AI solutions or cause harm to individuals or society. These deficiencies and other failures of AI systems could subject us to competitive harm, regulatory action, legal liability, and brand or reputational harm. If we enable or offer AI solutions that are controversial because of their impact on human rights, privacy, employment, or other social, economic, or political issues, we may experience competitive, brand, or reputational harm or legal and/or regulatory action. Further, incorporating AI gives rise to litigation risk and risk of non-compliance and unknown costs of compliance, as AI is an emerging technology for which the legal and regulatory landscape is not fully developed. See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Issues in the development and use of AI/ML, combined with an uncertain regulatory environment, may result in reputational harm, liability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adverse consequences to our business operations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AI/ML Software Platform and related products are new technologies, and customer trials and discussions may not result in purchases.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AI/ML Software Platform and related products are new technologies. At present, we have revenue generating contracts with U.S. government customers related to various aspects of our AI/ML Software Platform and related products, but no commercial customers. Our software products contain advanced software and control technologies that we have developed over many years. The design of our software products are significantly influenced by feedback from potential customers and reflects the needs they express. Even if we are able to successfully incorporate that feedback into our software platform and products, customers who initially expressed an interest in our software platform and products during the design or testing phase may not ever purchase the software. If we cannot commercialize our AI/ML Software Platform and related products on our expected schedule, if our products do not offer our potential customers the features, functionality and return on investment that they expect, if potential customers are unwilling or hesitant to adopt new technologies and products such as ours and/or if potential customers are not willing to pay for our software products at the rates that we currently expect, our ability to generate material revenues will be materially impaired.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began initial customer testing in June 2024, we continue to have limited knowledge of the customer testing that will be required for customers to ultimately license our software products. As a result, customer testing may take longer than we anticipate, and we may not be able to provide such testing to the satisfaction of prospective customers, which could result in longer sales cycles and fewer purchases than anticipated. We may not be able to adapt our products to reflect customer feedback successfully or at all. If customers who initially express an interest in our software products and influenced their designs ultimately do not license our products, or if they adopt a competitors’ technology, our business, prospects, financial condition and operating results would be adversely affected.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build and maintain our business, we must maintain confidence among customers and potential customers in our AI/ML Software Platform and related products, long-term financial viability and business prospects. Maintaining such confidence may be particularly complicated by certain factors including those that are largely outside of our control, such as our limited commercial software experience, customer unfamiliarity with our software, any delays in development, product performance, competition and uncertainty regarding the future of AI and robotics. If we do not generate sufficient license revenue, our business, prospects, financial condition and operating results would be materially and adversely affected. Further, if investors, analysts, rating agencies and other third parties are not confident in our AI/ML Software Platform and related products, our ability to commercialize the platform and related products, our financial viability, or our business prospects, we may not be able to raise any needed funding which would materially and adversely affect our financial condition and prospects and ability to continue operations.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target markets and the robotics industry do not continue to develop as we anticipate or if potential customers do not adopt our AI/ML Software Platform and related products and license our products, our sales will not grow as quickly as expected, or at all, and our business, operating results and financial condition would be harmed.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for our AI/ML Software Platform and related products and applications similar to the ones we are developing is relatively new and evolving. We are developing our software products to respond to an increasingly global and complex business environment with rigorous regulatory standards. If organizations do not allocate their budgets as we expect or if we do not succeed in convincing potential customers to license our software products, our sales will not grow as quickly as anticipated, or at all. Economic uncertainty or future deterioration in general economic conditions might also cause our customers to cut or delay their spending, and such cuts might disproportionately affect businesses like ours to the extent customers view our software products as too costly or discretionary. Moreover, market acceptance of our AI/ML Software Platform and related products is critical to our continued success. Even if the market grows as expected, if potential customers do not adopt our software products, our business, operating results, financial condition and growth prospects will be materially and adversely affected. If we are not able to generate material revenues from our software products before we exhaust our financial resources, we may need to cease business operations. See “</w:t>
      </w:r>
      <w:r>
        <w:rPr>
          <w:rFonts w:ascii="Times New Roman" w:cs="Times New Roman" w:eastAsia="Times New Roman" w:hAnsi="Times New Roman"/>
          <w:sz w:val="18"/>
          <w:szCs w:val="18"/>
          <w:i w:val="1"/>
          <w:iCs w:val="1"/>
          <w:color w:val="auto"/>
        </w:rPr>
        <w:t>We are an early stage company with a history of losses and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likely to incur losses, which could be significant, for the foreseeable future.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 business plans require a significant amount of capital. Our future capital needs may require us to sell additional equity or debt securities that may dilute our stockholders or introduce covenants that may restrict our operations or our ability to pay dividends. If we require additional capital and are not able to secure new funding, we may not be able to continue our business operations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introduce and implement enhancements, new features or modifications to our AI/ML Software Platform and related products, our business would be harmed.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are unable to successfully introduce and implement new applications, enhancements or features, or fail to develop new applications that achieve market acceptance or that keep pace with rapid technological developments, our business, operating results, financial condition and growth prospects would be adversely affected. The success of enhancements and new applications depend on several factors, including timely completion, introduction and market acceptance.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8"/>
          <w:szCs w:val="18"/>
          <w:color w:val="auto"/>
        </w:rPr>
        <w:t>We must continue to meet changing expectations and requirements of our customers. Any failure of our platform to operate effectively with future software, such as third-party robotic operating systems and technologies or to evolve and scale to address the changing needs of our customers could reduce the demand for our products or result in customer dissatisfaction. Further, uncertainties about the timing and nature of new software or technologies, or modifications to our platform or products or existing software or technologies, could increase our research and development expenses. If we are not successful in developing modifications and enhancements to our platform or products or if we fail to introduce new applications to market in a timely fashion, our products might become less marketable, less competitive or obsolete, our revenue growth might be significantly impaired and our business, operating results and financial condition could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attract or retain customers at sufficient rates or in sufficient numbers or at 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 previous history or experience commercializing software products and may not be able to do so efficiently or effectively or at all. To create and grow our customer base, we must license our software to new customers, which we may not be able to do in sufficient numbers or at all. Even if we are able to attract customers, these customers may not maintain a high level of commitment to our software products. In addition, we will incur marketing, sales and other expenses, including referral fees, to attract new customers, which will offset revenue from such customers. For these and other reasons, we could fail to achieve revenue growth, which would adversely affect our results of operations, prospects and financial condition.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our AI/ML Software Platform and related products to be used with robots operating in a wide variety of environments and for a broad range of complex uses. Our success depends on our ability, and the ability of our customers, to implement our products successfully in these environments. Customer retention will also be largely dependent on the quality and effectiveness of our customer service operations, which may be handled internally by our personnel and also by third-party service providers. We expect that we will need to often assist our customers in implementing our software products. If we or our customers are unable to implement our products successfully, or are unable to do so in a timely manner, inadequate performance might result and customer perceptions of our platform, products and company might be impaired, our reputation and brand might suffer, we may face legal claims, customers might choose not to renew or expand the use of our platform and we might lose opportunities for additional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previous history with our licensing sales model.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 experience with licensing software as a business model. The success of our strategy to build recurring revenue streams through software licenses depends on our ability to successfully market our software platform and products and the benefits of our product to customers and to successfully develop a network of ongoing customers that maintain or renew their licenses, pay for upgrades, license additional functionality, or expand the use of the software within their robotic systems. The likelihood of our success must be considered in light of these risks, and our license model may not prove successful.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competitors may offer different pricing models that may be more attractive to potential customers. We may be required to adjust our sales model in response to these changes, which could adversely affect our financial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assumptions about market demand, pricing, adoption rates and sales cycles for our software products may be inaccurate.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decision to pivot our business strategy to focus on the development of our commercial AI/ML Software Platform was based in part on our estimates of the potential addressable market, pricing, adoption rates and sales cycles for our platform and related products. However, the market demand for our software platform and products is unproven, and important assumptions about the characteristics of targeted markets, pricing and sales cycles may be inaccurate.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evolving nature of the markets in which we operate, it is difficult to predict customer demand or adoption rates for our software products or the future growth of the markets we target. If one or more of the targeted markets experience a shift in customer demand, whether due to new solutions that better address customer needs or otherwise, our software products may not compete as effectively, if at all. If customer demand does not develop as expected, or if we do not accurately forecast pricing, adoption rates and sales cycles for our software products, our business, results of operations and financial condition will be adversely affected, perhaps materially.</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benefits of our AI/ML Software Platform and related products to customers and projected return on investment have not been substantiated through customer use.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are conducting customer trials for certain of our software products, our AI/ML Software Platform and related products have not been commercially used by customers. Our software platform and related products may not perform consistent with customers’ expectations or consistent with other products that may be or may become available. Any failure of our software platform and products to perform as expected could harm our reputation and result in adverse publicity, lost revenue, license cancellation, harm to our brand,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delays in availability, product liability claims and significant warranty and other expenses and could have a material adverse impact on our business, prospects, financial condition and operating results.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intend to target many customers that are large businesses with substantial negotiating power, exacting product standards and potentially competitive internal solutions. If we are unable to sell our software products to these customers, our prospects and results of operations will be adversely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many of our potential customers will be large businesses with substantial negotiating power relative to us and, in some instances, may have internal solutions that are competitive to our platform. These large businesses also have significant development resources, which may allow them to acquire or develop independently, or in partnership with others, competitive technologies. Meeting the technical requirements and securing binding commitments from any of these businesses will require a substantial investment of our time and resources. We may be unable to secure customers from these or other businesses or we may be unable to generate meaningful revenue from these key potential customers. If our software products are not selected by these large businesses or if these businesses develop or acquire competitive technology, it may have a material adverse effect on our business, prospects, financial condition and operating results.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 is currently and will continue to be generated by contracts with government entities, which make us subject to a number of uncertainties, challenges and risks.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Contracts with government entities are subject to a number of risks. Such relationships can be highly competitive, expensive and time-consuming, often requiring significant upfront time and expense without any assurance that these efforts will generate revenue. In the event that we are successful in being awarded a government contract, such award may be subject to appeals, disputes or litigation, including bid protests by unsuccessful bidders. Government demand and payment for our solutions may be impacted by public sector budgetary cycles and funding authorizations, with funding reductions or delays adversely affecting public sector demand for our solutions. Government entities may have statutory, contractual or other legal rights to terminate our contracts for convenience or default. Also, see “</w:t>
      </w:r>
      <w:r>
        <w:rPr>
          <w:rFonts w:ascii="Times New Roman" w:cs="Times New Roman" w:eastAsia="Times New Roman" w:hAnsi="Times New Roman"/>
          <w:sz w:val="18"/>
          <w:szCs w:val="18"/>
          <w:i w:val="1"/>
          <w:iCs w:val="1"/>
          <w:color w:val="auto"/>
        </w:rPr>
        <w:t>We are subject to laws, regulations and contractual provisions as a government contractor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subcontractor, which may pose increased risk of potential liability and expenses related thereto, which could have a material adverse effect on our business, operating results and financial condition.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that is subject to rapid technological change, and we expect competition to increase. Our products may not be competitive with other alternatives.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AI/ML and robotics industries are subject to rapid technological change, and we expect competition to increase in the future. Our research and development efforts may be unable to keep up with changes in technology or its alternatives and, as a result, our competitiveness may suffer. Developments in alternative technologies or solutions may materially and adversely affect our competitiveness in ways we do not currently anticipate. While we plan to upgrade and adapt our software platform and products as we or others develop new technology, any failure by us to develop new or enhanced technologies or processes, or successfully react to changes or advances in existing technologies, could delay our development and introduction of new and enhanced products, which could result in the loss of competitiveness, decreased revenue and a loss of market share to competitors. We believe our AI/ML Software Platform and related products will compete (both directly and indirectly) with companies such as Covariant, Dexterity, Formic, GrayMatter Robotics, Intrinsic, Liquid AI, Mujin and Rapid Robotics. We believe that our competitors are seeking to solve the same or similar industry challenges as we are, but that most are focused on a particular aspect of the functionality of our AI Software Platform rather than a fully competitive solution.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view industrial robotics and cobot manufacturers such as ABB, Fanuc, Kawasaki, Kuka and Universal Robots, large system integrators such as Honeywell, Reply, and Rockwell Automation, and technology companies such as NVIDIA as potential target customers and/or channel and ecosystem partners for our software platform and products, we also recognize that these companies may emerge as formidable competitors through their own internal development efforts or future technology partnerships with and acquisitions of our competitors. They may bring their robust customer relationships, channels and significant financial resources to help accelerate the market viability of one of our direct or indirect competitors.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competitors and potential competitors have products that are commercially available and/or in development. We expect some products currently in development to become commercially available in the next few years. Further, our products may not be competitive with other alternatives.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 base may change or expand as we continue to develop and commercialize software products in the future. Competitors may develop products that utilize advanced technology similar to ours (such as computer vision, AI and ML) in a more effective way, or new technologies or products that provide superior results to customers or are less expensive than our software products. Our technologies and products could be rendered obsolete by such developments.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software products, particularly if they compete with or have the potential to compete with, or diminish the need/utilization of software products or technologies provided by any of our competitors with whom they may have an existing relationship. If we are not able to compete effectively, our business, prospects, financial condition and operating results will be adversely affected.</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because we operate in new and evolving markets, the actions of our competitors could adversely affect our business. Adverse events such as product defects or legal claims with respect to competing or similar products could cause reputational harm to the AI/ML software or robotics markets as a whole and, accordingly,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complete or enhance our product offerings through our research and development efforts.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after introduction of a commercial version of a product, we will also likely need to continue to advance and evolve the product in response to the evolving demands of our customers in the various industries we expect to serve. Our Palladyne IQ product is in the early stages of commercialization and our Palladyne Pilot product remains under development. We will incur significant additional product development efforts and expenses, and we may not be successful in commercializing or marketing our products at all or within our currently expected timelines or available resources.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released the initial commercial version of our Palladyne IQ product on October 1, 2024 on schedule, and expect to release the initial commercial version of Palladyne Pilot at the end of the first quarter of 2025. We also make iterative improvements throughout the development process and after commercial release. If we fail to adequately communicate to customers product improvements, or if customer feedback is not adequately reflected in our product improvements, customers may not be persuaded of the value of our software platform and products. If we fail to generate demand by developing products that incorporate features desired by customers, we may fail to generate revenue sufficient to achieve or maintain profitability. We have in the past experienced and may in the future experience delays in various phases of product development, including during research and development, release testing and marketing and customer education efforts. Further, delays in product development would postpone demonstrations and customer testing, which are important opportunities for customer engagement, and cause us to miss expected timelines. Such delays could cause customers to delay or forgo purchases of our products, or to purchase competitors’ products. Even if we are able to successfully develop our products when and as anticipated, we may not produce sales in excess of the costs of development, and our software platform and products may be quickly rendered obsolete by changing customer preferences or the introduction by competitors of products embodying new technologies or features. If we are unable to successfully manage our product development and communications with customers, customers may choose to not adopt or purchase our products, which would adversely affect our business, prospects, financial condition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&amp; Growth</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Real or perceived design flaws, errors, defects, glitches, bugs or malfunctions (collectively, "Defects") in our AI/ML Software Platform and related products, failure of our AI/ML Software Platform-related products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design, development and marketing of our AI/ML Software Platform and related products involve certain inherent risks. Real or perceived Defects, connectivity issues, unanticipated or unintended use of our software platform and products, user errors or inadequate disclosure of risks relating to the use of our products, among others, can lead to injury, property damage or other adverse events. We have conducted, are conducting and plan to continue to conduct extensive testing of our software platform and products, in some instances in collaboration with our customers, to ensure that any such issues can be identified and addressed. However, we may not be able to identify all such issues or, if identified, efforts to address them may not be effective in all cases, and our product testing may not be adequate. We plan to conduct investigations, where applicable, to identify the cause or causes of incidents and, when appropriate, implement changes to testing protocols or to the products to prevent such incidents from reoccurring. However, any implemented improvements may not fully prevent similar or other incidents in the future. Moreover, because of the size and weight of the third-party systems that may in the future use our AI/ML Software Platform and related products, and the nature and variability of the environments in which we expect this software to be used, adverse events relating to the use of our products could include significant injuries or even death. To the extent that Defects or connectivity issues are discovered during or after product development, we may experience delays in the development and/or sale of our products while the issues are resolved. If the issues cannot be adequately resolved, product sales may not occur and/or resume.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not be aware of design Defects until injury to person or property has occurred. Such adverse events could lead to safety alerts relating to our software platform and products (either voluntary or required by governmental authorities), and could result, in certain cases, in the removal of our products from the market. Defects could also result in negative publicity, damage to our reputation or, in the event of regulatory developments, delays in new product approvals.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Complex software may frequently experience errors, especially when first introduced. Our products are complex and may experience errors or performance problems in the future. A failure of any part of our AI/ML Software Platform or related products could result in property damage, serious injury or even death. We plan to implement bug fixes and upgrades as part of our regular software maintenance, which may lead to downtime. Even if we are able to implement bug fixes and upgrades in a timely manner, customers and operators also may fail to install updates and fixes to the software for several reasons, including poor connectivity or inattention. Any such occurrence could cause delay in market acceptance of our software products, damage to our reputation, increased service and warranty costs, product liability claims and loss of revenue.</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anticipate that in the ordinary course of business we may be subject to product liability claims alleging defects in the design of our software platform and products. A product liability claim, regardless of its merit or eventual outcome, could result in significant legal defense costs and high punitive damage payments, damage our reputation or require significant costs to redesign or fix our software platform or products. Although we maintain product liability insurance, the coverage is subject to deductibles and limitations, and may not be adequate to cover future claims.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our AI/ML Software Platform performs properly and our products are used as intended, if personal injuries occur while operating third-party products that use our AI/ML software, we could be exposed to liability and our results of operations, financial condition and reputation may be adversely affected.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Third-party systems that may in the future use our AI/ML Software Platform contain complex technology and must be used as designed and intended in order to operate safely and effectively. Even if our software platform and products are used as designed and intended, customers may not operate complex third-party systems that use our platform safely and effectively. In addition, we cannot predict all the ways in which the use or misuse of our platform and products can lead to injury or damage to property, and our training resources and safety systems may not be successful at preventing all incidents. If personal injury or damage to property were to occur while operating our platform and products in a manner consistent with our training and instructions or otherwise, we could be exposed to liability and our results of operations, financial condition and reputation may be adversely affected.</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which could negatively affect our ability to offer our AI/ML Software Platform and related products and subject us to possible litigation.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AI/ML Software Platform incorporates “open source” software provided by third parties. Open source software is generally freely accessible, usable and modifiable, and is made available to the general public on an “as-is” basis under the terms of a non-negotiable license. Use and distribution of open source software may entail greater risks than use of third-party commercial software or internally developed software. Open source licensors generally do not provide warranties or other contractual protections regarding infringement claims or other claims relating to violation of intellectual property rights or the quality of the software. In addition, certain open source licenses, like the GNU Affero General Public License, may require us to offer for no cost the components of our platform that incorporate the open source software, to make available source code for modifications or derivative works we create by incorporating or using the open source software or to license our modifications or derivative works under the terms of the particular open source license. If we are required under the terms of an open source license to release our proprietary source code to the public, competitors could create similar products with lower development effort and time, which ultimately could result in a loss of sales for us.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also face claims alleging noncompliance with open source license terms or infringement, misappropriation or other violation of open source technology. These claims could result in litigation or require us to purchase a costly license, devote additional research and development resources to re-engineer our platform, discontinue the sale of our software products if re-engineering could not be accomplished on a timely or cost-effective basis, or make generally available our proprietary code in source code form, any of which would have a negative effect on our business and operating results, including being enjoined from the offering of the components of our platform that contained the open source software. We could also be subject to lawsuits by parties claiming ownership of what we believe to be open source software. Litigation could be costly for us to defend, have a negative effect on our operating results and financial condition and require us to devote additional research and development resources to re-engineer our platform.</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monitor use of open source software and try to ensure that none is used in a manner that would subject our platform to unintended conditions, few courts have interpreted open source licenses, and there is a risk that these licenses could be construed in a way that could impose unanticipated conditions or restrictions on our ability to commercialize our AI/ML Software Platform and related products. We cannot guarantee that we will incorporate open source software in our platform in a manner that will not subject us to liability, or in a manner that is consistent with our current policies and procedures.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prospects depend significantly on our ability to build our brand. We may not succeed in establishing, maintaining and strengthening an effective brand, and our brand and reputation could be harmed by negative publicity regarding us or our AI/ML Software Platform and related products.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prospects are dependent on our ability to develop, maintain and strengthen our brand. If we do not continue to establish, maintain and strengthen our brand, we may lose the opportunity to build a critical mass of customers. We believe that our inability to successfully commercialize our hardware products, and our resulting financial performance, damaged our prior brand. As a result and to reflect our focus on our AI/ML Software Platform, in March 2024 we changed our name to Palladyne AI Corp. and have branded our AI/ML software products accordingly. Promoting and positioning our brand will likely depend significantly on our ability to provide high quality software and engage with our customers as intended. To promote our brand, we may be required to change or expand our customer development and branding practices, including increased marketing activities, which could result in substantially increased expenses. If we do not develop and maintain a strong brand, our business, prospects, financial condition and operating results will be materially and adversely impacted.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safety incidents occur or are perceived to have occurred, whether or not such incidents are our fault, we could be subject to adverse publicity or resistance by our customers. In particular, given the popularity of social media, any negative publicity, whether true or not, could quickly proliferate and harm perceptions and confidence in our brands. Furthermore, there is the risk of potential adverse publicity related to our partners whether or not such publicity is related to their collaboration with us. Our ability to successfully position our brand could also be adversely affected by perceptions about the quality of our competitors’ products.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has broad discretion in making strategic decisions to execute our growth plans and may devote time and company resources to new or expanded product offerings, potential acquisitions or strategic alliances, prospective customers or other initiatives that do not necessarily improve our operating results or contribute to our growth. For example, in November 2023, we pivoted our business to focus on the development of our commercial AI/ML Software Platform and related products in lieu of hardware products. We concluded this strategy met our goal of pursuing significant near-term revenue tied to acute customer needs and would reduce our capital requirements and related risks in line with available resources. However, this strategy may not prove to be effective. Any failure by management to make strategic decisions that are ultimately accretive to our growth may result in unfavorable returns and uncertainty about our prospects, each of which could cause the price of our Common Stock to decline and have a material adverse effect on our business, prospects, financial condition and results and ability to continue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business, we may not be able to design, develop, market and commercialize our software products successfully.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failure to manage our business effectively could materially and adversely affect our prospects, financial condition and operating results. As we work to grow our business, we may need to manage the following activities, among others:</w:t>
      </w:r>
    </w:p>
    <w:p>
      <w:pPr>
        <w:spacing w:after="0" w:line="270"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effective management, engineering and other teams;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recruiting individuals with the appropriate relevant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our AI/ML Software Platform and related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forecasting revenue and implementing enterprise resource planning (ERP) systems;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relationships with one or more third-party service providers or partners, including in relation to the development and commercialization of our AI/ML Software Platform and related products;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carrying out acquisitions and entering into collaborations, in-licensing arrangements, joint ventures, strategic alliances or partnerships;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internal information technology, safety and security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or expanding sales and customer service organizations;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demonstrations and customer trials of our software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controls and processes.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two RIFs during 2023, the July 2023 RIF, affecting approximately 24% of our workforce at the time, and the November 2023 RIF, affecting approximately 70% of our workforce at the time, as we evaluated our business, organization, prospects and resources and ultimately decided to focus on our AI/ML Software Platform. However, these RIFs, in particular the November 2023 RIF, has placed and will continue to place additional strain on our existing resources, and we could experience systemic operating difficulties in managing our business and implementing controls and other business processes, resource constraints in our product development and commercialization efforts, or other limitations or difficulties that are difficult to predict at this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 in order to achieve profitability.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require significant capital to develop and grow our business, including successfully developing and commercializing our AI/ML Software Platform and related products, establishing or expanding our design, research and development, sales and maintenance and service capabilities and building our brands. We have incurred and expect to continue incurring significant expenses which will impact our profitability, including research and development expenses, sales and marketing expenses as we build our brand and market our software platform and products and general and administrative expenses. Although the RIFs and other cost-saving measures have significantly reduced expenses, it may be difficult to reduce expenses further or maintain current levels while pursuing our business objectives. Some of the factors that may lead to cost increases or difficulty further reducing cost are outside of our control, such as national or global geopolitical and economic conditions, including inflation and interest rates. In addition, we may incur significant costs upgrading or fixing Defects in our software platform and products. Our ability to continue our operations in the long term and potentially become profitable in the future will not only depend on our ability to commercialize our software platform and products to meet customer needs and identify and investigate new areas of demand, but also on our ability to license our products at prices needed to achieve sufficient revenues and margins to cover our cash outlay, including the risks and costs associated with any warranty obligations. If we are unable to efficiently design, develop, market, deploy, distribute and service our software products in a cost-effective manner, our operating results, financial condition and prospects would be materially and adversely affected and we may not achieve profitability.</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substantial research and development costs and devote significant resources to developing and commercializing our AI/ML Software Platform and related products, and we may never reach profitability and/or achieve significant or any product revenues.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growth depends on penetrating new markets, adapting our AI/ML Software Platform and products to new applications and customer requirements and introducing new features and functionality that achieve market acceptance. We expect to incur substantial, and potentially increasing, research, development, sales and marketing costs as part of our efforts to design, develop, enhance, and commercialize our AI/ML Software Platform and related products. Our research and development program may not produce successful results or, be sufficient to adapt to new or changing technologies (such as AI), and our products may not achieve market acceptance, create meaningful or any revenue or become profitable.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Palladyne IQ product requires certain limited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 limited set of suppliers for the minimal hardware components that are required for use of our Palladyne IQ product. We expect most of our suppliers to be based in the United States. In some cases, we have sole source (where the component is only available from a single vendor, often as a result of customization for our use) or single source (where we purchase from a single vendor but there are alternative sources of the component) suppliers. We seek to minimize our dependence on sole or single source suppliers in order to reduce risk in our supply chain, including the risk of losing a sole or single source supplier due to bankruptcy, discontinuing production of the particular component or some other reason. However, some of the components used in our products may have to be purchased by us from a single source and some may only be available from a sole source. If our third-party suppliers are unable to supply key components and materials in the required volumes, at the needed times or at acceptable prices, our sales, revenue and profitability will likely be adversely affected and we may not be able to meet our obligations to customers. Our third-party suppliers may also not be able to meet the specifications and performance characteristics required by us, which would impact our ability to achieve our product specifications and performance characteristics as well. Additionally, our third-party suppliers may be unable to obtain required certifications or provide warranties for their products that are necessary for our products. If we are unable to obtain components and materials used in our products from our suppliers, our business would be adversely affected.</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less negotiating leverage with suppliers than larger and more established companies and may not be able to obtain favorable pricing and other terms. For example, agreements with suppliers may include terms that are unfavorable to us, such as requirements that we order components and manufacture systems and solutions in excess of our demand due to minimum order quantity requirements or minimum price thresholds. While we believe that we may be able to establish alternate supply relationships and can obtain or engineer replacement components for our single source components, we may be unable to do so in time to support our production needs, or at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all, or at prices or quality levels that are favorable to us. Further, we may not be able to develop satisfactory alternatives to sole-sourced components. Any inability to find satisfactory alternatives to our single- and sole-sourced component suppliers, whether due to bankruptcy of the supplier, a decision to discontinue manufacturing the component or for any other reason, could affect our costs and component availability and have a material adverse effect on our business, prospects, financial condition and operating results.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fluctuations or shortages in raw materials or components and other economic conditions may cause us to experience significant increases in freight charges and material costs. Substantial increases in the prices for our materials would increase our operating costs and could reduce our margins if the increased costs cannot be recouped through increased sales prices.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wars, natural disasters, health epidemics and other calamities, and supply chain disruption, any of which could significantly disrupt our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facilities or operations, or any potential third-party suppliers, partners, or service providers could be adversely affected by events outside of our or their control, such as natural disasters, wars, health epidemics, and other calamities and force majeure events. Our backup system does not capture data on a real-time basis and we may be unable to recover certain data in the event of a server failure. Our backup system may not be adequate to protect us from the effects of fire, floods, typhoons, earthquakes, power loss, telecommunications failures, break-ins, war, riots, terrorist attacks, cybersecurity incidents or similar events. Any of the foregoing events may give rise to interruptions, breakdowns, system failures, technology platform failures or internet failures, which could cause the loss or corruption of data or the malfunction of software or hardware, which could significantly disrupt our operations. Additionally, depending upon any potential health pandemics, epidemics or outbreaks that may emerge, our potential customers and partners may suspend or delay their engagement with us or take other actions or experience their own negative impacts, any of which could result in a material adverse effect on our financial condition and ability to meet current timelines. The COVID-19 pandemic adversely affected our ability to recruit skilled employees to join our team, conduct research and development activities and engage with development customers, and it or other similar events could do so again and may impede our product development timelines.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Events impacting our supply chain could be caused by factors beyond the control of our suppliers or us, including labor actions, increased demand, problems in production or distribution and/or disruptions in third-party logistics, information technology or transportation systems. Some of our key suppliers are relatively small companies that could be especially susceptible to these risks. In addition, global events in recent years have resulted in widespread global supply chain disruptions to vendors including critical supply chain shortages, labor shortages, significant material cost inflation and extended lead times for items that are required for our operations. Any such interruptions to our supply chain could increase our costs and could limit the availability of products critical to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Our future capital needs may require us to sell additional equity or debt securities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we believe we have sufficient capital to fund our business for at least the next 12 months, we may seek additional financing</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that time to bolster our cash reserves and ensure our ability to continue to pursue our business objectives. Our current business plans may require us to secure additional financing prior to achieving positive operating cash flows, and we do not anticipate achieving positive operating cash flows in the near term. As a result, we intend to continue monitoring our liquidity, financial and business results and outlook and market conditions, and may be opportunistic and raise capital when we consider market conditions are good or a favorable opportunity exists to bolster our cash reserves, reduce our financial risk, help finance research and development costs and pursue business objectives. Any delays in the successful commercialization and sales of our software products will negatively impact our ability to generate revenue, our profitability and our overall operating performance and result in the need to raise additional capital sooner than expected.</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if we generate positive operating cash flows, we may need to raise significant amounts of additional capital to fund our business thereafter, including to finance ongoing research and development costs, any significant unplanned or accelerated expenses and new strategic alliances or acquisitions. The fact that we have limited experience commercializing our software products, coupled with our belief that our AI/ML Software Platform represents a significant technology advancement, means we have limited to no historical data on the demand for our software platform and products. In addition, we expect our expenses to continue to be significant in the foreseeable future as we continue development activities and bring our products to market, and that our level of cash usage will be significantly affected by customer demand for our platform. As a result, our future capital requirements are uncertain and actual capital requirements may be different from those we currently anticipate. We may need to seek equity or debt financing to finance our expenses and capital expenditures, and such financing might not be available to us in a timely manner or on terms that are acceptable, or at all. Even if available, the sale of additional equity or equity-linked securities could dilute our stockholders, and the incurrence of indebtedness would result in debt service obligations and could result in operating and financing covenants that would restrict our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jc w:val="both"/>
        <w:spacing w:after="0" w:line="254" w:lineRule="auto"/>
        <w:rPr>
          <w:sz w:val="20"/>
          <w:szCs w:val="20"/>
          <w:color w:val="auto"/>
        </w:rPr>
      </w:pPr>
      <w:r>
        <w:rPr>
          <w:rFonts w:ascii="Times New Roman" w:cs="Times New Roman" w:eastAsia="Times New Roman" w:hAnsi="Times New Roman"/>
          <w:sz w:val="18"/>
          <w:szCs w:val="18"/>
          <w:color w:val="auto"/>
        </w:rPr>
        <w:t>Additional financing may not be available to us when we need it or it may not be available on favorable terms. Our ability to obtain any necessary financing to carry out our business plan is subject to a number of factors, including general market conditions and investor acceptance of our business model. Current capital market conditions, including the impact of inflation, have increased borrowing rates and can be expected to significantly increase our cost of capital as compared to prior periods should we seek additional funding. Moreover, global capital markets have undergone periods of significant volatility and uncertainty in the past, and there can be no assurance that such financing alternatives will be available to us on favorable terms or at all, should we determine it necessary or advisable to seek additional capital.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buying or selling assets, making capital expenditures or declaring dividends.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factors may make the timing, amount, terms and conditions of such financing unattractive or unavailable to us. If we are unable to raise sufficient funds if and when needed, we will have to significantly reduce our spending, delay or cancel our planned activities or substantially change our corporate structure or potentially cease operations and liquidate. We might not be able to obtain any funding, and might not have sufficient resources to conduct our business as projected or at all, either of which could mean that we would be forced to curtail or discontinue our operations.</w:t>
      </w:r>
    </w:p>
    <w:p>
      <w:pPr>
        <w:spacing w:after="0" w:line="18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we cannot raise additional funds when we need or want them, our operations, prospects and financial condition would be materially and adversely affected.</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initiatives to improve our cost structure, including significant workforce reductions, may not result in all anticipated savings, could result in total costs and expenses that are greater than expected and could disrupt our business.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two RIFs in 2023, one in July 2023, affecting approximately 24% of our workforce at the time, and another in November 2023, affecting approximately 70% of our workforce at the time. These and other efforts resulted in significant annualized cost savings. However, we may incur additional expenses not currently contemplated due to events associated with the RIFs or otherwise. The annualized cost savings are estimates and subject to a number of assumptions, and actual results may differ materially. We may not realize, in full or in part, the anticipated benefits and savings from the RIFs due to unforeseen difficulties, delays or unexpected costs, the cost savings we have achieved may not be sufficient and some cost savings may not be long-term, especially if our business grows. If we are unable to realize or sustain the expected operational efficiencies and cost savings from the RIFs and our other cost saving measures, our operating results and financial condition would be adversely affected. In addition, we may need to undertake additional workforce reductions, restructuring activities or other measures to reduce costs in the future. Furthermore, our initiatives to improve our cost structure, including the RIFs, may be disruptive to our operations. For example, our workforce reductions have resulted in and may continue to result in some attrition beyond planned staff reductions, and may lead to the loss of institutional knowledge and expertise, increased difficulties in our day-to-day operations, pressure on our controls and processes and reduced employee morale. We may need to seek contractor support due to unwanted attrition at unplanned additional expense or harm our productivity. In addition, we may be unsuccessful in distributing the duties and obligations of departed employees that are necessary to our operations among our remaining employees or to contractors, which could result in disruptions to our operations. Our workforce reductions could also harm our ability to attract and retain qualified personnel who are critical to our business, and make it difficult for us to pursue new opportunities and initiatives and require us to hire qualified replacement personnel. Any failure to attract or retain qualified personnel could prevent us from successfully developing or selling our software platform and products, which would adversely affect our business, financial condition, and results of operations.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period to period due to fluctuations in our operating costs, revenues (including from development contracts), product demand and other factors.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our period-to-period financial results to vary based on our operating costs and product demand, which we anticipate will fluctuate as the pace at which we continue to design, develop and release software products. Additionally, as we commercialize our AI/ML Software Platform and related products and/or enter into or complete government or development contracts, we expect our revenue from period to period to fluctuate, including as we introduce new products, features or functionality or introduce our AI/ML Software Platform and related products to new markets for the first time. As a result of these factors, we believe that quarter-to-quarter comparisons of our operating results, especially in the near term, are not necessarily meaningful and that these comparisons cannot be relied upon as indicators of future performance. Moreover, our operating results may not meet expectations of equity research analysts, ratings agencies or investors, who may be particularly focused on quarterly financial results. If any of this occurs, the trading price of our securities could fall substantially, either suddenly or over time, and/or experience significant volatility.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our senior management and other key employees and, if we are unable to attract, integrate and retain a sufficient number of qualified employees, our ability to develop and commercialize our AI/ML Software Platform and related products, operate our business and compete could be harmed.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retain our key personnel. The unexpected loss of or failure to retain one or more of our senior managers or other key employees could delay product development and require outsourcing to third parties, each of which in turn could adversely affect our business. For example, we are highly dependent on the services of our AI/ML Software Platform leadership team, in particular our Chief Technology Officer, Dr. Denis Garagic. Dr. Garagic has a significant influence on our AI/ML Software Platform development efforts and our business plan. If he were to discontinue service due to death, disability or any other reason, we may be significantly disadvantaged and his departure or the departure of other key contributors to our software and technology development efforts could result in delays in product development, or potentially an inability to successfully complete development of our AI/ML Software Platform and related products at all, which would materially and adversely harm our business, results of operations and financial condition. Further, we may have difficulty finding, or be unable to find, qualified successors to any such persons should they depart the Company. If we are unable to successfully continue development and commercialization of our AI/ML Software Platform and related products in a timely manner, whether due to the departure of any such persons or otherwise, we may not have sufficient time or resources to pursue alternative plans or opportunities and may need to cease operations. We do not maintain key-person insurance for any of our senior management.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experienced and may continue to experience changes in our senior management team. For example, Benjamin G. Wolff rejoined the Company’s executive team as President and Chief Executive Officer in February 2024. In connection with this change in management, there have been changes to the Company’s operations and there may be additional changes in the future. If we do not successfully implement and adapt to these changes they may not lead to the desired improvement in our business and results of operation. This in turn, could have a material adverse effect on our business. Any inability to successfully manage these changes could be viewed negatively by our customers, employees, investors and other third-party partners, and could have an adverse impact on our business and results of operations.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success also depends, in part, on our ability to identify, hire, attract, train and develop other highly qualified personnel as needed, specifically AI/ML software engineers. Because of the innovative and advanced nature of our technology, individuals with the necessary experience have not been, and likely will continue not to be, readily available to hire, and as a result, we may need to expend significant time and expense to recruit and retain experienced employees and appropriately train any newly hired employees. Integrating new employees can also cause disruptions to processes, projects, culture, priorities and the Company as a whole. We face intense competition for experienced and highly skilled employees, specifically AI/ML software engineers, from numerous other companies, including other software and technology companies, many of whom have greater financial and other resources than we do,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strategy. Our recent RIFs and concerns about our financial condition may also cause us to experience increased difficulty attracting and retaining highly qualified personnel. We may incur significant costs to attract and retain qualified personnel, including significant expenditures related to salaries and benefits and compensation expenses related to equity awards, and we may lose new employees to competitors or other companies before we realize the benefit of our investment in recruiting and training them. Moreover, new employees may not be or become as productive as we expect, or may not fit culturally, and long-term employees may not embrace new leaders, priorities, methods, processes or other changes and may decide to leave or not perform as well as they did in the past, as we may face challenges in adequately or appropriately integrating them into our workforce and culture.</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headquarters are in Salt Lake City, Utah, which has fewer highly skilled employees in the AI/ML software and robotics fields than some other major metropolitan areas. In addition, as part of the pivot in strategy announced in November 2023 to focus on our AI/ML Software Platform, we closed our facility in Pittsburgh, Pennsylvania and may no longer be able to attract highly skilled employees in that location. To attract and retain key personnel, we may need to open offices in other areas of the country, which could increase costs and reduce productivity. Any failure by our management team and our employees to perform as expected may have a material adverse effect on our ability to design and launch our software products or to operate our business and compete, as well as on our business, prospects, financial condition and operating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expenses and administrative burdens as a publicly-traded company, which could have a material adverse effect on our business, prospects, financial condition and operating results.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publicly-traded company, we are incurring legal, accounting and other expenses that we previously did not have, and these expenses may increase as we continue to implement and strengthen controls, processes and systems and employ related personnel and after we are no longer an emerging growth company, as defined in Section 2(a) of the Securities Act. We are subject to reporting and other requirements of the Exchange Act, the Sarbanes-Oxley Act and the Dodd-Frank Wall Street Reform and Consumer Protection Act, as well as rules adopted by the SEC and the Nasdaq Stock Market LLC ("Nasdaq"). Our management and other personnel devote a substantial amount of time to these compliance initiatives. We may need to hire additional employees to support our operations as 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jc w:val="both"/>
        <w:spacing w:after="0" w:line="255" w:lineRule="auto"/>
        <w:rPr>
          <w:sz w:val="20"/>
          <w:szCs w:val="20"/>
          <w:color w:val="auto"/>
        </w:rPr>
      </w:pPr>
      <w:r>
        <w:rPr>
          <w:rFonts w:ascii="Times New Roman" w:cs="Times New Roman" w:eastAsia="Times New Roman" w:hAnsi="Times New Roman"/>
          <w:sz w:val="18"/>
          <w:szCs w:val="18"/>
          <w:color w:val="auto"/>
        </w:rPr>
        <w:t>public company, which will increase our operating costs in future periods. Moreover, these rules and regulations have substantially increased our legal and financial compliance costs and make some activities more time-consuming and costly. These increased costs have increased our net loss. For example, it has been more expensive for us to obtain appropriate director and officer liability insurance coverage than we incurred as a private company. We cannot accurately predict or estimate the amount or timing of all the additional costs we may incur. Being a public company could also make it more difficult for us to attract and retain qualified persons to serve on our board of directors, our board committees or as executive officers. Such increased expenses and administrative burdens involved in operating as a public company consume significant financial resources and any increases could have a material adverse effect on our business, financial condition and operating results.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the requirements of the Exchange Act, the Sarbanes-Oxley Act and the rules and regulations of Nasdaq will continue to result in significant legal, accounting and financial compliance costs, make some activities more difficult, time-consuming and costly, and place significant strain on personnel, systems and resources.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in a timely manner. The development and implementation of the processes and controls necessary for us to achieve the level of accounting standards required of a public company have increased and may continue to increase our legal and compliance costs, and such costs may be greater than expected.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previously identified material weaknesses in our internal control over financial reporting, and undertook remediation efforts to address the identified deficiencies and concluded that each material weakness was remediated as of December 31, 2021 and June 30, 2022, respectively. Our current controls and any new controls that we develop may be inadequate because of changes in conditions of our business or otherwise.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to the extent we are required to include such evaluations and reports in our periodic reports that we file with the SEC under Section 404 of the Sarbanes-Oxley Act. Ineffective disclosure controls and procedures and internal control over financial reporting could also cause investors to lose confidence in our reported financial and other information.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maintain and improve the effectiveness of our disclosure controls and procedures and internal control over financial reporting, we expect to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operating costs and could materially and adversely affect our ability to operate our business. If our internal controls are or are perceived to be inadequate or if we are or are perceived to be unable to produce timely or accurate financial statements, investors may lose confidence in our operating results and the trading price of our securities could decline. In addition, if our financial statements are not filed on a timely basis, we could be subject to sanctions, enforcement actions or investigations by Nasdaq, the SEC or other regulatory authorities or to private litigation. As a result, any failure to maintain effective internal control over financial reporting could result in a material adverse effect on our business and the price of our Common Stock.</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 Any failure to maintain effective disclosure controls and procedures and internal control over financial reporting could have a material and adverse effect on our business, prospects, financial condition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 in connection with ownership changes.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incurred losses during our history and do not expect to become profitable in the near future, and we may never achieve profitability. To the extent that we continue to generate tax losses, unused losses will carry forward to offset future taxable income, if any, until such unused losses expire.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jc w:val="both"/>
        <w:spacing w:after="0" w:line="256" w:lineRule="auto"/>
        <w:rPr>
          <w:sz w:val="20"/>
          <w:szCs w:val="20"/>
          <w:color w:val="auto"/>
        </w:rPr>
      </w:pPr>
      <w:r>
        <w:rPr>
          <w:rFonts w:ascii="Times New Roman" w:cs="Times New Roman" w:eastAsia="Times New Roman" w:hAnsi="Times New Roman"/>
          <w:sz w:val="18"/>
          <w:szCs w:val="18"/>
          <w:color w:val="auto"/>
        </w:rPr>
        <w:t>Under the Tax Cuts and Jobs Act of 2017 (the Tax Act), as modified by the Coronavirus Aid, Relief and Economic Security Act of 2020 (the CARES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States may not conform to the Tax Act or the CARES Act in their entirety, if at all. Suspensions or other restrictions on the use of net operating losses or tax credits, possibly with retroactive effect, may result in our existing net operating losses or tax credits expiring or otherwise being unavailable to offset future income tax liabilities.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net operating loss carryforwards are subject to review and possible adjustment by the Internal Revenue Service and state tax authorities. Under Sections 382 and 383 of the Internal Revenue Code of 1986, as amended (the “Code”), these U.S. federal net operating loss carryforwards and other tax attributes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net operating loss carryforwards and other tax attributes to offset future taxable income or tax liabilities may be limited as a result of ownership changes. Similar rules may apply under state tax laws. If we earn taxable income, such limitations could result in increased future income tax liability to us and our future cash flows could be adversely affected. We have recorded a full valuation allowance related to our net operating loss carryforwards and other deferred tax assets due to the uncertainty of the ultimate realization of the future benefits of those assets.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subject to risks associated with strategic relationships or transactions and may not identify or form desired strategic relationships in the future.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seek to enter into strategic alliances, joint ventures, minority equity investments, acquisitions, collaborations and in-license arrangements. There is no guarantee that any of these partnerships or acquisitions would lead to any binding agreements or lasting or successful business relationships with third parties or that any of the other anticipated benefits will be achieved. If any of these relationships are established, they may subject us to a number of risks, including risks associated with sharing proprietary information, non-performance by the third-party and increased expenses in establishing new relationships, any of which could materially and adversely affect our business. We may have limited ability to monitor or control the actions of these third parties and, to the extent any of these strategic partners suffers negative publicity or harm to their reputation from events relating to their business, we may also suffer negative publicity or harm to our reputation by virtue of our association with any such third-party.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strategic business relationships will be an important factor in the growth and success of our business. However, we may not be able to identify or secure suitable business relationship opportunities in the future or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appropriate opportunities arise, we have in the past, and may in the future acquire additional assets, products, technologies or businesses that are complementary to our existing business. From time to time, the sellers of these assets, products and technologies or businesses may retain certain rights to the technology that they sell to us, which in some circumstances could allow the sellers to compete with us. In addition to possible stockholder approval, we may need approvals and licenses from relevant government authorities for acquisitions and to comply with any applicable laws and regulations, which could result in delays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and financial results.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For example, we have previously experienced an impairment of all of the goodwill associated with our acquisition of RE2. Moreover, the costs of identifying and consummating acquisitions may be significant.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Claims and Regulatory Compliance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AI/ML, combined with an uncertain regulatory environment, may result in reputational harm, liability or other adverse consequences to our business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AI/ML technologies are complex and rapidly evolving, and we face significant competition from other companies as well as an evolving regulatory landscape. The introduction of AI/ML technologies into new or existing products may result in new or enhanced governmental or regulatory scrutiny, litigation, confidentiality or security risks, ethical concerns or other complications that could adversely affect our business, reputation or financial results or limit the functionality of our software platform or our ability to sell our software products. Governmental bodies have implemented laws and are considering further regulation of AI/ML technologies that could negatively impact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our ability to use and develop platforms and products incorporating these technologies. For example, on October 30, 2023 the Biden administration issued an Executive Order to, among other things, establish extensive new standards for AI safety and security.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on March 13, 2024, the European Parliament adopted the AI Act. The AI Act proposes a framework of prohibitions and disclosure, transparency and other regulatory obligations based on various levels of risk for businesses introducing AI systems in the EU. Once the AI Act becomes effective, certain provisions could require us to alter or restrict our use of AI, depending on respective levels of risk-categorization, types of systems, and manner of use, under the AI Act. The AI Act also may require us to comply with monitoring and reporting requirements. Noncompliance with the AI Act could result in fines of up to €35 million or 7% of annual global turnover for the previous year, whichever is higher. Other jurisdictions may adopt similar or more restrictive legislation that may render the use of such technologies challenging. Numerous other laws and bills proposed at the U.S. federal and state level, as well as internationally, aimed at regulating the deployment or provision of AI systems and services. This includes the Colorado AI Act, which was passed and will become effective February 1, 2026, and, like the AI Act, provides for a regulatory risk-based framework, and numerous laws enacted in California in September 2024.</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efforts to comply with the AI Act and other legislation or regulations, whether now in effect or as may be proposed or enacted in the future, relating to AI/ML technologies may be difficult, onerous, and costly, and could adversely affect our business, reputation, financial condition, results of operations, and growth prospects. We may need to devote substantial time and resources to evaluate our obligations under the AI Act and other legislation and regulations and to develop and execute a plan designed to ensure compliance. Further, the intellectual property ownership and license rights, including copyright, surrounding AI/ML technologies have not been fully addressed by U.S. courts or other federal or state laws or regulations, and the use or adoption by our customers of third-party AI/ML technologies into robotic products and services may result in exposure to claims of copyright infringement or other intellectual property misappropriation or infringement.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Uncertainty around new and emerging AI/ML technologies, may require additional investment in the development and maintenance of proprietary datasets and ML models, development of new approaches and processes to provide attribution or remuneration to creators of training data, and development of appropriate protections and safeguards for handling the use of data with AI technologies, which may be costly and could impact our expenses as we utilize AI/ML technologies within our products. The use of AI/ML technologies presents emerging ethical and social issues, and if we enable or offer solutions that draw scrutiny or controversy due to their perceived or actual impact on customers or on society as a whole, we may experience brand or reputational harm, competitive harm and/or legal liability. These challenges may make it harder for us to conduct our business using AI, and may lead to regulatory fines or penalties, require us to change our product offerings or business practices, or prevent or limit our use of AI. If we cannot use AI, or that use is restricted, our business may be less efficient, or we may be at a competitive disadvantage. Any of these factors could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cash flows, results of operations or financial condition.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tax laws, regulations, and policies of several taxing jurisdictions. Changes in tax laws, as well as other factors, could cause us to experience fluctuations in our tax obligations and effective tax rates or otherwise adversely affect our tax positions and/or our tax liabilities. For example, many countries and local jurisdictions and organizations such as the Organization for Economic Cooperation and Development have proposed or implemented new tax laws or changes to existing tax laws. The Tax Act has eliminated the option to deduct research and development expenditures currently and instead requires taxpayers to capitalize and amortize them over five or fifteen years. The Inflation Reduction Act of 2022 imposed a 1% excise tax on certain repurchases of stock. Any new tax laws or changes to existing tax laws could adversely affect our effective tax rate, operating results, tax credits or incentives or tax payments, or require our potential customers to pay additional taxes, which could have a material adverse effect on our business, cash flows, results of operations or financial condition.</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new or changing governmental regulations relating to the development, marketing, licensing, distribution or use of our AI/ML Software Platform and related products or to the providing of customer service, and a failure to comply with such regulations could lead to delays in launching our platform and/or withdrawal of our platform from the market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delay our projected revenues, increase costs and/or make our business unviable if we are unable to modify our software platform to comply.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become subject to new or changing international, national, state and local regulations, including laws relating to the development, marketing, licensing, distribution or use of AI/ML software products such as ours, or to the providing of customer service. Such laws and regulations may also cover employment, taxation, privacy, data security, data protection, pricing, content, copyrights and other intellectual property, mobile communications, electronic contracts and other communications, consumer protection, unencumbered internet access to our services, the design and operation of websites, and the characteristics and quality of software and services, and may require us to pause sales and modify our software products, which would likely result in a material adverse effect on our revenue and financial condition, especially if implemented on a large scale or in a key market. Such laws and regulations can also give rise to liability, such as fines and penalties or for property damage, bodily injury and cleanup costs. Capital and operating expenses needed to comply with laws and regulations can be significant, and violations may result in substantial fines and penalties, third-party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jc w:val="both"/>
        <w:spacing w:after="0" w:line="282" w:lineRule="auto"/>
        <w:rPr>
          <w:sz w:val="20"/>
          <w:szCs w:val="20"/>
          <w:color w:val="auto"/>
        </w:rPr>
      </w:pPr>
      <w:r>
        <w:rPr>
          <w:rFonts w:ascii="Times New Roman" w:cs="Times New Roman" w:eastAsia="Times New Roman" w:hAnsi="Times New Roman"/>
          <w:sz w:val="18"/>
          <w:szCs w:val="18"/>
          <w:color w:val="auto"/>
        </w:rPr>
        <w:t>damages, suspension of production or a cessation of our operations. Any failure to comply with such laws or regulations could lead to withdrawal of our software products from the market.</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subject to claims, lawsuits, arbitration proceedings, government investigations and other legal, regulatory and administrative proceedings. In addition, we may be subject to the heightened scrutiny that is sometimes directed toward companies taken public via a business combination with a special purpose acquisition company. The outcome of any such claims, investigations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under certain circumstances we have or may take on contractual or other legal obligations to indemnify and to incur legal expenses on behalf of investors, directors, officers, employees, customers, vendors or other third-parties. For example, our Amended and Restated Bylaws (the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policies and contractual obligations related to data privacy and security, and our actual or perceived failure to comply with such obligations could harm our reputation, subject us to significant fines and liability or otherwise adversely affect our business, prospects, financial condition and operating results.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Many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or incident. Such mandatory disclosures are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government contractor or subcontractor, we are subject to the Department of Defense's ("DoD") cybersecurity requirements, including compliance with the newly formalized Cybersecurity Maturity Model Certification ("CMMC") Program's requirements. Depending on certain factors, including the awarding DoD agency and type of contract, we may be required to obtain and affirm specific third-party cybersecurity certifications to be deemed eligible for award. Failure to comply with these requirements could restrict our ability to compete for, be awarded and/or perform on DoD contracts. The DoD expects that all new contracts will be required to comply with the CMMC program by 2026, and initial requests for information and for proposal have already begun. To the extent we, or our subcontractors or other third parties on whom we rely, are unable to achieve certification in advance of contract awards that specify the requirement, we may be deemed ineligible for awards or follow-on awards for existing work with the DoD, which could materially and adversely affect our results of operations, financial condition, business and prospects. We will also be required to go through a recertification process periodically, which may increase our costs of compliance relating to such certification, may increase risk exposure based on frequency of recertification affirmations and may cause operational delays. In addition, obligations that may be imposed on us under the CMMC program may be different from or in addition to those otherwise required by applicable laws and regulations, which may cause additional expense for compliance.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jc w:val="both"/>
        <w:spacing w:after="0" w:line="256" w:lineRule="auto"/>
        <w:rPr>
          <w:sz w:val="20"/>
          <w:szCs w:val="20"/>
          <w:color w:val="auto"/>
        </w:rPr>
      </w:pPr>
      <w:r>
        <w:rPr>
          <w:rFonts w:ascii="Times New Roman" w:cs="Times New Roman" w:eastAsia="Times New Roman" w:hAnsi="Times New Roman"/>
          <w:sz w:val="18"/>
          <w:szCs w:val="18"/>
          <w:color w:val="auto"/>
        </w:rPr>
        <w:t>California residents. The CCPA includes a framework with potentially severe statutory damages and private rights of action. The CCPA was modified and supplement by, the California Privacy Rights Act ("CPRA"), which went into effect on January 1, 2023. Numerous other states have proposed, and in many cases have enacted, laws addressing data privacy and security, which in many cases are similar to the CCPA and CPRA. The U.S. federal government also is contemplating federal privacy legislation.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which generally are more stringent than those currently enforced in the United States. The GDPR requires companies to meet stringent requirements regarding the handling of personal data of individuals located in the European Economic Area.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which it maintains along with its Data Protection Act,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comply with such policies and other actual or asserted legal or contractual obligations relating to privacy, data protection or data security.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Any actual or perceived inability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or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to our operational systems, security systems, infrastructure and data processed by us or third-party vendors.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operations may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have been and may in the future be a target for cybersecurity attacks designed to disrupt our operations or to attempt to gain access to our systems, data processed or maintained in our business, trade secrets or other proprietary information or financial resources. Some of our employees work remotely which has increased security risks. In addition, the risk of state-supported and geopolitical-related cybersecurity attacks is believed to be heightened in connection with international conflicts and any related political or economic responses and counter-responses.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at risk for interruptions, outages and breaches of (a) operational systems, including business, financial, accounting, product development, data processing or production processes, owned by us or our third-party vendors or suppliers; (b) facility security systems, owned by us or our third-party vendors or suppliers; (c) in-product technology, owned by us or our third-party vendors; (d) our software, including third-party software we license; and (e) customer data that we process or our third-party vendors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we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or others; jeopardize the security of our facilities; or affect the performance of in-product technology and the integrated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software in our systems. Certain efforts may be state-sponsored or supported by significant financial and technological resources, making them even more difficult to detect, remediate and otherwise respond to.</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and other malicious code, social engineering schemes, insider theft or misuse or other attempts to harm our systems. We may face objections to our intended collection or use of data, which may require us to implement new or modified data handling policies and mechanisms, increase our maintenance costs and costs associated with data processing and handling, and harm our business prospects. The use of AI/ML technologies may result in security incidents and our use of AI/ML technologies may create additional cybersecurity risks or increase cybersecurity risks, including risks of security breaches and incidents. Further, AI/ML technologies may be used in connection with certain cybersecurity attacks, including to launch more automated, targeted and coordinated attacks, resulting in heightened risks of security breaches and incidents.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have implemented and are in the process of implementing additional systems and processes that are designed to protect our data and systems within our control, prevent data loss and prevent other security breaches and security incidents, these security measures cannot guarantee security. The IT infrastructure used in our business may be vulnerable to cyber attacks or security breaches or incidents, and third parties may be able to access data, including personal data and other sensitive and proprietary data of ours and our customers, collaborators and partners, our employees’ personal data or other sensitive and proprietary data accessible through those systems, or such data otherwise may be subject to unauthorized use, disclosure, unavailability, modification or other processing. Employee error, malfeasance or other errors in the storage, use or transmission of any of these types of data could result in an actual or perceived privacy or security breach or other security incident.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our current systems, such as the disruption of our data management, procurement, product development, finance and sales and service processes. These risks may affect our ability to manage our data or deploy and service our products and solutions,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actual or perceived security breach or security incident, or any systems outages or other disruption to systems used in our business, could interrupt our operations, result in loss or improper access to, or acquisition, unavailability, modification, disclosure or other processing of, data or a loss of intellectual property protection, harm our reputation and competitive position, reduce demand for our software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regulations and contractual provisions as a government contractor or subcontractor, which may pose increased risk of potential liability and expenses related thereto, which could have a material adverse effect on our business, operating results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U.S. governmental agencies, such as the Defense Contract Audit Agency and the Defense Contract Management Agency, routinely audit and investigate government contractors. In addition,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our software products to our government customers. These laws and regulations may impose other added costs on our business, and failure to comply with these or other applicable regulations and requirements, including non-compliance in the past,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18"/>
          <w:szCs w:val="18"/>
          <w:color w:val="auto"/>
        </w:rPr>
        <w:t>could lead to claims for damages, downward contract price adjustments or refund obligations, civil or criminal penalties,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prospects, financial condition and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of these laws, which can harm our business, prospects, financial condition and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U.S. domestic bribery statute contained in 18 U.S.C. § 201, the U.S. Travel Act, and other anti-corruption, anti-bribery and anti-money laundering laws, including those of other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direct and indirect interactions with foreign officials, including in furtherance of sales to governmental entities in non-U.S. countries. We sometimes leverage third parties to conduct our business abroad, and our third-party business partners, intermediaries, representatives and agents may have direct or indirect interactions with officials and employees of government agencies or state-owned or affiliated entities. We can be held liable for the corrupt or other illegal activities of our employees or these third-parties,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our employees, business partners, third-party intermediaries, representatives and agents may take actions in violation of our policies and applicable law, for which we may be ultimately held responsible. Our exposure for violating these laws increases as our international presence expands and as we increase sales and operations in foreign jurisdictions.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allegations or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laws that could subject us to liability if we are not in compliance with such 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AI/ML Software Platform and related products and technology are subject to compliance with applicable export control, import and economic sanctions laws and regulations, including the U.S. Export Administration Regulations, U.S. International Traffic in Arms Regulations, U.S. Customs regulations and various economic and trade sanctions regulations administered by the U.S. Treasury Department’s Office of Foreign Assets Control. Exports of our software products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debarment from U.S. government contracting; fines, which may be imposed on us and responsible employees or managers; and, in extreme cases, the incarceration of responsible employees or managers.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international sales of our software may be subject to first obtaining licenses, clearances or authorizations from various regulatory entities. If we are not allowed to export our software or the clearance process is burdensome and costly, our ability to generate revenue would be adversely affected.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changes to our software, or changes in applicable export control, import or economic sanctions laws and regulations may create delays in the introduction and sale of our software products, constrain collaboration with suppliers or other business partners or, in some cases, prevent the export or import of our software to certain countries, governments or persons altogether. Compliance with such laws and regulations may also be costly and require time and attention from our management.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software platform systems, as well as our decreased ability to export or market our software to potential customers. Any decreased use of our software products or limitation on our ability to export or market our software would likely adversely affect our business, prospects, financial condition and operating results.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regulators,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or ESG, practices and reporting. Regulators, investors, customers, employees and other stakeholders have focused increasingly on ESG practices and placed increasing importance on the implications and social cost of their investments, purchases and other interactions with companies. If our ESG practices and reporting do not meet investor, customer, or employee expectations, which continue to evolve, our brand, reputation and customer retention may be negatively impacted. We could also incur additional costs and need to devote additional resources to monitor, report and implement various ESG practices, including as a result of regulatory developments.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obtain and maintain protection for the intellectual property relating to our software and other technologies.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protection for the intellectual property relating to our software and other technologies. We seek to protect our intellectual property through a combination of patents, trademarks and other intellectual property rights, as well as confidentiality and/or intellectual property assignment agreements with our employees and certain of our contractors, consultants, scientific advisors and other vendors and third-parties. In addition, we rely on copyright and trade secret law to protect our proprietary software and product candidates/products in development.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Patent positions covering robotics software and solutions can be highly uncertain and involve many new and evolving complex legal, factual and technical issues. Patent laws and interpretations of those laws are subject to change and any such changes may diminish the value of our patents or narrow the scope of our right to exclude others. In addition, we may fail to apply for or be unable to obtain patents necessary to protect our technology or software platform or related products from competition or fail to enforce our patents due to lack of information about the exact use of technology or processes by third parties or for a variety of other reasons. Also, we cannot be sure that any patents will be granted in a timely manner or at all with respect to any of our pending patent applications or that any patents that are granted will be adequate to exclude others for any significant period of time or at all. Given the foregoing, and in order to continue reducing operational expenses, we are investing fewer resources in filing and prosecuting new patents and on maintaining and enforcing various patents, especially in regions where we currently do not focus our market growth strategy or with respect to patents with less relevance to our current business.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Litigation to establish or challenge the validity of patents, or to defend against or assert against others’ infringement, unauthorized use, enforceability or invalidity, can be lengthy and expensive and may result in our patents being invalidated or interpreted narrowly and may restrict our ability to be granted new patents related to our pending patent applications. Even if we prevail, litigation may be time consuming, force us to incur significant costs and divert management’s attention from managing our business while any damages or other remedies awarded to us may not be valuable or adequate. In addition, U.S. patents and patent applications may be subject to interference or derivation proceedings, and U.S. patents may be subject to re-examination and inter partes or post grant review proceedings in the U.S. Patent and Trademark Office. Furthermore, our issued patents may be subject to claims of invalidity based on earlier filed patents or published applications not discovered in any patent searches or by the patent offices that carried out examination of the issued patents. Foreign patents may also be subject to opposition or comparable proceedings in corresponding foreign patent offices. Any of these proceedings may be expensive and could result in the loss of a patent or denial of a patent application, or the loss or reduction in the scope of one or more of the claims of a patent or patent application.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seek to protect our trade secrets, know-how, and confidential information that is not patentable or for which we decide not to seek a patent by entering into confidentiality and intellectual property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or is using our trade secrets without authorization may be expensive and time consuming, and the outcome is unpredictable. Some of our employees or consultants or service providers may own certain technology which they license to us for a set term. If these technologies are material to our business after the term of the license and we are unable to use them, it could adversely affect our business and profitability.</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taken and continue to take precautions to initiate safeguards to protect our information technology systems. However, these measures may not be adequate to safeguard our proprietary information, which could lead to the loss or impairment thereof or to expensive litigation to defend our rights against competitors who may be better funded and have superior resources. In addition,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auto"/>
        </w:rPr>
        <w:t>unauthorized parties may attempt to copy or reverse engineer certain aspects of our software or other technologies that we consider proprietary or our proprietary information may otherwise become known or may be independently developed by our competitors or other third parties. If other parties are able to use our proprietary technology or information, our ability to compete could be harmed. Further, unauthorized use of our intellectual property may have occurred, or may occur in the future, without our knowledge.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made efforts to register and enforce our trademark rights. However, trademark law and the associated infringement analysis is complex, and, notwithstanding our efforts to develop and enforce our trademark portfolio, both outgoing and incoming claims of trademark infringement could lead to limitations, loss or impairment of those trademark rights or to expensive litigation to prosecute or defend our trademark rights against third-party infringers who may be better funded and have superior resources.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obtain or maintain adequate protection for our intellectual property, or if any protection is reduced or eliminated, competitors may be able to use our technologies, resulting in harm to our competitive position and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protect our intellectual property rights in our target markets or at all.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Filing, prosecuting, maintaining and defending patents and trademarks and seeking to enforce copyrights on our intellectual property in all target markets would be prohibitively expensive and time consuming, and thus our intellectual property rights outside the United States are limited. In addition, the laws of some of our target markets, especially developing countries, such as China,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 Consequently, we are unable to prevent third parties from using our inventions in all of our target markets, or from selling or importing products made using our inventions, technologies or software in the jurisdictions in which we do not have (or are unable to effectively enforce) patent or other intellectual property protection. Competitors may use our technologies in jurisdictions where they have not obtained patent protection to develop, market or otherwise commercialize their own products, and we may be unable to prevent those competitors from importing those infringing products into territories where we have patent protection, but enforcement may not be as strong as in the United States. These products may compete with our software products and our patents and other intellectual property rights may not be effective or sufficient to prevent them from competing in those jurisdictions. Moreover, strategic partners, competitors or others may raise legal challenges against our intellectual property rights or may infringe upon our intellectual property rights, including through means that may be difficult to detect or prevent.</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or misappropriation claims, which may be time consuming and expensive and, if adversely determined, could limit our ability to commercialize our software products.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operating in the robotics software industry may face difficulty enforcing their patent and other intellectual property rights and may become subject to a substantial amount of litigation over these rights. In particular, our competitors in both the United States and abroad, many of which have substantially greater resources than we have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Determining whether a product infringes a patent involves complex legal and factual issues and the outcome of patent litigation is often uncertain. No assurance can be given that patents containing claims covering our software products, technology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published applications that initially do not appear to be problematic may issue with claims that potentially cover our software, technology or methods. Moreover, there may be pending, published or allowed applications that may disclose, but not claim, subject matter covering our software, technology or methods, where such pending or published applications may be amended, or one or more continuation or divisional applications may be filed, in an attempt to capture, to the extent possible, such software, technology or methods that are in the public domain, and which may result in issued patents that our current or future products infringe.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4" w:name="page55"/>
    <w:bookmarkEnd w:id="54"/>
    <w:p>
      <w:pPr>
        <w:jc w:val="both"/>
        <w:spacing w:after="0" w:line="255" w:lineRule="auto"/>
        <w:rPr>
          <w:sz w:val="20"/>
          <w:szCs w:val="20"/>
          <w:color w:val="auto"/>
        </w:rPr>
      </w:pPr>
      <w:r>
        <w:rPr>
          <w:rFonts w:ascii="Times New Roman" w:cs="Times New Roman" w:eastAsia="Times New Roman" w:hAnsi="Times New Roman"/>
          <w:sz w:val="18"/>
          <w:szCs w:val="18"/>
          <w:color w:val="auto"/>
        </w:rPr>
        <w:t>Infringement actions and other intellectual property claims brought against us, whether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infringing software products, unless we can obtain a license to use the technology covered by such patents or can redesign our software products so that they do not infringe. A license may not be available on commercially reasonable terms or at all, and we may not be able to redesign our software products to avoid infringement. In these circumstances, we may not be able to sell our software products at competitive prices or at all, and our business, prospects, financial condition and operating results would be harmed.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may include a non-exclusive, non-transferable, irrevocable worldwide license to use inventions for any governmental purpose. In addition, the U.S. government may have the right, under certain limited circumstances, to require us to grant exclusive, partially exclusive, or non-exclusive licenses to any of these inventions to a third party if the U.S. government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intellectual property rights generated through the use of U.S. government funding or grants, we could be forced to license or sublicense intellectual property we developed or that we license on terms unfavorable to us, and there can be no assurance that we would receive compensation from the U.S. government for the exercise of such rights. The U.S. government may also have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subject to claims that we or our employees have inadvertently or otherwise used or disclosed trade secrets or other proprietary information of an employee’s former employers. Litigation may be necessary to defend against these claims. If we fail to defend against such claims, in addition to paying monetary damages, we may lose valuable intellectual property rights or personnel or be forced to seek a license, which may not be available on commercially acceptable terms or at all. A loss of key personnel or their work product could hamper or prevent our ability to commercialize our software products, which could severely harm our business. Even if we are successful in defending against these claims, litigation could result in substantial costs and demand on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could decline due to the large number of shares of our Common Stock being subject to employee equity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granted and expect to continue to grant equity awards to our directors and employees as additional compensation in an effort to align their interests with those of our stockholders. Because these awards may be scheduled to vest during specified points in time, such as expected open trading windows under our insider trading policy, there is a potential that sales of large amounts of our Common Stock may take place during concentrated periods, leading to a decline in the price of our Common Stock.</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“Sell-to-cover” transactions can be used in connection with the vesting and settlement of equity awards that are granted to our employees so that shares of our Common Stock are sold on behalf of our employees in an amount sufficient to cover the tax withholding obligations and, if applicable, exercise price associated with these awards. As a result of these transactions, a significant number of shares of our Common Stock may be sold over a limited time period in connection with significant vesting events. We may also settle tax withholding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obligations in connection with vesting of awards through “net settlement,” in which we remit cash to satisfy the tax withholding obligation and withhold a number of the vested shares on each vesting date. Depending on the fair value of our Common Stock and the number of awards vesting on any applicable vesting date, such net settlement could require us to expend substantial funds to satisfy tax withholding.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for our Common Stock and Warrants have been volatile and may not continue at all.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Business Combination and the commencement of the trading of our Common Stock and Warrants on the Nasdaq Global Market, the prices of our Common Stock and Warrants have been volatile and may continue to fluctuate significantly due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333"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strategy or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robotics software or other technology companies, or those in our industry in particular;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our company or the market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sell and deliver our software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the Common Stock and Public Warrants available for public sale, including as a result of the exercise of any of our Warrants or the exercise or vesting of employee equity awards;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discussed herein;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5" w:lineRule="exact"/>
        <w:rPr>
          <w:rFonts w:ascii="Times New Roman" w:cs="Times New Roman" w:eastAsia="Times New Roman" w:hAnsi="Times New Roman"/>
          <w:sz w:val="18"/>
          <w:szCs w:val="18"/>
          <w:color w:val="auto"/>
        </w:rPr>
      </w:pPr>
    </w:p>
    <w:p>
      <w:pPr>
        <w:jc w:val="both"/>
        <w:ind w:left="1020" w:right="20" w:hanging="503"/>
        <w:spacing w:after="0" w:line="267"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to comply with Nasdaq listing requirements (see </w:t>
      </w:r>
      <w:r>
        <w:rPr>
          <w:rFonts w:ascii="Times New Roman" w:cs="Times New Roman" w:eastAsia="Times New Roman" w:hAnsi="Times New Roman"/>
          <w:sz w:val="18"/>
          <w:szCs w:val="18"/>
          <w:i w:val="1"/>
          <w:iCs w:val="1"/>
          <w:color w:val="auto"/>
        </w:rPr>
        <w:t>“Our Common Stock and Warrants are subject to potential delisting from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Nasdaq Global Market in the event we do not meet Nasdaq’s continued listing requirements, which would likely impair the liquidity of the trading market for our Common Stock and Warrants”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of 2002 or other laws or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6" w:name="page57"/>
    <w:bookmarkEnd w:id="56"/>
    <w:p>
      <w:pPr>
        <w:jc w:val="both"/>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or any of the factors listed above. The securities markets in general have experienced price and volume fluctuations that have often been unrelated or disproportionate to the operating performance of the particular companies affected. The trading prices and valuations of these securities, including our securities, are not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and Warrants are subject to potential delisting from The Nasdaq Global Market in the event we do not meet Nasdaq's continued listing requirements, which would likely impair the liquidity of the trading market for our Common Stock and Warrants.</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listing on the Nasdaq Global Market is contingent upon meeting all the continued listing requirements of the Nasdaq Global Market, including a minimum market value of $15 million, a minimum bid price of $1.00 per share for our Common Stock and timely filing requirements of all required periodic reports with the SEC.</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January 23, 2023, we received written notice from the Listing Qualifications Department of Nasdaq notifying us that, based on the closing bid price of our Common Stock for the previous 30 consecutive business days, we did not comply with the minimum bid price requirement for continued listing on The Nasdaq Global Market, and that we had until July 22, 2023 to regain such compliance. To do so, our Board of Directors and stockholders approved a 1-for-6 reverse stock split after which we regained compliance with Nasdaq’s continued listing requirements.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24, 2023, we again received written notice from the Listing Qualifications Department of Nasdaq notifying us that, based on the closing bid price of our Common Stock for the previous 30 consecutive business days, we no longer complied with the minimum bid price requirement for continued listing on The Nasdaq Global Market. We regained compliance on March 8, 2024 when the closing bid price of our Common Stock had been at least $1.00 per share for a minimum of 10 consecutive business days.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we were able to regain compliance with the minimum bid price requirement within Nasdaq's automatic compliance period each time we received notice of non-compliance, if our stock price declines we could again fail to comply with this requirement and may not be able to regain compliance. In the event we again become out of compliance with the minimum bid price requirement or if we were to become out of compliance with the other listing requirements and we were not able to regain compliance with requirements for continued listing on Nasdaq, we may transfer to and commence trading on the OTC Markets. Shares traded on the OTC Markets generally have lower trading volumes, fewer market makers, higher trading volatility and wider spreads between bid and ask quotations than shares traded on major national exchanges such as Nasdaq. The OTC Markets are also less regulated than a major exchange like Nasdaq, and typically require less stringent corporate governance requirements. If our Common Stock or Warrants become delisted from Nasdaq for any reason and are quoted on the OTC Markets such as OTCQX, OTCQB or OTC Pink, an inter-dealer automated quotation system for equity securities that is not a national securities exchange, stockholders would likely find it more difficult to trade or obtain accurate price quotations for our shares. Delisting would likely also reduce the visibility, liquidity, and value of our Common Stock, reduce institutional investor interest in us, and may increase the volatility of our Common Stock. Delisting could also cause a loss of confidence of potential industry partners, lenders, and employees, which may harm our ability to raise capital through alternative financing sources on terms acceptable to us, which could further harm our business and our future prospects. Some or all of these material adverse consequences may contribute to a further decline in our stock price. If an active trading market for our securities is not sustained with sufficient trading volume, you may have limited or no ability to sell your securities.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our market, or if they change their recommendations regarding our Common Stock, then the price and trading volume of our Common Stock could decline</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markets for our Common Stock and Warrants will be influenced by the research and reports that industry or securities analysts may publish about us, our business, our market or our competitors. Analysts who previously covered us in the past have since ceased publishing research or reports about us. If any analysts who cover us in the future change their recommendation regarding our stock adversely, or provide more favorable relative recommendations about our competitors, the price of our Common Stock and Public Warrants would likely decline. If any analyst covering our company in the future were to cease coverage of us or fail to regularly publish reports on us, we could lose visibility in the financial markets, which could cause the prices and trading volumes of the Common Stock and Public Warrants to decline.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Public Warrants or Private Placement Warrants will ever be in the money, and they may expire worthless.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price of our Warrants is higher than is typical with many companies that have merged with similar blank check companies in the past. Historically, with regard to units offered by blank check companies, the exercise price of a Warrant was generally a fraction of the purchase price of the units in the initial public offering. The exercise price for our Warrants is $11.50 per warrant. Upon exercise, the exercise price of the Warrants and the number of shares of Common Stock issuable shall be adjusted 1-for-6, the same ratio as the reverse stock split that was effective as of July 5, 2023. There is no guarantee that the Warrants will ever be in the money prior to their expiration, and as such, the Warrants may expire worthless.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Warrants prior to their exercise at a time that is disadvantageous to Warrant holders, thereby making their Warrants worthless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have the ability to redeem outstanding Warrants at any time after they become exercisable and prior to their expiration, subject to certain exceptions, provided that the last reported sales price of our Common Stock equals or exceeds $60.00 per share (as adjusted for stock splits, stock dividends, reorganizations, recapitalization and the like) for any 20 trading days within a 30 trading-day period ending on the third trading day prior to the date on which we give proper notice of such redemption to the Warrant holders and provided certain other conditions are met. For additional information on the circumstances in which the Public Warrants may be redeemed, see "</w:t>
      </w:r>
      <w:r>
        <w:rPr>
          <w:rFonts w:ascii="Times New Roman" w:cs="Times New Roman" w:eastAsia="Times New Roman" w:hAnsi="Times New Roman"/>
          <w:sz w:val="17"/>
          <w:szCs w:val="17"/>
          <w:i w:val="1"/>
          <w:iCs w:val="1"/>
          <w:color w:val="auto"/>
        </w:rPr>
        <w:t>Description of Securities—Warrants—Public Stockholders’ Warrants</w:t>
      </w:r>
      <w:r>
        <w:rPr>
          <w:rFonts w:ascii="Times New Roman" w:cs="Times New Roman" w:eastAsia="Times New Roman" w:hAnsi="Times New Roman"/>
          <w:sz w:val="17"/>
          <w:szCs w:val="17"/>
          <w:color w:val="auto"/>
        </w:rPr>
        <w:t>" in our prospectus filed with the SEC on April 6, 2022. If and when the Warrants become redeemable by us, we may exercise our redemption right even if we are unable to register or qualify the underlying securities for sale under all applicable state securities laws. Redemption of the outstanding Warrants could force the Warrant holders (i) to exercise their Warrants and pay the exercise price therefor at a time when it may be disadvantageous for them to do so, (ii)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their Warrants. None of the Private Placement Warrants will be redeemable by us so long as they are held by the initial purchasers or their permitted transferees, subject to certain exceptions.</w:t>
      </w:r>
    </w:p>
    <w:p>
      <w:pPr>
        <w:spacing w:after="0" w:line="1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are exercisable for Common Stock, and their exercise would increase the number of shares eligible for future resale in the public market and result in dilution to our stockholders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there were 20,549,453 Warrants outstanding. Each whole Warrant entitles the holder to purchase one sixth of a share of the Company’s Common Stock at a price of $11.50 per warrant, which is equivalent to approximately 3,424,909 shares of Common Stock. The shares of Common Stock issued upon exercise of our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Public Warrants.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Charter and Bylaws, as well as provisions of Delaware law, could impair a takeover attempt, which could limit the price investors might be willing to pay in the future for our Common Stock</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Charter and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288" w:lineRule="exact"/>
        <w:rPr>
          <w:sz w:val="20"/>
          <w:szCs w:val="20"/>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board of directors (pursuant to a majority vote of the whole board), the chairperson of the board of directors, or the Chief Executive Officer may call a special meeting;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remove a director for “cause”;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approve certain amendments to the Charter and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Delaware and federal courts as the exclusive forums for certain disputes.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18"/>
          <w:szCs w:val="18"/>
          <w:color w:val="auto"/>
        </w:rPr>
        <w:t>Our Bylaws provide, to the fullest extent permitted by law, that internal corporate claims may be brought only in the Court of Chancery in the State of Delaware (or, if the Court of Chancery does not have, or declines to accept, jurisdiction, another state court or a federal court located within the State of Delaware). In addition, our Bylaws provide that the federal district courts of the United States will be the exclusive forum for resolving any complaint asserting a cause of action arising under the Securities Act. This forum selection provision will not apply to claims brought to enforce a duty or liability created by the Exchange Act. Any person or entity purchasing or otherwise acquiring or holding any interest in our stock shall be deemed to have notice of and consented to the forum provision in our Bylaws.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January 20, 2026, the fifth anniversary of Rotor’s initial public offering, (b) in which we have total annual gross revenue of at least $1.235 billion or (c) in which we are deemed to be a large accelerated filer, which means the market value of our Common Stock and Public Warrants that is held by non-affiliates exceeds $700 million as of the last business day of our prior second fiscal quarter, and (ii) the date on which we have issued more than $1.0 billion in non-convertible debt during the prior three-year period.</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Investors may find our Common Stock or Public Warrants less attractive because we rely on these exemptions and may continue to rely on them to the extent they remain available to us. If some investors find our Common Stock or Public Warrants less attractive as a result of these exemptions and reduced disclosure as an emerging growth company, there may be a less active trading market for and/or more price volatility with respect to our Common Stock or Public Warrants.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November 13, 2024, we entered into an Open Market Sale Agreement</w:t>
      </w:r>
      <w:r>
        <w:rPr>
          <w:rFonts w:ascii="Times New Roman" w:cs="Times New Roman" w:eastAsia="Times New Roman" w:hAnsi="Times New Roman"/>
          <w:sz w:val="20"/>
          <w:szCs w:val="20"/>
          <w:color w:val="auto"/>
          <w:vertAlign w:val="superscript"/>
        </w:rPr>
        <w:t>SM</w:t>
      </w:r>
      <w:r>
        <w:rPr>
          <w:rFonts w:ascii="Times New Roman" w:cs="Times New Roman" w:eastAsia="Times New Roman" w:hAnsi="Times New Roman"/>
          <w:sz w:val="18"/>
          <w:szCs w:val="18"/>
          <w:color w:val="auto"/>
        </w:rPr>
        <w:t xml:space="preserve"> (the “Sale Agreement”) with Jefferies LLC (“Jefferies”) to sell shares of our Common Stock, from time to time, through an “at the market offering” program under which Jefferies will act as sales agent. Any shares sold pursuant to the Sale Agreement will be issued pursuant our effective shelf registration statement on Form S-3 (File No. 333-268399), filed with the Securities and Exchange Commission (the “SEC”) on November 15, 2022 and declared effective on November 23, 2022, including the prospectus supplement relating to the sale of the shares dated November 13, 2024.</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delivery of an issuance notice and subject to the terms and conditions of the Sale Agreement, Jefferies will use commercially reasonable efforts consistent with its normal sales and trading practices and applicable state and federal laws, rules and regulations and the rules of The Nasdaq Stock Market LLC to sell shares from time to time based upon our instructions, including any price, time or size limits that we specify. Under the Sale Agreement, Jefferies may sell shares in privately negotiated transactions, as block transactions or by any method deemed to be an “at the market offering” as defined in Rule 415(a)(4) under the Securities Act of 1933, as amended.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agreed to pay Jefferies a commission of 3% of the aggregate gross proceeds from each sale of shares and have agreed to provide Jefferies with customary indemnification and contribution rights. We have also agreed to reimburse Jefferies for certain specified expenses. We are not obligated to sell any shares under the Sale Agreement. The offering of shares pursuant to the Sale Agreement will terminate upon the termination of the Sale Agreement by Jefferies or by us, as permitted therein.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Sale Agreement is not complete and is qualified in its entirety by reference to the full text of such agreement, a copy of which is filed herewith as Exhibit 10.2 to this Quarterly Report on Form 10-Q and is incorporated herein by reference.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legal opinion of Wilson Sonsini Goodrich &amp; Rosati, Professional Corporation, relating to the Shares being offered in connection with the November Prospectus Supplement is filed as Exhibit 5.1 to this Quarterly Report on Form 10-Q.</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adopted or terminated a “Rule 10b5-1 trading arrangement” or a “non-Rule 10b5-1 trading arrangement,” each as defined in Regulation S-K Item 408.</w:t>
      </w: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60" w:type="dxa"/>
            <w:vAlign w:val="bottom"/>
            <w:gridSpan w:val="18"/>
            <w:vMerge w:val="restart"/>
          </w:tcPr>
          <w:p>
            <w:pPr>
              <w:jc w:val="center"/>
              <w:ind w:right="3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60" w:type="dxa"/>
            <w:vAlign w:val="bottom"/>
            <w:tcBorders>
              <w:bottom w:val="single" w:sz="8" w:color="auto"/>
            </w:tcBorders>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w w:val="99"/>
              </w:rPr>
            </w:pPr>
            <w:hyperlink r:id="rId293">
              <w:r>
                <w:rPr>
                  <w:rFonts w:ascii="Times New Roman" w:cs="Times New Roman" w:eastAsia="Times New Roman" w:hAnsi="Times New Roman"/>
                  <w:sz w:val="18"/>
                  <w:szCs w:val="18"/>
                  <w:color w:val="0000FF"/>
                  <w:w w:val="99"/>
                </w:rPr>
                <w:t>Second Amended and Restated Certificate of Incorporation of the Company (incorporated by reference to Exhibit 3.1 to the Company’s</w:t>
              </w:r>
            </w:hyperlink>
          </w:p>
        </w:tc>
        <w:tc>
          <w:tcPr>
            <w:tcW w:w="4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5"/>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Current Report on Form 8-K, filed with the SEC on September 30,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25"/>
          </w:tcPr>
          <w:p>
            <w:pPr>
              <w:spacing w:after="0"/>
              <w:rPr>
                <w:rFonts w:ascii="Times New Roman" w:cs="Times New Roman" w:eastAsia="Times New Roman" w:hAnsi="Times New Roman"/>
                <w:sz w:val="18"/>
                <w:szCs w:val="18"/>
                <w:color w:val="0000FF"/>
                <w:w w:val="99"/>
              </w:rPr>
            </w:pPr>
            <w:hyperlink r:id="rId294">
              <w:r>
                <w:rPr>
                  <w:rFonts w:ascii="Times New Roman" w:cs="Times New Roman" w:eastAsia="Times New Roman" w:hAnsi="Times New Roman"/>
                  <w:sz w:val="18"/>
                  <w:szCs w:val="18"/>
                  <w:color w:val="0000FF"/>
                  <w:w w:val="99"/>
                </w:rPr>
                <w:t>Certificate of Amendment of Amended and Restated Certificate of Incorporation of the Company (incorporated by reference to Exhibit 3.1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94">
              <w:r>
                <w:rPr>
                  <w:rFonts w:ascii="Times New Roman" w:cs="Times New Roman" w:eastAsia="Times New Roman" w:hAnsi="Times New Roman"/>
                  <w:sz w:val="18"/>
                  <w:szCs w:val="18"/>
                  <w:color w:val="0000FF"/>
                  <w:w w:val="99"/>
                </w:rPr>
                <w:t>the Company’s Current Report on Form 8-K filed with the SEC on June 20, 2023).</w:t>
              </w:r>
            </w:hyperlink>
          </w:p>
        </w:tc>
        <w:tc>
          <w:tcPr>
            <w:tcW w:w="20" w:type="dxa"/>
            <w:vAlign w:val="bottom"/>
            <w:tcBorders>
              <w:top w:val="single" w:sz="8" w:color="0000FF"/>
              <w:bottom w:val="single" w:sz="8" w:color="0000EE"/>
            </w:tcBorders>
          </w:tcPr>
          <w:p>
            <w:pPr>
              <w:spacing w:after="0"/>
              <w:rPr>
                <w:sz w:val="17"/>
                <w:szCs w:val="17"/>
                <w:color w:val="auto"/>
              </w:rPr>
            </w:pPr>
          </w:p>
        </w:tc>
        <w:tc>
          <w:tcPr>
            <w:tcW w:w="4200" w:type="dxa"/>
            <w:vAlign w:val="bottom"/>
            <w:tcBorders>
              <w:top w:val="single" w:sz="8" w:color="0000FF"/>
            </w:tcBorders>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25"/>
          </w:tcPr>
          <w:p>
            <w:pPr>
              <w:spacing w:after="0"/>
              <w:rPr>
                <w:rFonts w:ascii="Times New Roman" w:cs="Times New Roman" w:eastAsia="Times New Roman" w:hAnsi="Times New Roman"/>
                <w:sz w:val="18"/>
                <w:szCs w:val="18"/>
                <w:color w:val="0000FF"/>
                <w:w w:val="99"/>
              </w:rPr>
            </w:pPr>
            <w:hyperlink r:id="rId295">
              <w:r>
                <w:rPr>
                  <w:rFonts w:ascii="Times New Roman" w:cs="Times New Roman" w:eastAsia="Times New Roman" w:hAnsi="Times New Roman"/>
                  <w:sz w:val="18"/>
                  <w:szCs w:val="18"/>
                  <w:color w:val="0000FF"/>
                  <w:w w:val="99"/>
                </w:rPr>
                <w:t>Certificate of Amendment of Amended and Restated Certificate of Incorporation of the Company (incorporated by reference to Exhibit 3.1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95">
              <w:r>
                <w:rPr>
                  <w:rFonts w:ascii="Times New Roman" w:cs="Times New Roman" w:eastAsia="Times New Roman" w:hAnsi="Times New Roman"/>
                  <w:sz w:val="18"/>
                  <w:szCs w:val="18"/>
                  <w:color w:val="0000FF"/>
                  <w:w w:val="99"/>
                </w:rPr>
                <w:t>the Company’s Current Report on Form 8-K filed with the SEC on March 18, 2024).</w:t>
              </w:r>
            </w:hyperlink>
          </w:p>
        </w:tc>
        <w:tc>
          <w:tcPr>
            <w:tcW w:w="20" w:type="dxa"/>
            <w:vAlign w:val="bottom"/>
            <w:tcBorders>
              <w:top w:val="single" w:sz="8" w:color="0000FF"/>
              <w:bottom w:val="single" w:sz="8" w:color="0000EE"/>
            </w:tcBorders>
          </w:tcPr>
          <w:p>
            <w:pPr>
              <w:spacing w:after="0"/>
              <w:rPr>
                <w:sz w:val="17"/>
                <w:szCs w:val="17"/>
                <w:color w:val="auto"/>
              </w:rPr>
            </w:pPr>
          </w:p>
        </w:tc>
        <w:tc>
          <w:tcPr>
            <w:tcW w:w="406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Amended and Restated Bylaws of the Company (incorporated by reference to Exhibit 3.2 to the Company's Current Report on Form 8-K</w:t>
              </w:r>
            </w:hyperlink>
          </w:p>
        </w:tc>
        <w:tc>
          <w:tcPr>
            <w:tcW w:w="3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5"/>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filed with the SEC on March 18,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Opinion of Wilson Sonsini Goodrich &amp; Rosati, P.C.</w:t>
            </w:r>
          </w:p>
        </w:tc>
        <w:tc>
          <w:tcPr>
            <w:tcW w:w="20" w:type="dxa"/>
            <w:vAlign w:val="bottom"/>
            <w:tcBorders>
              <w:bottom w:val="single" w:sz="8" w:color="0000EE"/>
            </w:tcBorders>
          </w:tcPr>
          <w:p>
            <w:pPr>
              <w:spacing w:after="0"/>
              <w:rPr>
                <w:sz w:val="18"/>
                <w:szCs w:val="18"/>
                <w:color w:val="auto"/>
              </w:rPr>
            </w:pPr>
          </w:p>
        </w:tc>
        <w:tc>
          <w:tcPr>
            <w:tcW w:w="646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Palladyne AI Corp. Amended and Restated 2021 Employee Stock Purchase Plan</w:t>
            </w:r>
          </w:p>
        </w:tc>
        <w:tc>
          <w:tcPr>
            <w:tcW w:w="440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8"/>
              </w:rPr>
              <w:t>Open Market Sale Agreement</w:t>
            </w:r>
          </w:p>
        </w:tc>
        <w:tc>
          <w:tcPr>
            <w:tcW w:w="160" w:type="dxa"/>
            <w:vAlign w:val="bottom"/>
            <w:tcBorders>
              <w:bottom w:val="single" w:sz="8" w:color="0000FF"/>
            </w:tcBorders>
          </w:tcPr>
          <w:p>
            <w:pPr>
              <w:spacing w:after="0" w:line="115" w:lineRule="exact"/>
              <w:rPr>
                <w:sz w:val="20"/>
                <w:szCs w:val="20"/>
                <w:color w:val="auto"/>
              </w:rPr>
            </w:pPr>
            <w:r>
              <w:rPr>
                <w:rFonts w:ascii="Times New Roman" w:cs="Times New Roman" w:eastAsia="Times New Roman" w:hAnsi="Times New Roman"/>
                <w:sz w:val="12"/>
                <w:szCs w:val="12"/>
                <w:color w:val="0000FF"/>
                <w:w w:val="80"/>
              </w:rPr>
              <w:t>SM</w:t>
            </w:r>
          </w:p>
        </w:tc>
        <w:tc>
          <w:tcPr>
            <w:tcW w:w="7880" w:type="dxa"/>
            <w:vAlign w:val="bottom"/>
            <w:gridSpan w:val="21"/>
            <w:vMerge w:val="restart"/>
          </w:tcPr>
          <w:p>
            <w:pPr>
              <w:jc w:val="center"/>
              <w:ind w:right="2360"/>
              <w:spacing w:after="0"/>
              <w:rPr>
                <w:sz w:val="20"/>
                <w:szCs w:val="20"/>
                <w:color w:val="auto"/>
              </w:rPr>
            </w:pPr>
            <w:r>
              <w:rPr>
                <w:rFonts w:ascii="Times New Roman" w:cs="Times New Roman" w:eastAsia="Times New Roman" w:hAnsi="Times New Roman"/>
                <w:sz w:val="18"/>
                <w:szCs w:val="18"/>
                <w:color w:val="0000FF"/>
                <w:w w:val="99"/>
              </w:rPr>
              <w:t>, dated November 13, 2024, by and between the Company and Jefferies LLC</w:t>
            </w: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880" w:type="dxa"/>
            <w:vAlign w:val="bottom"/>
            <w:gridSpan w:val="2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5"/>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Consent of Wilson Sonsini Goodrich &amp; Rosati, P.C. (included in Exhibit 5.1 hereto)</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gridSpan w:val="5"/>
            <w:shd w:val="clear" w:color="auto" w:fill="0000FF"/>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5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60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1040" w:hanging="1019"/>
        <w:spacing w:after="0"/>
        <w:tabs>
          <w:tab w:leader="none" w:pos="10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7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95123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97" w:lineRule="exact"/>
        <w:rPr>
          <w:sz w:val="20"/>
          <w:szCs w:val="20"/>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520" w:right="20" w:hanging="512"/>
        <w:spacing w:after="0" w:line="261" w:lineRule="auto"/>
        <w:tabs>
          <w:tab w:leader="none" w:pos="3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not deemed filed with the Securities and Exchange Commission and are not to be incorporated by reference into any filing of Palladyne AI Corp. under the Securities Act of 1933, as amended, or the Securities Exchange Act of 1934, as amended, whether made before or after the date of this Form 10-Q, irrespective of any general incorporation language contained in such filing.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1" w:name="page62"/>
    <w:bookmarkEnd w:id="61"/>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256"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 /s/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 /s/ 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242570</wp:posOffset>
            </wp:positionV>
            <wp:extent cx="1088390" cy="402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1088390" cy="402590"/>
                    </a:xfrm>
                    <a:prstGeom prst="rect">
                      <a:avLst/>
                    </a:prstGeom>
                    <a:noFill/>
                  </pic:spPr>
                </pic:pic>
              </a:graphicData>
            </a:graphic>
          </wp:anchor>
        </w:drawing>
      </w:r>
    </w:p>
    <w:p>
      <w:pPr>
        <w:spacing w:after="0" w:line="365" w:lineRule="exact"/>
        <w:rPr>
          <w:sz w:val="20"/>
          <w:szCs w:val="20"/>
          <w:color w:val="auto"/>
        </w:rPr>
      </w:pPr>
    </w:p>
    <w:p>
      <w:pPr>
        <w:ind w:left="7020"/>
        <w:spacing w:after="0"/>
        <w:rPr>
          <w:sz w:val="20"/>
          <w:szCs w:val="20"/>
          <w:color w:val="auto"/>
        </w:rPr>
      </w:pPr>
      <w:r>
        <w:rPr>
          <w:rFonts w:ascii="Georgia" w:cs="Georgia" w:eastAsia="Georgia" w:hAnsi="Georgia"/>
          <w:sz w:val="14"/>
          <w:szCs w:val="14"/>
          <w:color w:val="003D4C"/>
        </w:rPr>
        <w:t>Wilson Sonsini Goodrich &amp; Rosati</w:t>
      </w:r>
    </w:p>
    <w:p>
      <w:pPr>
        <w:spacing w:after="0" w:line="3" w:lineRule="exact"/>
        <w:rPr>
          <w:sz w:val="20"/>
          <w:szCs w:val="20"/>
          <w:color w:val="auto"/>
        </w:rPr>
      </w:pPr>
    </w:p>
    <w:p>
      <w:pPr>
        <w:ind w:left="7020"/>
        <w:spacing w:after="0"/>
        <w:rPr>
          <w:sz w:val="20"/>
          <w:szCs w:val="20"/>
          <w:color w:val="auto"/>
        </w:rPr>
      </w:pPr>
      <w:r>
        <w:rPr>
          <w:rFonts w:ascii="Georgia" w:cs="Georgia" w:eastAsia="Georgia" w:hAnsi="Georgia"/>
          <w:sz w:val="14"/>
          <w:szCs w:val="14"/>
          <w:color w:val="003D4C"/>
        </w:rPr>
        <w:t>Professional Corporation</w:t>
      </w:r>
    </w:p>
    <w:p>
      <w:pPr>
        <w:spacing w:after="0" w:line="70" w:lineRule="exact"/>
        <w:rPr>
          <w:sz w:val="20"/>
          <w:szCs w:val="20"/>
          <w:color w:val="auto"/>
        </w:rPr>
      </w:pPr>
    </w:p>
    <w:p>
      <w:pPr>
        <w:ind w:left="7020"/>
        <w:spacing w:after="0"/>
        <w:rPr>
          <w:sz w:val="20"/>
          <w:szCs w:val="20"/>
          <w:color w:val="auto"/>
        </w:rPr>
      </w:pPr>
      <w:r>
        <w:rPr>
          <w:rFonts w:ascii="Georgia" w:cs="Georgia" w:eastAsia="Georgia" w:hAnsi="Georgia"/>
          <w:sz w:val="14"/>
          <w:szCs w:val="14"/>
          <w:color w:val="003D4C"/>
        </w:rPr>
        <w:t>701 Fifth Avenue, Suite 5100</w:t>
      </w:r>
    </w:p>
    <w:p>
      <w:pPr>
        <w:spacing w:after="0" w:line="84" w:lineRule="exact"/>
        <w:rPr>
          <w:sz w:val="20"/>
          <w:szCs w:val="20"/>
          <w:color w:val="auto"/>
        </w:rPr>
      </w:pPr>
    </w:p>
    <w:p>
      <w:pPr>
        <w:ind w:left="7020"/>
        <w:spacing w:after="0"/>
        <w:rPr>
          <w:sz w:val="20"/>
          <w:szCs w:val="20"/>
          <w:color w:val="auto"/>
        </w:rPr>
      </w:pPr>
      <w:r>
        <w:rPr>
          <w:rFonts w:ascii="Georgia" w:cs="Georgia" w:eastAsia="Georgia" w:hAnsi="Georgia"/>
          <w:sz w:val="14"/>
          <w:szCs w:val="14"/>
          <w:color w:val="003D4C"/>
        </w:rPr>
        <w:t>Seattle, WA 98104-7036</w:t>
      </w:r>
    </w:p>
    <w:p>
      <w:pPr>
        <w:spacing w:after="0" w:line="165" w:lineRule="exact"/>
        <w:rPr>
          <w:sz w:val="20"/>
          <w:szCs w:val="20"/>
          <w:color w:val="auto"/>
        </w:rPr>
      </w:pPr>
    </w:p>
    <w:p>
      <w:pPr>
        <w:ind w:left="7020"/>
        <w:spacing w:after="0"/>
        <w:rPr>
          <w:sz w:val="20"/>
          <w:szCs w:val="20"/>
          <w:color w:val="auto"/>
        </w:rPr>
      </w:pPr>
      <w:r>
        <w:rPr>
          <w:rFonts w:ascii="Georgia" w:cs="Georgia" w:eastAsia="Georgia" w:hAnsi="Georgia"/>
          <w:sz w:val="14"/>
          <w:szCs w:val="14"/>
          <w:color w:val="003D4C"/>
        </w:rPr>
        <w:t>o: 206.883.2500</w:t>
      </w:r>
    </w:p>
    <w:p>
      <w:pPr>
        <w:spacing w:after="0" w:line="3" w:lineRule="exact"/>
        <w:rPr>
          <w:sz w:val="20"/>
          <w:szCs w:val="20"/>
          <w:color w:val="auto"/>
        </w:rPr>
      </w:pPr>
    </w:p>
    <w:p>
      <w:pPr>
        <w:ind w:left="7020"/>
        <w:spacing w:after="0"/>
        <w:rPr>
          <w:sz w:val="20"/>
          <w:szCs w:val="20"/>
          <w:color w:val="auto"/>
        </w:rPr>
      </w:pPr>
      <w:r>
        <w:rPr>
          <w:rFonts w:ascii="Georgia" w:cs="Georgia" w:eastAsia="Georgia" w:hAnsi="Georgia"/>
          <w:sz w:val="14"/>
          <w:szCs w:val="14"/>
          <w:color w:val="003D4C"/>
        </w:rPr>
        <w:t>f: 206.883.2699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November 13,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Palladyne AI Corp.</w:t>
      </w:r>
    </w:p>
    <w:p>
      <w:pPr>
        <w:spacing w:after="0" w:line="230" w:lineRule="auto"/>
        <w:rPr>
          <w:sz w:val="20"/>
          <w:szCs w:val="20"/>
          <w:color w:val="auto"/>
        </w:rPr>
      </w:pPr>
      <w:r>
        <w:rPr>
          <w:rFonts w:ascii="Times New Roman" w:cs="Times New Roman" w:eastAsia="Times New Roman" w:hAnsi="Times New Roman"/>
          <w:sz w:val="22"/>
          <w:szCs w:val="22"/>
          <w:color w:val="auto"/>
        </w:rPr>
        <w:t>650 South 500 West, Suite 150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Salt Lake City, Utah 84101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 Registration Statement on Form S-3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acted as counsel to Palladyne AI Corp., a Delaware corporation (the “Company”), in connection with the registration of the offer and sale of up to $18,000,000 of shares (the “Shares”) of the Company’s common stock, $0.0001 par value per share, pursuant to the Company’s Registration Statement on Form S-3 (File No. 333-268399) filed on November 15, 2022 and declared effective by the Securities and Exchange Commission (the “Commission”) on November 23, 2022 (the “Registration Statement”).</w:t>
      </w:r>
    </w:p>
    <w:p>
      <w:pPr>
        <w:spacing w:after="0" w:line="192"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20"/>
          <w:szCs w:val="20"/>
          <w:color w:val="auto"/>
        </w:rPr>
        <w:t>The offering and sale of the Shares are being made pursuant to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20"/>
          <w:szCs w:val="20"/>
          <w:color w:val="auto"/>
        </w:rPr>
        <w:t xml:space="preserve"> (the “Sale Agreement”) dated as of November 13, 2024, by and between the Company and Jefferies LLC, substantially in the form filed as an exhibit to the Company’s Quarterly Report on Form 10-Q filed with the Commission on November 13, 2024 (the “Quarterly Report”).</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examined originals or copies of the Sale Agreement, the Registration Statement, the base prospectus that forms a part thereof and the prospectus supplement thereto related to the offering of the Shares, which prospectus supplement is dated as of November 13, 2024 and has been filed by the Company in accordance with Rule 424(b) promulgated under the Securities Act of 1933, as amended (the “Securities Act”). We have also examined instruments, documents and records which we deemed relevant and necessary for the basis of our opinion hereinafter expressed.</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records, documents, instruments and certificates we have reviewed, and (iv) the legal capacity of all natural persons.</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Based upon and subject to the foregoing qualifications, assumptions and limitations and the further limitations set out below, we are of the opinion that the Shares have been duly authorized by the Company and, when issued and delivered by the Company against payment therefor in accordance with the terms of and in the manner contemplated by the Sale Agreement,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1129665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Palladyne AI Corp.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13, 2024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express no opinion as to the laws of any state or other jurisdiction other than the federal laws of the United States of America and the General Corporation Law of the State of Delaware (including the statutory provisions and all applicable judicial decisions interpreting those laws).</w:t>
      </w:r>
    </w:p>
    <w:p>
      <w:pPr>
        <w:spacing w:after="0" w:line="174"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20"/>
          <w:szCs w:val="20"/>
          <w:color w:val="auto"/>
        </w:rPr>
        <w:t>We hereby consent to the use of this opinion as an exhibit to the Quarterly Report, for incorporation by reference into the Registration Statement. In giving this consent, we do not admit that we are in the category of persons whose consent is required under Section 7 of the Securities Act or the rules or regulations of the Commission thereunder.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/s/ Wilson Sonsini Goodrich &amp; Rosati, P.C.</w:t>
      </w:r>
    </w:p>
    <w:p>
      <w:pPr>
        <w:jc w:val="right"/>
        <w:spacing w:after="0"/>
        <w:rPr>
          <w:sz w:val="20"/>
          <w:szCs w:val="20"/>
          <w:color w:val="auto"/>
        </w:rPr>
      </w:pPr>
      <w:r>
        <w:rPr>
          <w:rFonts w:ascii="Times New Roman" w:cs="Times New Roman" w:eastAsia="Times New Roman" w:hAnsi="Times New Roman"/>
          <w:sz w:val="20"/>
          <w:szCs w:val="20"/>
          <w:b w:val="1"/>
          <w:bCs w:val="1"/>
          <w:color w:val="auto"/>
        </w:rPr>
        <w:t>WILSON SONSINI GOODRICH &amp; ROSATI</w:t>
      </w:r>
    </w:p>
    <w:p>
      <w:pPr>
        <w:jc w:val="right"/>
        <w:spacing w:after="0"/>
        <w:rPr>
          <w:sz w:val="20"/>
          <w:szCs w:val="20"/>
          <w:color w:val="auto"/>
        </w:rPr>
      </w:pPr>
      <w:r>
        <w:rPr>
          <w:rFonts w:ascii="Times New Roman" w:cs="Times New Roman" w:eastAsia="Times New Roman" w:hAnsi="Times New Roman"/>
          <w:sz w:val="20"/>
          <w:szCs w:val="20"/>
          <w:color w:val="auto"/>
        </w:rPr>
        <w:t>Professional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80" w:type="dxa"/>
            <w:vAlign w:val="bottom"/>
          </w:tcPr>
          <w:p>
            <w:pPr>
              <w:ind w:left="1420"/>
              <w:spacing w:after="0"/>
              <w:rPr>
                <w:sz w:val="20"/>
                <w:szCs w:val="20"/>
                <w:color w:val="auto"/>
              </w:rPr>
            </w:pPr>
            <w:r>
              <w:rPr>
                <w:rFonts w:ascii="Times New Roman" w:cs="Times New Roman" w:eastAsia="Times New Roman" w:hAnsi="Times New Roman"/>
                <w:sz w:val="13"/>
                <w:szCs w:val="13"/>
                <w:color w:val="003D4C"/>
                <w:w w:val="96"/>
              </w:rPr>
              <w:t>AUSTINBEIJINGBOSTONBOULDERBRUSSELS</w:t>
            </w:r>
          </w:p>
        </w:tc>
        <w:tc>
          <w:tcPr>
            <w:tcW w:w="1760" w:type="dxa"/>
            <w:vAlign w:val="bottom"/>
          </w:tcPr>
          <w:p>
            <w:pPr>
              <w:ind w:left="160"/>
              <w:spacing w:after="0"/>
              <w:rPr>
                <w:sz w:val="20"/>
                <w:szCs w:val="20"/>
                <w:color w:val="auto"/>
              </w:rPr>
            </w:pPr>
            <w:r>
              <w:rPr>
                <w:rFonts w:ascii="Times New Roman" w:cs="Times New Roman" w:eastAsia="Times New Roman" w:hAnsi="Times New Roman"/>
                <w:sz w:val="13"/>
                <w:szCs w:val="13"/>
                <w:color w:val="003D4C"/>
                <w:w w:val="98"/>
              </w:rPr>
              <w:t>HONG KONGLONDON</w:t>
            </w:r>
          </w:p>
        </w:tc>
        <w:tc>
          <w:tcPr>
            <w:tcW w:w="1200" w:type="dxa"/>
            <w:vAlign w:val="bottom"/>
          </w:tcPr>
          <w:p>
            <w:pPr>
              <w:ind w:left="200"/>
              <w:spacing w:after="0"/>
              <w:rPr>
                <w:sz w:val="20"/>
                <w:szCs w:val="20"/>
                <w:color w:val="auto"/>
              </w:rPr>
            </w:pPr>
            <w:r>
              <w:rPr>
                <w:rFonts w:ascii="Times New Roman" w:cs="Times New Roman" w:eastAsia="Times New Roman" w:hAnsi="Times New Roman"/>
                <w:sz w:val="13"/>
                <w:szCs w:val="13"/>
                <w:color w:val="003D4C"/>
              </w:rPr>
              <w:t>LOS ANGELES</w:t>
            </w:r>
          </w:p>
        </w:tc>
        <w:tc>
          <w:tcPr>
            <w:tcW w:w="3100" w:type="dxa"/>
            <w:vAlign w:val="bottom"/>
          </w:tcPr>
          <w:p>
            <w:pPr>
              <w:ind w:left="80"/>
              <w:spacing w:after="0"/>
              <w:rPr>
                <w:sz w:val="20"/>
                <w:szCs w:val="20"/>
                <w:color w:val="auto"/>
              </w:rPr>
            </w:pPr>
            <w:r>
              <w:rPr>
                <w:rFonts w:ascii="Times New Roman" w:cs="Times New Roman" w:eastAsia="Times New Roman" w:hAnsi="Times New Roman"/>
                <w:sz w:val="13"/>
                <w:szCs w:val="13"/>
                <w:color w:val="003D4C"/>
                <w:w w:val="91"/>
              </w:rPr>
              <w:t>NEW YORKPALO ALTO</w:t>
            </w:r>
          </w:p>
        </w:tc>
      </w:tr>
      <w:tr>
        <w:trPr>
          <w:trHeight w:val="164"/>
        </w:trPr>
        <w:tc>
          <w:tcPr>
            <w:tcW w:w="5180" w:type="dxa"/>
            <w:vAlign w:val="bottom"/>
          </w:tcPr>
          <w:p>
            <w:pPr>
              <w:ind w:left="1880"/>
              <w:spacing w:after="0"/>
              <w:rPr>
                <w:sz w:val="20"/>
                <w:szCs w:val="20"/>
                <w:color w:val="auto"/>
              </w:rPr>
            </w:pPr>
            <w:r>
              <w:rPr>
                <w:rFonts w:ascii="Times New Roman" w:cs="Times New Roman" w:eastAsia="Times New Roman" w:hAnsi="Times New Roman"/>
                <w:sz w:val="13"/>
                <w:szCs w:val="13"/>
                <w:color w:val="003D4C"/>
                <w:w w:val="97"/>
              </w:rPr>
              <w:t>SALT LAKE CITYSAN DIEGOSAN FRANCISCO</w:t>
            </w:r>
          </w:p>
        </w:tc>
        <w:tc>
          <w:tcPr>
            <w:tcW w:w="1760" w:type="dxa"/>
            <w:vAlign w:val="bottom"/>
          </w:tcPr>
          <w:p>
            <w:pPr>
              <w:ind w:left="120"/>
              <w:spacing w:after="0"/>
              <w:rPr>
                <w:sz w:val="20"/>
                <w:szCs w:val="20"/>
                <w:color w:val="auto"/>
              </w:rPr>
            </w:pPr>
            <w:r>
              <w:rPr>
                <w:rFonts w:ascii="Times New Roman" w:cs="Times New Roman" w:eastAsia="Times New Roman" w:hAnsi="Times New Roman"/>
                <w:sz w:val="13"/>
                <w:szCs w:val="13"/>
                <w:color w:val="003D4C"/>
                <w:w w:val="97"/>
              </w:rPr>
              <w:t>SEATTLESHANGHAI</w:t>
            </w:r>
          </w:p>
        </w:tc>
        <w:tc>
          <w:tcPr>
            <w:tcW w:w="1200" w:type="dxa"/>
            <w:vAlign w:val="bottom"/>
          </w:tcPr>
          <w:p>
            <w:pPr>
              <w:ind w:left="40"/>
              <w:spacing w:after="0"/>
              <w:rPr>
                <w:sz w:val="20"/>
                <w:szCs w:val="20"/>
                <w:color w:val="auto"/>
              </w:rPr>
            </w:pPr>
            <w:r>
              <w:rPr>
                <w:rFonts w:ascii="Times New Roman" w:cs="Times New Roman" w:eastAsia="Times New Roman" w:hAnsi="Times New Roman"/>
                <w:sz w:val="13"/>
                <w:szCs w:val="13"/>
                <w:color w:val="003D4C"/>
              </w:rPr>
              <w:t>WASHINGTON, DC</w:t>
            </w:r>
          </w:p>
        </w:tc>
        <w:tc>
          <w:tcPr>
            <w:tcW w:w="3100" w:type="dxa"/>
            <w:vAlign w:val="bottom"/>
          </w:tcPr>
          <w:p>
            <w:pPr>
              <w:ind w:left="180"/>
              <w:spacing w:after="0"/>
              <w:rPr>
                <w:sz w:val="20"/>
                <w:szCs w:val="20"/>
                <w:color w:val="auto"/>
              </w:rPr>
            </w:pPr>
            <w:r>
              <w:rPr>
                <w:rFonts w:ascii="Times New Roman" w:cs="Times New Roman" w:eastAsia="Times New Roman" w:hAnsi="Times New Roman"/>
                <w:sz w:val="13"/>
                <w:szCs w:val="13"/>
                <w:color w:val="003D4C"/>
              </w:rPr>
              <w:t>WILMINGTON, DE</w:t>
            </w:r>
          </w:p>
        </w:tc>
      </w:tr>
      <w:tr>
        <w:trPr>
          <w:trHeight w:val="1049"/>
        </w:trPr>
        <w:tc>
          <w:tcPr>
            <w:tcW w:w="51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PALLADYNE AI CORP.</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2021 EMPLOYEE STOCK PURCHASE PLAN</w:t>
      </w:r>
    </w:p>
    <w:p>
      <w:pPr>
        <w:spacing w:after="0" w:line="210" w:lineRule="exact"/>
        <w:rPr>
          <w:sz w:val="20"/>
          <w:szCs w:val="20"/>
          <w:color w:val="auto"/>
        </w:rPr>
      </w:pPr>
    </w:p>
    <w:p>
      <w:pPr>
        <w:jc w:val="both"/>
        <w:ind w:firstLine="757"/>
        <w:spacing w:after="0" w:line="253" w:lineRule="exact"/>
        <w:tabs>
          <w:tab w:leader="none" w:pos="1018" w:val="left"/>
        </w:tabs>
        <w:numPr>
          <w:ilvl w:val="0"/>
          <w:numId w:val="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Code Section 423 (the “</w:t>
      </w:r>
      <w:r>
        <w:rPr>
          <w:rFonts w:ascii="Times New Roman" w:cs="Times New Roman" w:eastAsia="Times New Roman" w:hAnsi="Times New Roman"/>
          <w:sz w:val="22"/>
          <w:szCs w:val="22"/>
          <w:b w:val="1"/>
          <w:bCs w:val="1"/>
          <w:color w:val="auto"/>
        </w:rPr>
        <w:t>423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Component</w:t>
      </w:r>
      <w:r>
        <w:rPr>
          <w:rFonts w:ascii="Times New Roman" w:cs="Times New Roman" w:eastAsia="Times New Roman" w:hAnsi="Times New Roman"/>
          <w:sz w:val="22"/>
          <w:szCs w:val="22"/>
          <w:color w:val="auto"/>
        </w:rPr>
        <w:t>”) and a component that is not intended to qualify as an “employee stock purchase plan” under Code Section 423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423 Component</w:t>
      </w:r>
      <w:r>
        <w:rPr>
          <w:rFonts w:ascii="Times New Roman" w:cs="Times New Roman" w:eastAsia="Times New Roman" w:hAnsi="Times New Roman"/>
          <w:sz w:val="22"/>
          <w:szCs w:val="22"/>
          <w:color w:val="auto"/>
        </w:rPr>
        <w:t>”). The provisions of the 423 Component, accordingly, will be construed so as to extend and limit Plan participation in a uniform and nondiscriminatory basis consistent with the requirements of Code Section 423. In addition, this Plan authorizes the grant of an option to purchase shares of Common Stock under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that does not qualify as an “employee stock purchase plan” under Code Section 423; an option granted under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will provide for substantially the same benefits as an option granted under the 423 Component, except that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option may include features necessary to comply with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 pursuant to rules, procedures or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plans adopted by the Administrator. Except as otherwise provided herein or by the Administrator,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will operate and be administered in the same manner as the 423 Component.</w:t>
      </w:r>
    </w:p>
    <w:p>
      <w:pPr>
        <w:spacing w:after="0" w:line="173"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means the Board or any Committee designated by the Board to administer the Plan pursuant to Section 4.</w:t>
      </w:r>
    </w:p>
    <w:p>
      <w:pPr>
        <w:spacing w:after="0" w:line="150" w:lineRule="exact"/>
        <w:rPr>
          <w:sz w:val="20"/>
          <w:szCs w:val="20"/>
          <w:color w:val="auto"/>
        </w:rPr>
      </w:pPr>
    </w:p>
    <w:p>
      <w:pPr>
        <w:jc w:val="both"/>
        <w:ind w:firstLine="1497"/>
        <w:spacing w:after="0" w:line="257" w:lineRule="exact"/>
        <w:rPr>
          <w:sz w:val="20"/>
          <w:szCs w:val="20"/>
          <w:color w:val="auto"/>
        </w:rPr>
      </w:pPr>
      <w:r>
        <w:rPr>
          <w:rFonts w:ascii="Times New Roman" w:cs="Times New Roman" w:eastAsia="Times New Roman" w:hAnsi="Times New Roman"/>
          <w:sz w:val="22"/>
          <w:szCs w:val="22"/>
          <w:color w:val="auto"/>
        </w:rPr>
        <w:t>2.2 “</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the legal and regulatory requirements relating to the administration of equity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country or jurisdiction where options are, or will be, granted under the Plan.</w:t>
      </w:r>
    </w:p>
    <w:p>
      <w:pPr>
        <w:spacing w:after="0" w:line="17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means the Board of Directors of the Company.</w:t>
      </w:r>
    </w:p>
    <w:p>
      <w:pPr>
        <w:spacing w:after="0" w:line="20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means the occurrence of any of the following events:</w:t>
      </w:r>
    </w:p>
    <w:p>
      <w:pPr>
        <w:spacing w:after="0" w:line="206" w:lineRule="exact"/>
        <w:rPr>
          <w:sz w:val="20"/>
          <w:szCs w:val="20"/>
          <w:color w:val="auto"/>
        </w:rPr>
      </w:pPr>
    </w:p>
    <w:p>
      <w:pPr>
        <w:jc w:val="both"/>
        <w:ind w:firstLine="2254"/>
        <w:spacing w:after="0" w:line="235" w:lineRule="auto"/>
        <w:tabs>
          <w:tab w:leader="none" w:pos="254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Ownership of the Company</w:t>
      </w:r>
      <w:r>
        <w:rPr>
          <w:rFonts w:ascii="Times New Roman" w:cs="Times New Roman" w:eastAsia="Times New Roman" w:hAnsi="Times New Roman"/>
          <w:sz w:val="22"/>
          <w:szCs w:val="22"/>
          <w:color w:val="auto"/>
        </w:rPr>
        <w:t>. A change in the ownership of the Company which occurs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date that any one person, or more than one person acting as a group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32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7" w:lineRule="exact"/>
        <w:rPr>
          <w:sz w:val="20"/>
          <w:szCs w:val="20"/>
          <w:color w:val="auto"/>
        </w:rPr>
      </w:pPr>
    </w:p>
    <w:p>
      <w:pPr>
        <w:jc w:val="both"/>
        <w:ind w:firstLine="2254"/>
        <w:spacing w:after="0" w:line="237" w:lineRule="auto"/>
        <w:tabs>
          <w:tab w:leader="none" w:pos="254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Effective Control of the Company</w:t>
      </w:r>
      <w:r>
        <w:rPr>
          <w:rFonts w:ascii="Times New Roman" w:cs="Times New Roman" w:eastAsia="Times New Roman" w:hAnsi="Times New Roman"/>
          <w:sz w:val="22"/>
          <w:szCs w:val="22"/>
          <w:color w:val="auto"/>
        </w:rPr>
        <w:t>. If the Company has a class of securities registered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75" w:lineRule="exact"/>
        <w:rPr>
          <w:rFonts w:ascii="Times New Roman" w:cs="Times New Roman" w:eastAsia="Times New Roman" w:hAnsi="Times New Roman"/>
          <w:sz w:val="22"/>
          <w:szCs w:val="22"/>
          <w:color w:val="auto"/>
        </w:rPr>
      </w:pPr>
    </w:p>
    <w:p>
      <w:pPr>
        <w:jc w:val="both"/>
        <w:ind w:firstLine="2254"/>
        <w:spacing w:after="0" w:line="246" w:lineRule="auto"/>
        <w:tabs>
          <w:tab w:leader="none" w:pos="2546"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 in Ownership of a Substantial Portion of the Company’s Assets</w:t>
      </w:r>
      <w:r>
        <w:rPr>
          <w:rFonts w:ascii="Times New Roman" w:cs="Times New Roman" w:eastAsia="Times New Roman" w:hAnsi="Times New Roman"/>
          <w:sz w:val="21"/>
          <w:szCs w:val="21"/>
          <w:color w:val="auto"/>
        </w:rPr>
        <w:t>. A change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w:t>
      </w:r>
    </w:p>
    <w:p>
      <w:pPr>
        <w:jc w:val="both"/>
        <w:ind w:firstLine="8"/>
        <w:spacing w:after="0" w:line="232" w:lineRule="auto"/>
        <w:tabs>
          <w:tab w:leader="none" w:pos="28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For purposes of this Section 2.4, persons will be considered to be acting as a group if they are owners of a corporation that enters into a merger, consolidation, purchase or acquisition of stock, or similar business transaction with the Company.</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13"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2.5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7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means a committee of the Board appointed in accordance with Section 4 hereof.</w:t>
      </w:r>
    </w:p>
    <w:p>
      <w:pPr>
        <w:spacing w:after="0" w:line="20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means the common stock of the Company.</w:t>
      </w:r>
    </w:p>
    <w:p>
      <w:pPr>
        <w:spacing w:after="0" w:line="20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means Palladyne AI Corp., a Delaware corporation, or any successor thereto.</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2.9 “</w:t>
      </w:r>
      <w:r>
        <w:rPr>
          <w:rFonts w:ascii="Times New Roman" w:cs="Times New Roman" w:eastAsia="Times New Roman" w:hAnsi="Times New Roman"/>
          <w:sz w:val="22"/>
          <w:szCs w:val="22"/>
          <w:b w:val="1"/>
          <w:bCs w:val="1"/>
          <w:color w:val="auto"/>
        </w:rPr>
        <w:t>Compensation</w:t>
      </w:r>
      <w:r>
        <w:rPr>
          <w:rFonts w:ascii="Times New Roman" w:cs="Times New Roman" w:eastAsia="Times New Roman" w:hAnsi="Times New Roman"/>
          <w:sz w:val="22"/>
          <w:szCs w:val="22"/>
          <w:color w:val="auto"/>
        </w:rPr>
        <w:t>” means an Eligible Employee’s base straight time gross earnings, but exclusive of payments for overtime, shift premium, commissions, incentive compensation, equity compensation, bonuses and other similar compensation. The Administrator, in its discretion, may, on a uniform and nondiscriminatory basis, establish a different definition of Compensation for a subsequent Offering Period.</w:t>
      </w:r>
    </w:p>
    <w:p>
      <w:pPr>
        <w:spacing w:after="0" w:line="172"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2.10 “</w:t>
      </w:r>
      <w:r>
        <w:rPr>
          <w:rFonts w:ascii="Times New Roman" w:cs="Times New Roman" w:eastAsia="Times New Roman" w:hAnsi="Times New Roman"/>
          <w:sz w:val="22"/>
          <w:szCs w:val="22"/>
          <w:b w:val="1"/>
          <w:bCs w:val="1"/>
          <w:color w:val="auto"/>
        </w:rPr>
        <w:t>Contributions</w:t>
      </w:r>
      <w:r>
        <w:rPr>
          <w:rFonts w:ascii="Times New Roman" w:cs="Times New Roman" w:eastAsia="Times New Roman" w:hAnsi="Times New Roman"/>
          <w:sz w:val="22"/>
          <w:szCs w:val="22"/>
          <w:color w:val="auto"/>
        </w:rPr>
        <w:t>” means the payroll deductions and other additional payments that the Company may permit to be made by a Participant to fund the exercise of options granted pursuant to the Plan.</w:t>
      </w:r>
    </w:p>
    <w:p>
      <w:pPr>
        <w:spacing w:after="0" w:line="150" w:lineRule="exact"/>
        <w:rPr>
          <w:sz w:val="20"/>
          <w:szCs w:val="20"/>
          <w:color w:val="auto"/>
        </w:rPr>
      </w:pPr>
    </w:p>
    <w:p>
      <w:pPr>
        <w:jc w:val="both"/>
        <w:ind w:firstLine="1497"/>
        <w:spacing w:after="0" w:line="265" w:lineRule="exact"/>
        <w:rPr>
          <w:sz w:val="20"/>
          <w:szCs w:val="20"/>
          <w:color w:val="auto"/>
        </w:rPr>
      </w:pPr>
      <w:r>
        <w:rPr>
          <w:rFonts w:ascii="Times New Roman" w:cs="Times New Roman" w:eastAsia="Times New Roman" w:hAnsi="Times New Roman"/>
          <w:sz w:val="22"/>
          <w:szCs w:val="22"/>
          <w:color w:val="auto"/>
        </w:rPr>
        <w:t>2.11 “</w:t>
      </w:r>
      <w:r>
        <w:rPr>
          <w:rFonts w:ascii="Times New Roman" w:cs="Times New Roman" w:eastAsia="Times New Roman" w:hAnsi="Times New Roman"/>
          <w:sz w:val="22"/>
          <w:szCs w:val="22"/>
          <w:b w:val="1"/>
          <w:bCs w:val="1"/>
          <w:color w:val="auto"/>
        </w:rPr>
        <w:t>Designated Company</w:t>
      </w:r>
      <w:r>
        <w:rPr>
          <w:rFonts w:ascii="Times New Roman" w:cs="Times New Roman" w:eastAsia="Times New Roman" w:hAnsi="Times New Roman"/>
          <w:sz w:val="22"/>
          <w:szCs w:val="22"/>
          <w:color w:val="auto"/>
        </w:rPr>
        <w:t>” means any Subsidiary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w:t>
      </w:r>
    </w:p>
    <w:p>
      <w:pPr>
        <w:spacing w:after="0" w:line="14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2.12  “</w:t>
      </w:r>
      <w:r>
        <w:rPr>
          <w:rFonts w:ascii="Times New Roman" w:cs="Times New Roman" w:eastAsia="Times New Roman" w:hAnsi="Times New Roman"/>
          <w:sz w:val="22"/>
          <w:szCs w:val="22"/>
          <w:b w:val="1"/>
          <w:bCs w:val="1"/>
          <w:color w:val="auto"/>
        </w:rPr>
        <w:t>Director</w:t>
      </w:r>
      <w:r>
        <w:rPr>
          <w:rFonts w:ascii="Times New Roman" w:cs="Times New Roman" w:eastAsia="Times New Roman" w:hAnsi="Times New Roman"/>
          <w:sz w:val="22"/>
          <w:szCs w:val="22"/>
          <w:color w:val="auto"/>
        </w:rPr>
        <w:t>” means a member of the Board.</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2.13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means the date of the consummation of the merger by and between the Company, Sarcos Corp., and certain other parties, pursuant to that certain Agreement and Plan of Merger dated April 5, 2021 (such merger, the “</w:t>
      </w:r>
      <w:r>
        <w:rPr>
          <w:rFonts w:ascii="Times New Roman" w:cs="Times New Roman" w:eastAsia="Times New Roman" w:hAnsi="Times New Roman"/>
          <w:sz w:val="22"/>
          <w:szCs w:val="22"/>
          <w:b w:val="1"/>
          <w:bCs w:val="1"/>
          <w:color w:val="auto"/>
        </w:rPr>
        <w:t>Merger</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1497"/>
        <w:spacing w:after="0" w:line="248" w:lineRule="exact"/>
        <w:rPr>
          <w:sz w:val="20"/>
          <w:szCs w:val="20"/>
          <w:color w:val="auto"/>
        </w:rPr>
      </w:pPr>
      <w:r>
        <w:rPr>
          <w:rFonts w:ascii="Times New Roman" w:cs="Times New Roman" w:eastAsia="Times New Roman" w:hAnsi="Times New Roman"/>
          <w:sz w:val="22"/>
          <w:szCs w:val="22"/>
          <w:color w:val="auto"/>
        </w:rPr>
        <w:t>2.14 “</w:t>
      </w:r>
      <w:r>
        <w:rPr>
          <w:rFonts w:ascii="Times New Roman" w:cs="Times New Roman" w:eastAsia="Times New Roman" w:hAnsi="Times New Roman"/>
          <w:sz w:val="22"/>
          <w:szCs w:val="22"/>
          <w:b w:val="1"/>
          <w:bCs w:val="1"/>
          <w:color w:val="auto"/>
        </w:rPr>
        <w:t>Eligible Employee</w:t>
      </w:r>
      <w:r>
        <w:rPr>
          <w:rFonts w:ascii="Times New Roman" w:cs="Times New Roman" w:eastAsia="Times New Roman" w:hAnsi="Times New Roman"/>
          <w:sz w:val="22"/>
          <w:szCs w:val="22"/>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17" w:lineRule="exact"/>
        <w:rPr>
          <w:sz w:val="20"/>
          <w:szCs w:val="20"/>
          <w:color w:val="auto"/>
        </w:rPr>
      </w:pPr>
    </w:p>
    <w:p>
      <w:pPr>
        <w:jc w:val="both"/>
        <w:spacing w:after="0" w:line="248" w:lineRule="exact"/>
        <w:rPr>
          <w:sz w:val="20"/>
          <w:szCs w:val="20"/>
          <w:color w:val="auto"/>
        </w:rPr>
      </w:pPr>
      <w:r>
        <w:rPr>
          <w:rFonts w:ascii="Times New Roman" w:cs="Times New Roman" w:eastAsia="Times New Roman" w:hAnsi="Times New Roman"/>
          <w:sz w:val="21"/>
          <w:szCs w:val="21"/>
          <w:color w:val="auto"/>
        </w:rPr>
        <w:t>for all options to be granted on such Enrollment Date in an Offering, determine (for each Offering under the 423 Component, on a uniform and nondiscriminatory basis or as otherwise permitted by U.S. Treasury Regulations Section 1.423</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2) that the definition of Eligible Employee will or will not include an individual if he or she: (a) has not completed at least two (2) years of service since the individual’s last hire date (or such lesser period of time as may be determined by the Administrator in its discretion), (b) 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Code Section 414(q), or (e) is a highly compensated employee within the meaning of Code 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Regulations Section 1.423</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2(e)</w:t>
      </w:r>
    </w:p>
    <w:p>
      <w:pPr>
        <w:spacing w:after="0" w:line="2" w:lineRule="exact"/>
        <w:rPr>
          <w:sz w:val="20"/>
          <w:szCs w:val="20"/>
          <w:color w:val="auto"/>
        </w:rPr>
      </w:pPr>
    </w:p>
    <w:p>
      <w:pPr>
        <w:jc w:val="both"/>
        <w:spacing w:after="0" w:line="278" w:lineRule="exact"/>
        <w:rPr>
          <w:sz w:val="20"/>
          <w:szCs w:val="20"/>
          <w:color w:val="auto"/>
        </w:rPr>
      </w:pPr>
      <w:r>
        <w:rPr>
          <w:rFonts w:ascii="Times New Roman" w:cs="Times New Roman" w:eastAsia="Times New Roman" w:hAnsi="Times New Roman"/>
          <w:sz w:val="22"/>
          <w:szCs w:val="22"/>
          <w:color w:val="auto"/>
        </w:rPr>
        <w:t>(2)(ii). Such exclusions may be applied with respect to an Offering under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without regard to the limitations of U.S. Treasury Regulations Section 1.423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2.15  “</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means the employer of the applicable Eligible Employee(s).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2.16  “</w:t>
      </w:r>
      <w:r>
        <w:rPr>
          <w:rFonts w:ascii="Times New Roman" w:cs="Times New Roman" w:eastAsia="Times New Roman" w:hAnsi="Times New Roman"/>
          <w:sz w:val="22"/>
          <w:szCs w:val="22"/>
          <w:b w:val="1"/>
          <w:bCs w:val="1"/>
          <w:color w:val="auto"/>
        </w:rPr>
        <w:t>Enrollment Date</w:t>
      </w:r>
      <w:r>
        <w:rPr>
          <w:rFonts w:ascii="Times New Roman" w:cs="Times New Roman" w:eastAsia="Times New Roman" w:hAnsi="Times New Roman"/>
          <w:sz w:val="22"/>
          <w:szCs w:val="22"/>
          <w:color w:val="auto"/>
        </w:rPr>
        <w:t>” means the first Trading Day of each Offering Period.</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2.17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 including the rules and regulations promulgated thereunder.</w:t>
      </w:r>
    </w:p>
    <w:p>
      <w:pPr>
        <w:spacing w:after="0" w:line="15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2.18 “</w:t>
      </w:r>
      <w:r>
        <w:rPr>
          <w:rFonts w:ascii="Times New Roman" w:cs="Times New Roman" w:eastAsia="Times New Roman" w:hAnsi="Times New Roman"/>
          <w:sz w:val="22"/>
          <w:szCs w:val="22"/>
          <w:b w:val="1"/>
          <w:bCs w:val="1"/>
          <w:color w:val="auto"/>
        </w:rPr>
        <w:t>Exercise Date</w:t>
      </w:r>
      <w:r>
        <w:rPr>
          <w:rFonts w:ascii="Times New Roman" w:cs="Times New Roman" w:eastAsia="Times New Roman" w:hAnsi="Times New Roman"/>
          <w:sz w:val="22"/>
          <w:szCs w:val="22"/>
          <w:color w:val="auto"/>
        </w:rPr>
        <w:t>” means the last Trading Day of a Purchase Period. Notwithstanding the foregoing, in the event that an Offering Period is terminated prior to its expiration pursuant to Section 18, the Administrator, in its sole discretion, may determine that any Purchase Period also terminating under such Offering Period will terminate without options being exercised on the Exercise Date(s) that otherwise would have occurred on the last Trading Day of such Purchase Period.</w:t>
      </w:r>
    </w:p>
    <w:p>
      <w:pPr>
        <w:spacing w:after="0" w:line="172"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2.19 “</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means, as of any date and unless the Administrator determines otherwise, the value of Common Stock determined as follows:</w:t>
      </w:r>
    </w:p>
    <w:p>
      <w:pPr>
        <w:spacing w:after="0" w:line="154" w:lineRule="exact"/>
        <w:rPr>
          <w:sz w:val="20"/>
          <w:szCs w:val="20"/>
          <w:color w:val="auto"/>
        </w:rPr>
      </w:pPr>
    </w:p>
    <w:p>
      <w:pPr>
        <w:jc w:val="both"/>
        <w:ind w:firstLine="2254"/>
        <w:spacing w:after="0" w:line="236" w:lineRule="auto"/>
        <w:tabs>
          <w:tab w:leader="none" w:pos="254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181"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regularly quoted by a recognized securities dealer but selling prices are not reported, the Fair Market Value of a share of Common Stock will be the mean between the high bid and low asked prices for the Common Stock on the day of determination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1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(or if no bids and asks were reported on that date, as applicable, on the last Trading Day such bids and asks were reported),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 or</w:t>
      </w:r>
    </w:p>
    <w:p>
      <w:pPr>
        <w:spacing w:after="0" w:line="158" w:lineRule="exact"/>
        <w:rPr>
          <w:sz w:val="20"/>
          <w:szCs w:val="20"/>
          <w:color w:val="auto"/>
        </w:rPr>
      </w:pPr>
    </w:p>
    <w:p>
      <w:pPr>
        <w:ind w:right="20" w:firstLine="2254"/>
        <w:spacing w:after="0" w:line="258" w:lineRule="auto"/>
        <w:tabs>
          <w:tab w:leader="none" w:pos="254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an established market for the Common Stock, the Fair Market Value will be determined in good faith by the Administrator.</w:t>
      </w:r>
    </w:p>
    <w:p>
      <w:pPr>
        <w:spacing w:after="0" w:line="158" w:lineRule="exact"/>
        <w:rPr>
          <w:sz w:val="20"/>
          <w:szCs w:val="20"/>
          <w:color w:val="auto"/>
        </w:rPr>
      </w:pPr>
    </w:p>
    <w:p>
      <w:pPr>
        <w:ind w:right="240" w:firstLine="1497"/>
        <w:spacing w:after="0" w:line="244" w:lineRule="auto"/>
        <w:rPr>
          <w:sz w:val="20"/>
          <w:szCs w:val="20"/>
          <w:color w:val="auto"/>
        </w:rPr>
      </w:pPr>
      <w:r>
        <w:rPr>
          <w:rFonts w:ascii="Times New Roman" w:cs="Times New Roman" w:eastAsia="Times New Roman" w:hAnsi="Times New Roman"/>
          <w:sz w:val="22"/>
          <w:szCs w:val="22"/>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2.20  “</w:t>
      </w:r>
      <w:r>
        <w:rPr>
          <w:rFonts w:ascii="Times New Roman" w:cs="Times New Roman" w:eastAsia="Times New Roman" w:hAnsi="Times New Roman"/>
          <w:sz w:val="22"/>
          <w:szCs w:val="22"/>
          <w:b w:val="1"/>
          <w:bCs w:val="1"/>
          <w:color w:val="auto"/>
        </w:rPr>
        <w:t>Fiscal Year</w:t>
      </w:r>
      <w:r>
        <w:rPr>
          <w:rFonts w:ascii="Times New Roman" w:cs="Times New Roman" w:eastAsia="Times New Roman" w:hAnsi="Times New Roman"/>
          <w:sz w:val="22"/>
          <w:szCs w:val="22"/>
          <w:color w:val="auto"/>
        </w:rPr>
        <w:t>” means the fiscal year of the Company.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2.21  “</w:t>
      </w:r>
      <w:r>
        <w:rPr>
          <w:rFonts w:ascii="Times New Roman" w:cs="Times New Roman" w:eastAsia="Times New Roman" w:hAnsi="Times New Roman"/>
          <w:sz w:val="21"/>
          <w:szCs w:val="21"/>
          <w:b w:val="1"/>
          <w:bCs w:val="1"/>
          <w:color w:val="auto"/>
        </w:rPr>
        <w:t>New Exercise Date</w:t>
      </w:r>
      <w:r>
        <w:rPr>
          <w:rFonts w:ascii="Times New Roman" w:cs="Times New Roman" w:eastAsia="Times New Roman" w:hAnsi="Times New Roman"/>
          <w:sz w:val="21"/>
          <w:szCs w:val="21"/>
          <w:color w:val="auto"/>
        </w:rPr>
        <w:t>” means a new Exercise Date if the Administrator shortens any Offering Period then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progress.</w:t>
      </w:r>
    </w:p>
    <w:p>
      <w:pPr>
        <w:spacing w:after="0" w:line="178" w:lineRule="exact"/>
        <w:rPr>
          <w:sz w:val="20"/>
          <w:szCs w:val="20"/>
          <w:color w:val="auto"/>
        </w:rPr>
      </w:pPr>
    </w:p>
    <w:p>
      <w:pPr>
        <w:jc w:val="both"/>
        <w:ind w:firstLine="1497"/>
        <w:spacing w:after="0" w:line="253" w:lineRule="exact"/>
        <w:rPr>
          <w:sz w:val="20"/>
          <w:szCs w:val="20"/>
          <w:color w:val="auto"/>
        </w:rPr>
      </w:pPr>
      <w:r>
        <w:rPr>
          <w:rFonts w:ascii="Times New Roman" w:cs="Times New Roman" w:eastAsia="Times New Roman" w:hAnsi="Times New Roman"/>
          <w:sz w:val="22"/>
          <w:szCs w:val="22"/>
          <w:color w:val="auto"/>
        </w:rPr>
        <w:t>2.22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 Section 1.423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2(a)(1), the terms of each Offering need not be identical provided that the terms of the Plan and an Offering together satisfy U.S. Treasury Regulations Section 1.423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2(a)(2) and (a)(3).</w:t>
      </w:r>
    </w:p>
    <w:p>
      <w:pPr>
        <w:spacing w:after="0" w:line="173"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2.23 “</w:t>
      </w:r>
      <w:r>
        <w:rPr>
          <w:rFonts w:ascii="Times New Roman" w:cs="Times New Roman" w:eastAsia="Times New Roman" w:hAnsi="Times New Roman"/>
          <w:sz w:val="22"/>
          <w:szCs w:val="22"/>
          <w:b w:val="1"/>
          <w:bCs w:val="1"/>
          <w:color w:val="auto"/>
        </w:rPr>
        <w:t>Offering Period</w:t>
      </w:r>
      <w:r>
        <w:rPr>
          <w:rFonts w:ascii="Times New Roman" w:cs="Times New Roman" w:eastAsia="Times New Roman" w:hAnsi="Times New Roman"/>
          <w:sz w:val="22"/>
          <w:szCs w:val="22"/>
          <w:color w:val="auto"/>
        </w:rPr>
        <w:t>” means a period beginning on such date as may be determined by the Administrator, in its discretion, and ending on such Exercise Date as may be determined by the Administrator, in its discretion, during which an option granted pursuant to the Plan may be exercised. The duration and timing of Offering Periods may be changed pursuant to Sections 6 and 18.</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2.24  “</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means a “</w:t>
      </w:r>
      <w:r>
        <w:rPr>
          <w:rFonts w:ascii="Times New Roman" w:cs="Times New Roman" w:eastAsia="Times New Roman" w:hAnsi="Times New Roman"/>
          <w:sz w:val="22"/>
          <w:szCs w:val="22"/>
          <w:b w:val="1"/>
          <w:bCs w:val="1"/>
          <w:color w:val="auto"/>
        </w:rPr>
        <w:t>parent corporation,</w:t>
      </w:r>
      <w:r>
        <w:rPr>
          <w:rFonts w:ascii="Times New Roman" w:cs="Times New Roman" w:eastAsia="Times New Roman" w:hAnsi="Times New Roman"/>
          <w:sz w:val="22"/>
          <w:szCs w:val="22"/>
          <w:color w:val="auto"/>
        </w:rPr>
        <w:t>” whether now or hereafter existing, as defined in Code Section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424(e).</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2.25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means an Eligible Employee that participates in the Plan.</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2.26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means this Palladyne AI Corp. 2021 Employee Stock Purchase Plan.</w:t>
      </w:r>
    </w:p>
    <w:p>
      <w:pPr>
        <w:spacing w:after="0" w:line="206"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2.27 “</w:t>
      </w:r>
      <w:r>
        <w:rPr>
          <w:rFonts w:ascii="Times New Roman" w:cs="Times New Roman" w:eastAsia="Times New Roman" w:hAnsi="Times New Roman"/>
          <w:sz w:val="22"/>
          <w:szCs w:val="22"/>
          <w:b w:val="1"/>
          <w:bCs w:val="1"/>
          <w:color w:val="auto"/>
        </w:rPr>
        <w:t>Purchase Period</w:t>
      </w:r>
      <w:r>
        <w:rPr>
          <w:rFonts w:ascii="Times New Roman" w:cs="Times New Roman" w:eastAsia="Times New Roman" w:hAnsi="Times New Roman"/>
          <w:sz w:val="22"/>
          <w:szCs w:val="22"/>
          <w:color w:val="auto"/>
        </w:rPr>
        <w:t>” means the period during an Offering Period and during which shares of Common Stock may be purchased on behalf of Participants thereunder in accordance with the terms of the Plan. Purchase Periods will have such duration as determined by the Administrator, commencing after one Exercise Date and ending with the next Exercise Date, except that the first Purchase Period of any Offering Period will commence on the Enrollment Date and end with the next Exercise Date. Unless the Administrator provides otherwise, a Purchase Period in an Offering Period will have the same duration as, and coincide with the length of, such Offering Period.</w:t>
      </w:r>
    </w:p>
    <w:p>
      <w:pPr>
        <w:spacing w:after="0" w:line="145" w:lineRule="exact"/>
        <w:rPr>
          <w:sz w:val="20"/>
          <w:szCs w:val="20"/>
          <w:color w:val="auto"/>
        </w:rPr>
      </w:pPr>
    </w:p>
    <w:p>
      <w:pPr>
        <w:jc w:val="both"/>
        <w:ind w:right="20" w:firstLine="1497"/>
        <w:spacing w:after="0" w:line="287" w:lineRule="exact"/>
        <w:rPr>
          <w:sz w:val="20"/>
          <w:szCs w:val="20"/>
          <w:color w:val="auto"/>
        </w:rPr>
      </w:pPr>
      <w:r>
        <w:rPr>
          <w:rFonts w:ascii="Times New Roman" w:cs="Times New Roman" w:eastAsia="Times New Roman" w:hAnsi="Times New Roman"/>
          <w:sz w:val="22"/>
          <w:szCs w:val="22"/>
          <w:color w:val="auto"/>
        </w:rPr>
        <w:t>2.28 “</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means an amount equal to eighty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five percent (85%) of the Fair Market Value of a share of Common Stock on the Enrollment Date or on the Exercise Date,</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whichever is lower; provided however, that the Purchase Price may be determined for any Offering Period by the Administrator subject to compliance with Code Section 423 (or any successor rule or provision or any other Applicable Laws, regulation or stock exchange rule) or pursuant to Section 18.</w:t>
      </w:r>
    </w:p>
    <w:p>
      <w:pPr>
        <w:spacing w:after="0" w:line="169"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2.29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means Code Section 409A and the U.S. Treasury Regulations and guidance thereunder, and any applicable state law equivalent, as each may be promulgated, amended or modified from time to time.</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2.30  “</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 “subsidiary corporation,” whether now or hereafter existing, as defined in Code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424(f).</w:t>
      </w:r>
    </w:p>
    <w:p>
      <w:pPr>
        <w:spacing w:after="0" w:line="17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2.31 “</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6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2.32 “</w:t>
      </w:r>
      <w:r>
        <w:rPr>
          <w:rFonts w:ascii="Times New Roman" w:cs="Times New Roman" w:eastAsia="Times New Roman" w:hAnsi="Times New Roman"/>
          <w:sz w:val="22"/>
          <w:szCs w:val="22"/>
          <w:b w:val="1"/>
          <w:bCs w:val="1"/>
          <w:color w:val="auto"/>
        </w:rPr>
        <w:t>U.S. Treasury Regulations</w:t>
      </w:r>
      <w:r>
        <w:rPr>
          <w:rFonts w:ascii="Times New Roman" w:cs="Times New Roman" w:eastAsia="Times New Roman" w:hAnsi="Times New Roman"/>
          <w:sz w:val="22"/>
          <w:szCs w:val="22"/>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72" w:lineRule="exact"/>
        <w:rPr>
          <w:sz w:val="20"/>
          <w:szCs w:val="20"/>
          <w:color w:val="auto"/>
        </w:rPr>
      </w:pPr>
    </w:p>
    <w:p>
      <w:pPr>
        <w:jc w:val="both"/>
        <w:ind w:firstLine="757"/>
        <w:spacing w:after="0" w:line="263" w:lineRule="auto"/>
        <w:tabs>
          <w:tab w:leader="none" w:pos="1018"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Stock Subject to the Plan</w:t>
      </w:r>
      <w:r>
        <w:rPr>
          <w:rFonts w:ascii="Times New Roman" w:cs="Times New Roman" w:eastAsia="Times New Roman" w:hAnsi="Times New Roman"/>
          <w:sz w:val="21"/>
          <w:szCs w:val="21"/>
          <w:color w:val="auto"/>
        </w:rPr>
        <w:t>. Subject to adjustment upon changes in capitalization of the Company as provided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17 hereof, the maximum number of shares of Common Stock that will be made available for sale under the Plan will be 500,000 shares of Common Stock. The shares of Common Stock may be authorized, but unissued, or reacquired Common Stock.</w:t>
      </w:r>
    </w:p>
    <w:p>
      <w:pPr>
        <w:spacing w:after="0" w:line="151" w:lineRule="exact"/>
        <w:rPr>
          <w:rFonts w:ascii="Times New Roman" w:cs="Times New Roman" w:eastAsia="Times New Roman" w:hAnsi="Times New Roman"/>
          <w:sz w:val="21"/>
          <w:szCs w:val="21"/>
          <w:color w:val="auto"/>
        </w:rPr>
      </w:pPr>
    </w:p>
    <w:p>
      <w:pPr>
        <w:jc w:val="both"/>
        <w:ind w:firstLine="757"/>
        <w:spacing w:after="0" w:line="246" w:lineRule="auto"/>
        <w:tabs>
          <w:tab w:leader="none" w:pos="101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Administration</w:t>
      </w:r>
      <w:r>
        <w:rPr>
          <w:rFonts w:ascii="Times New Roman" w:cs="Times New Roman" w:eastAsia="Times New Roman" w:hAnsi="Times New Roman"/>
          <w:sz w:val="22"/>
          <w:szCs w:val="22"/>
          <w:color w:val="auto"/>
        </w:rPr>
        <w:t>. The Plan will be administered by the Board or a Committee appointed by the Board,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will be constituted to comply with Applicable Laws. The Administrator will have full and exclusive discretionary authority to</w:t>
      </w:r>
    </w:p>
    <w:p>
      <w:pPr>
        <w:spacing w:after="0" w:line="17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construe, interpret and apply the terms of the Plan,</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delegate ministerial duties to any of the Company’s employees,</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separate Offerings under the Plan,</w:t>
      </w:r>
    </w:p>
    <w:p>
      <w:pPr>
        <w:spacing w:after="0" w:line="171" w:lineRule="exact"/>
        <w:rPr>
          <w:rFonts w:ascii="Times New Roman" w:cs="Times New Roman" w:eastAsia="Times New Roman" w:hAnsi="Times New Roman"/>
          <w:sz w:val="22"/>
          <w:szCs w:val="22"/>
          <w:color w:val="auto"/>
        </w:rPr>
      </w:pPr>
    </w:p>
    <w:p>
      <w:pPr>
        <w:ind w:left="2040" w:hanging="535"/>
        <w:spacing w:after="0" w:line="253" w:lineRule="exact"/>
        <w:tabs>
          <w:tab w:leader="none" w:pos="204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Subsidiaries as participating in the 423 Component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w:t>
      </w:r>
    </w:p>
    <w:p>
      <w:pPr>
        <w:spacing w:after="0" w:line="254"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eligibility,</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adjudicate all disputed claims filed under the Plan, and</w:t>
      </w:r>
    </w:p>
    <w:p>
      <w:pPr>
        <w:spacing w:after="0" w:line="206" w:lineRule="exact"/>
        <w:rPr>
          <w:rFonts w:ascii="Times New Roman" w:cs="Times New Roman" w:eastAsia="Times New Roman" w:hAnsi="Times New Roman"/>
          <w:sz w:val="22"/>
          <w:szCs w:val="22"/>
          <w:color w:val="auto"/>
        </w:rPr>
      </w:pPr>
    </w:p>
    <w:p>
      <w:pPr>
        <w:jc w:val="both"/>
        <w:ind w:firstLine="1505"/>
        <w:spacing w:after="0" w:line="267" w:lineRule="exact"/>
        <w:tabs>
          <w:tab w:leader="none" w:pos="2036"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such procedures that it deems necessary or advisable for the administration of the Plan (including, without limitation, to adopt such procedures,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plans, and appendices to the enrollment agreement as are necessary or appropriate to permit the participation in the Plan by employees who are foreign nationals or employed outside the U.S., the terms of which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plans and appendices may take precedence over other provisions of this Plan, with the exception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82" w:lineRule="exact"/>
        <w:rPr>
          <w:sz w:val="20"/>
          <w:szCs w:val="20"/>
          <w:color w:val="auto"/>
        </w:rPr>
      </w:pPr>
    </w:p>
    <w:p>
      <w:pPr>
        <w:jc w:val="both"/>
        <w:spacing w:after="0" w:line="268" w:lineRule="exact"/>
        <w:rPr>
          <w:sz w:val="20"/>
          <w:szCs w:val="20"/>
          <w:color w:val="auto"/>
        </w:rPr>
      </w:pPr>
      <w:r>
        <w:rPr>
          <w:rFonts w:ascii="Times New Roman" w:cs="Times New Roman" w:eastAsia="Times New Roman" w:hAnsi="Times New Roman"/>
          <w:sz w:val="22"/>
          <w:szCs w:val="22"/>
          <w:color w:val="auto"/>
        </w:rPr>
        <w:t>of Section 3 hereof, but unless otherwise superseded by the terms of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plan or appendix, the provisions of this Plan will govern the operation of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plan or appendix). Unless otherwise determined by the Administrator, the Eligible Employees eligible to participate in each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plan will participate in a separate Offering under the 423 Component, or if the terms would not qualify under the 423 Component, in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in either case unless such designation would cause the 423 Component to violate the requirements of Code Section 423.</w:t>
      </w:r>
    </w:p>
    <w:p>
      <w:pPr>
        <w:spacing w:after="0" w:line="181" w:lineRule="exact"/>
        <w:rPr>
          <w:sz w:val="20"/>
          <w:szCs w:val="20"/>
          <w:color w:val="auto"/>
        </w:rPr>
      </w:pPr>
    </w:p>
    <w:p>
      <w:pPr>
        <w:jc w:val="both"/>
        <w:ind w:firstLine="1497"/>
        <w:spacing w:after="0" w:line="248" w:lineRule="exact"/>
        <w:rPr>
          <w:sz w:val="20"/>
          <w:szCs w:val="20"/>
          <w:color w:val="auto"/>
        </w:rPr>
      </w:pPr>
      <w:r>
        <w:rPr>
          <w:rFonts w:ascii="Times New Roman" w:cs="Times New Roman" w:eastAsia="Times New Roman" w:hAnsi="Times New Roman"/>
          <w:sz w:val="22"/>
          <w:szCs w:val="22"/>
          <w:color w:val="auto"/>
        </w:rPr>
        <w:t>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2(f), the terms of an option granted under the Plan or an Offering to citizens or residents of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78" w:lineRule="exact"/>
        <w:rPr>
          <w:sz w:val="20"/>
          <w:szCs w:val="20"/>
          <w:color w:val="auto"/>
        </w:rPr>
      </w:pPr>
    </w:p>
    <w:p>
      <w:pPr>
        <w:ind w:left="1020" w:hanging="263"/>
        <w:spacing w:after="0"/>
        <w:tabs>
          <w:tab w:leader="none" w:pos="10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Eligibility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color w:val="auto"/>
        </w:rPr>
        <w:t>Offering Periods</w:t>
      </w:r>
      <w:r>
        <w:rPr>
          <w:rFonts w:ascii="Times New Roman" w:cs="Times New Roman" w:eastAsia="Times New Roman" w:hAnsi="Times New Roman"/>
          <w:sz w:val="22"/>
          <w:szCs w:val="22"/>
          <w:color w:val="auto"/>
        </w:rPr>
        <w:t>. Any Eligible Employee on a given Enrollment Date will be eligible to participate in the Plan, subject to the requirements of Section 7.</w:t>
      </w:r>
    </w:p>
    <w:p>
      <w:pPr>
        <w:spacing w:after="0" w:line="119" w:lineRule="exact"/>
        <w:rPr>
          <w:sz w:val="20"/>
          <w:szCs w:val="20"/>
          <w:color w:val="auto"/>
        </w:rPr>
      </w:pPr>
    </w:p>
    <w:p>
      <w:pPr>
        <w:jc w:val="both"/>
        <w:ind w:firstLine="1497"/>
        <w:spacing w:after="0" w:line="258" w:lineRule="exact"/>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Non</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U.S. Employees</w:t>
      </w:r>
      <w:r>
        <w:rPr>
          <w:rFonts w:ascii="Times New Roman" w:cs="Times New Roman" w:eastAsia="Times New Roman" w:hAnsi="Times New Roman"/>
          <w:sz w:val="22"/>
          <w:szCs w:val="22"/>
          <w:color w:val="auto"/>
        </w:rPr>
        <w:t>. Eligible Employees who are citizens or residents of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an Eligible Employee may be excluded from participation in the Plan or an Offering if the Administrator has determined that participation of such Eligible Employee is not advisable or practicable.</w:t>
      </w:r>
    </w:p>
    <w:p>
      <w:pPr>
        <w:spacing w:after="0" w:line="174" w:lineRule="exact"/>
        <w:rPr>
          <w:sz w:val="20"/>
          <w:szCs w:val="20"/>
          <w:color w:val="auto"/>
        </w:rPr>
      </w:pPr>
    </w:p>
    <w:p>
      <w:pPr>
        <w:jc w:val="both"/>
        <w:ind w:firstLine="1497"/>
        <w:spacing w:after="0" w:line="249" w:lineRule="exact"/>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color w:val="auto"/>
        </w:rPr>
        <w:t>Limitations</w:t>
      </w:r>
      <w:r>
        <w:rPr>
          <w:rFonts w:ascii="Times New Roman" w:cs="Times New Roman" w:eastAsia="Times New Roman" w:hAnsi="Times New Roman"/>
          <w:sz w:val="22"/>
          <w:szCs w:val="22"/>
          <w:color w:val="auto"/>
        </w:rPr>
        <w:t>. Any provisions of the Plan to the contrary notwithstanding, no Eligible Employee will be granted an option under the Plan (a) 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(b) to the extent that the Participant’s rights to purchase stock under all employee stock purchase plans (as defined in Code Section 423) of the Company or any Parent or Subsidiary of the Company accrues at a rate, which exceeds twenty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five thousand dollars ($25,000) worth of stock (determined at the Fair Market Value of the stock at the time such option is granted) for each calendar year in which such option is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outstanding at any time, as determined in accordance with Code Section 423 and the regulations thereunder.</w:t>
      </w:r>
    </w:p>
    <w:p>
      <w:pPr>
        <w:spacing w:after="0" w:line="202" w:lineRule="exact"/>
        <w:rPr>
          <w:sz w:val="20"/>
          <w:szCs w:val="20"/>
          <w:color w:val="auto"/>
        </w:rPr>
      </w:pPr>
    </w:p>
    <w:p>
      <w:pPr>
        <w:jc w:val="both"/>
        <w:ind w:firstLine="757"/>
        <w:spacing w:after="0" w:line="255" w:lineRule="exact"/>
        <w:tabs>
          <w:tab w:leader="none" w:pos="101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Offering Periods</w:t>
      </w:r>
      <w:r>
        <w:rPr>
          <w:rFonts w:ascii="Times New Roman" w:cs="Times New Roman" w:eastAsia="Times New Roman" w:hAnsi="Times New Roman"/>
          <w:sz w:val="22"/>
          <w:szCs w:val="22"/>
          <w:color w:val="auto"/>
        </w:rPr>
        <w:t>. The Plan will be implemented by Offering Periods as established by the Administrator from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time. Offering Periods will expire on the earliest to occur of (a) the completion of the purchase of shares on the last Exercise Date occurring within twenty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seven (27) months of the applicable Enrollment Date on which the option to purchase shares was granted under the Plan, or (b) such shorter period established prior to the Enrollment Date of the Offering Period by the Administrator, from time to time, in its discretion, on a uniform and nondiscriminatory basis, for all options to be granted on such Enrollment Date.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seven (27) months.</w:t>
      </w:r>
    </w:p>
    <w:p>
      <w:pPr>
        <w:spacing w:after="0" w:line="143" w:lineRule="exact"/>
        <w:rPr>
          <w:rFonts w:ascii="Times New Roman" w:cs="Times New Roman" w:eastAsia="Times New Roman" w:hAnsi="Times New Roman"/>
          <w:sz w:val="22"/>
          <w:szCs w:val="22"/>
          <w:color w:val="auto"/>
        </w:rPr>
      </w:pPr>
    </w:p>
    <w:p>
      <w:pPr>
        <w:jc w:val="both"/>
        <w:ind w:firstLine="757"/>
        <w:spacing w:after="0" w:line="250" w:lineRule="auto"/>
        <w:tabs>
          <w:tab w:leader="none" w:pos="1018"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Participation</w:t>
      </w:r>
      <w:r>
        <w:rPr>
          <w:rFonts w:ascii="Times New Roman" w:cs="Times New Roman" w:eastAsia="Times New Roman" w:hAnsi="Times New Roman"/>
          <w:sz w:val="21"/>
          <w:szCs w:val="21"/>
          <w:color w:val="auto"/>
        </w:rPr>
        <w:t>. An Eligible Employee may participate in the Plan pursuant to Section 5.1 by (a) submitting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Company’s stock administration office (or its designee), a properly completed subscription agreement authorizing Contributions in the form provided by the Administrator for such purpose (which may be similar to the form attached hereto as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or</w:t>
      </w:r>
    </w:p>
    <w:p>
      <w:pPr>
        <w:spacing w:after="0" w:line="2" w:lineRule="exact"/>
        <w:rPr>
          <w:rFonts w:ascii="Times New Roman" w:cs="Times New Roman" w:eastAsia="Times New Roman" w:hAnsi="Times New Roman"/>
          <w:sz w:val="21"/>
          <w:szCs w:val="21"/>
          <w:color w:val="auto"/>
        </w:rPr>
      </w:pPr>
    </w:p>
    <w:p>
      <w:pPr>
        <w:ind w:firstLine="8"/>
        <w:spacing w:after="0" w:line="237" w:lineRule="auto"/>
        <w:tabs>
          <w:tab w:leader="none" w:pos="32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an electronic or other enrollment procedure determined by the Administrator, in either case, on or before a date determined by the Administrator prior to an applicable Enrollment Date.</w:t>
      </w:r>
    </w:p>
    <w:p>
      <w:pPr>
        <w:spacing w:after="0" w:line="174"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Contributions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color w:val="auto"/>
        </w:rPr>
        <w:t>Contribution Amounts</w:t>
      </w:r>
      <w:r>
        <w:rPr>
          <w:rFonts w:ascii="Times New Roman" w:cs="Times New Roman" w:eastAsia="Times New Roman" w:hAnsi="Times New Roman"/>
          <w:sz w:val="22"/>
          <w:szCs w:val="22"/>
          <w:color w:val="auto"/>
        </w:rPr>
        <w:t>. At the time a Participant enrolls in the Plan pursuant to Section 7,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unless and until determined otherwise by the Administrator, should a pay day occur on an Exercise Date, a Participant will have any Contributions made on such day applied to the Participant’s account under the then-current Purchase Period or Offering Period (i.e., for which the Exercise Date occurs on such day).</w:t>
      </w:r>
    </w:p>
    <w:p>
      <w:pPr>
        <w:spacing w:after="0" w:line="17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color w:val="auto"/>
        </w:rPr>
        <w:t>Contribution Methods</w:t>
      </w:r>
      <w:r>
        <w:rPr>
          <w:rFonts w:ascii="Times New Roman" w:cs="Times New Roman" w:eastAsia="Times New Roman" w:hAnsi="Times New Roman"/>
          <w:sz w:val="22"/>
          <w:szCs w:val="22"/>
          <w:color w:val="auto"/>
        </w:rPr>
        <w:t>. The Administrator, in its sole discretion, may permit all Participants in a specified Offering to contribute amounts to the Plan through payment by cash, check or other means set forth in the subscription agreement prior to each Exercise Date of each Offering Period. A Participant’s subscription agreement will remain in effect for successive Offering Periods unless terminated as provided in Section 12 hereof (or Participant’s participation is terminated as provided in Section 13 hereof).</w:t>
      </w:r>
    </w:p>
    <w:p>
      <w:pPr>
        <w:spacing w:after="0" w:line="181" w:lineRule="exact"/>
        <w:rPr>
          <w:sz w:val="20"/>
          <w:szCs w:val="20"/>
          <w:color w:val="auto"/>
        </w:rPr>
      </w:pPr>
    </w:p>
    <w:p>
      <w:pPr>
        <w:jc w:val="both"/>
        <w:ind w:firstLine="2254"/>
        <w:spacing w:after="0" w:line="239" w:lineRule="auto"/>
        <w:tabs>
          <w:tab w:leader="none" w:pos="254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 (or Participant’s participation is terminated as provided in Section 13 hereof).</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17" w:lineRule="exact"/>
        <w:rPr>
          <w:sz w:val="20"/>
          <w:szCs w:val="20"/>
          <w:color w:val="auto"/>
        </w:rPr>
      </w:pPr>
    </w:p>
    <w:p>
      <w:pPr>
        <w:jc w:val="both"/>
        <w:ind w:firstLine="2254"/>
        <w:spacing w:after="0" w:line="244" w:lineRule="auto"/>
        <w:tabs>
          <w:tab w:leader="none" w:pos="254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Contributions made for a Participant will be credited to the Participant’s account under the Plan and Contributions will be made in whole percentages of the Participant’s Compensation only. A Participant may not make any additional payments into such account.</w:t>
      </w:r>
    </w:p>
    <w:p>
      <w:pPr>
        <w:spacing w:after="0" w:line="169"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color w:val="auto"/>
        </w:rPr>
        <w:t xml:space="preserve">8.3 </w:t>
      </w:r>
      <w:r>
        <w:rPr>
          <w:rFonts w:ascii="Times New Roman" w:cs="Times New Roman" w:eastAsia="Times New Roman" w:hAnsi="Times New Roman"/>
          <w:sz w:val="21"/>
          <w:szCs w:val="21"/>
          <w:b w:val="1"/>
          <w:bCs w:val="1"/>
          <w:color w:val="auto"/>
        </w:rPr>
        <w:t>Participant Changes to Contributions</w:t>
      </w:r>
      <w:r>
        <w:rPr>
          <w:rFonts w:ascii="Times New Roman" w:cs="Times New Roman" w:eastAsia="Times New Roman" w:hAnsi="Times New Roman"/>
          <w:sz w:val="21"/>
          <w:szCs w:val="21"/>
          <w:color w:val="auto"/>
        </w:rPr>
        <w:t>. A Participant may discontinue the Participant’s participation in the Plan as provided under Section 12. Until and unless determined otherwise by the Administrator, in its sole discretion, during any Offering Period, a Participant may not increase the rate of such Participant’s Contributions and may decrease the rate of such Participant’s Contributions only one (1) time, provided that such decrease is to a Contribution rate of zero percent (0%). In addition, until and unless determined otherwise by the Administrator, in its sole discretion, during any Offering Period, a Participant may increase or decrease the rate of such Participant’s Contributions (as a whole percent to a rate between zero percent (0%) and the maximum percentage specified in Section 8.1), which Contribution rate adjustment will become effective upon the commencement of the next Offering Period and remain in effect for subsequent Offering Periods and, except as set forth in the immediately preceding sentence, any such adjustment will not affect the Contribution rate for any ongoing Offering Period.</w:t>
      </w:r>
    </w:p>
    <w:p>
      <w:pPr>
        <w:spacing w:after="0" w:line="170" w:lineRule="exact"/>
        <w:rPr>
          <w:sz w:val="20"/>
          <w:szCs w:val="20"/>
          <w:color w:val="auto"/>
        </w:rPr>
      </w:pPr>
    </w:p>
    <w:p>
      <w:pPr>
        <w:jc w:val="both"/>
        <w:ind w:firstLine="2254"/>
        <w:spacing w:after="0" w:line="235" w:lineRule="auto"/>
        <w:tabs>
          <w:tab w:leader="none" w:pos="254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make a Contribution rate adjustment pursuant to this Section 8.3 by (A) properly completing and submitting to the Company’s stock administration office (or its designee), a new subscription agreement authorizing the change in Contribution rate in the form provided by the Administrator for such purpose, or (B) following an electronic or other procedure prescribed by the Administrator, in either case, on or before a date determined by the Administrator prior to (x) the scheduled beginning of the first Offering Period to be affected or (y) an applicable Exercise Date, as applicable. If a Participant has not followed such procedures to change the rate of Contributions, the rate of such Participant’s Contributions will continue at the originally elected rate throughout the Offering Period and future Offering Periods (unless the Participant’s participation is terminated as provided in Sections 12 or 13).</w:t>
      </w:r>
    </w:p>
    <w:p>
      <w:pPr>
        <w:spacing w:after="0" w:line="178"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w:t>
      </w:r>
    </w:p>
    <w:p>
      <w:pPr>
        <w:spacing w:after="0" w:line="180"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by this Section 8.3, any change in Contribution rate made pursuant to this Section 8.3 will be effective as of the first full payroll period following five (5) business days after the date on which the change is made by the Participant (unless the Administrator, in its sole discretion, elects to process a given change in Contribution rate earlier).</w:t>
      </w:r>
    </w:p>
    <w:p>
      <w:pPr>
        <w:spacing w:after="0" w:line="176"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b w:val="1"/>
          <w:bCs w:val="1"/>
          <w:color w:val="auto"/>
        </w:rPr>
        <w:t>Other Contribution Changes</w:t>
      </w:r>
      <w:r>
        <w:rPr>
          <w:rFonts w:ascii="Times New Roman" w:cs="Times New Roman" w:eastAsia="Times New Roman" w:hAnsi="Times New Roman"/>
          <w:sz w:val="22"/>
          <w:szCs w:val="22"/>
          <w:color w:val="auto"/>
        </w:rPr>
        <w:t>. Notwithstanding the foregoing, to the extent necessary to comply with Code Section 423(b)(8) and Section 5.3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5.3 hereof, Contributions will recommence at the rate originally elected by the Participant effective as of the beginning of the first Offering Period (or Purchase Period, as applicable) scheduled to end in the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calendar year, unless the Participant’s participation has terminated as provided in Sections 12 or 13.</w:t>
      </w:r>
    </w:p>
    <w:p>
      <w:pPr>
        <w:spacing w:after="0" w:line="202" w:lineRule="exact"/>
        <w:rPr>
          <w:sz w:val="20"/>
          <w:szCs w:val="20"/>
          <w:color w:val="auto"/>
        </w:rPr>
      </w:pPr>
    </w:p>
    <w:p>
      <w:pPr>
        <w:jc w:val="both"/>
        <w:ind w:firstLine="1497"/>
        <w:spacing w:after="0" w:line="265" w:lineRule="exact"/>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b w:val="1"/>
          <w:bCs w:val="1"/>
          <w:color w:val="auto"/>
        </w:rPr>
        <w:t>Cash Contributions</w:t>
      </w:r>
      <w:r>
        <w:rPr>
          <w:rFonts w:ascii="Times New Roman" w:cs="Times New Roman" w:eastAsia="Times New Roman" w:hAnsi="Times New Roman"/>
          <w:sz w:val="22"/>
          <w:szCs w:val="22"/>
          <w:color w:val="auto"/>
        </w:rPr>
        <w:t>. Notwithstanding any provisions to the contrary in the Plan, the Administrator may allow Participants to participate in the Plan via cash contributions instead of payroll deductions if (a) payroll deductions are not permitted or advisable under Applicable Laws, (b) the Administrator determines that cash contributions are permissible for Participants participating in the 423 Component and/or (c) the Participants are participating in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w:t>
      </w:r>
    </w:p>
    <w:p>
      <w:pPr>
        <w:spacing w:after="0" w:line="143" w:lineRule="exact"/>
        <w:rPr>
          <w:sz w:val="20"/>
          <w:szCs w:val="20"/>
          <w:color w:val="auto"/>
        </w:rPr>
      </w:pPr>
    </w:p>
    <w:p>
      <w:pPr>
        <w:jc w:val="both"/>
        <w:ind w:firstLine="1497"/>
        <w:spacing w:after="0" w:line="250" w:lineRule="exact"/>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b w:val="1"/>
          <w:bCs w:val="1"/>
          <w:color w:val="auto"/>
        </w:rPr>
        <w:t>Tax Withholdings</w:t>
      </w:r>
      <w:r>
        <w:rPr>
          <w:rFonts w:ascii="Times New Roman" w:cs="Times New Roman" w:eastAsia="Times New Roman" w:hAnsi="Times New Roman"/>
          <w:sz w:val="22"/>
          <w:szCs w:val="22"/>
          <w:color w:val="auto"/>
        </w:rPr>
        <w:t>. 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2(f).</w:t>
      </w:r>
    </w:p>
    <w:p>
      <w:pPr>
        <w:spacing w:after="0" w:line="148" w:lineRule="exact"/>
        <w:rPr>
          <w:sz w:val="20"/>
          <w:szCs w:val="20"/>
          <w:color w:val="auto"/>
        </w:rPr>
      </w:pPr>
    </w:p>
    <w:p>
      <w:pPr>
        <w:jc w:val="both"/>
        <w:ind w:firstLine="1497"/>
        <w:spacing w:after="0" w:line="251" w:lineRule="exact"/>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b w:val="1"/>
          <w:bCs w:val="1"/>
          <w:color w:val="auto"/>
        </w:rPr>
        <w:t>Use of Funds</w:t>
      </w:r>
      <w:r>
        <w:rPr>
          <w:rFonts w:ascii="Times New Roman" w:cs="Times New Roman" w:eastAsia="Times New Roman" w:hAnsi="Times New Roman"/>
          <w:sz w:val="22"/>
          <w:szCs w:val="22"/>
          <w:color w:val="auto"/>
        </w:rPr>
        <w:t>. The Company may use all Contributions received or held by it under the Plan for any corporate purpose, and the Company will not be obligated to segregate such Contributions except under Offerings or for Participants in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Regulations Section 1.423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2(f). Until shares of Common Stock are issued, Participants will have only the rights of an unsecured creditor with respect to such shares.</w:t>
      </w:r>
    </w:p>
    <w:p>
      <w:pPr>
        <w:spacing w:after="0" w:line="180" w:lineRule="exact"/>
        <w:rPr>
          <w:sz w:val="20"/>
          <w:szCs w:val="20"/>
          <w:color w:val="auto"/>
        </w:rPr>
      </w:pPr>
    </w:p>
    <w:p>
      <w:pPr>
        <w:jc w:val="both"/>
        <w:ind w:firstLine="757"/>
        <w:spacing w:after="0" w:line="238" w:lineRule="auto"/>
        <w:tabs>
          <w:tab w:leader="none" w:pos="101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 of Option</w:t>
      </w:r>
      <w:r>
        <w:rPr>
          <w:rFonts w:ascii="Times New Roman" w:cs="Times New Roman" w:eastAsia="Times New Roman" w:hAnsi="Times New Roman"/>
          <w:sz w:val="22"/>
          <w:szCs w:val="22"/>
          <w:color w:val="auto"/>
        </w:rPr>
        <w:t>. On the Enrollment Date of each Offering Period, each Eligible Employee participating in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w:t>
      </w:r>
    </w:p>
    <w:p>
      <w:pPr>
        <w:spacing w:after="0" w:line="17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color w:val="auto"/>
        </w:rPr>
        <w:t>Certain Option Limits</w:t>
      </w:r>
      <w:r>
        <w:rPr>
          <w:rFonts w:ascii="Times New Roman" w:cs="Times New Roman" w:eastAsia="Times New Roman" w:hAnsi="Times New Roman"/>
          <w:sz w:val="22"/>
          <w:szCs w:val="22"/>
          <w:color w:val="auto"/>
        </w:rPr>
        <w:t>. In no event will an Eligible Employee be permitted to purchase during each Purchase Period more than 500 shares of Common Stock (subject to any adjustment pursuant to Section 17), and provided further that such purchase will be subject to the limitations set forth in Sections 3 and 5.3 and in the subscription agreement. The Administrator, in its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absolute discretion, may increase or decrease the maximum number of shares of Common Stock that an Eligible Employee may purchase during each Purchase Period or Offering Period, as applicable.</w:t>
      </w:r>
    </w:p>
    <w:p>
      <w:pPr>
        <w:spacing w:after="0" w:line="154"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b w:val="1"/>
          <w:bCs w:val="1"/>
          <w:color w:val="auto"/>
        </w:rPr>
        <w:t>Option Receipt</w:t>
      </w:r>
      <w:r>
        <w:rPr>
          <w:rFonts w:ascii="Times New Roman" w:cs="Times New Roman" w:eastAsia="Times New Roman" w:hAnsi="Times New Roman"/>
          <w:sz w:val="22"/>
          <w:szCs w:val="22"/>
          <w:color w:val="auto"/>
        </w:rPr>
        <w:t>. The Eligible Employee may accept the grant of an option under the Plan by electing to participate in the Plan in accordance with the requirements of Section 7.</w:t>
      </w:r>
    </w:p>
    <w:p>
      <w:pPr>
        <w:spacing w:after="0" w:line="150"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b w:val="1"/>
          <w:bCs w:val="1"/>
          <w:color w:val="auto"/>
        </w:rPr>
        <w:t>Option Term</w:t>
      </w:r>
      <w:r>
        <w:rPr>
          <w:rFonts w:ascii="Times New Roman" w:cs="Times New Roman" w:eastAsia="Times New Roman" w:hAnsi="Times New Roman"/>
          <w:sz w:val="22"/>
          <w:szCs w:val="22"/>
          <w:color w:val="auto"/>
        </w:rPr>
        <w:t>. Exercise of the option will occur as provided in Section 10, unless the Participant’s participation has terminated pursuant to Sections 12 or 13. The option will expire on the last day of the Offering Period.</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color w:val="auto"/>
        </w:rPr>
        <w:t>Exercise of Option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color w:val="auto"/>
        </w:rPr>
        <w:t>Automatic Exercise</w:t>
      </w:r>
      <w:r>
        <w:rPr>
          <w:rFonts w:ascii="Times New Roman" w:cs="Times New Roman" w:eastAsia="Times New Roman" w:hAnsi="Times New Roman"/>
          <w:sz w:val="22"/>
          <w:szCs w:val="22"/>
          <w:color w:val="auto"/>
        </w:rPr>
        <w:t>. Unless a Participant’s participation in the Plan has terminated as provided in Sections 12 and 13, such Participant’s option for the purchase of shares of Common Stock will be exercised automatically on the Exercise Date, and the maximum number of full shares of Common Stock subject to the option will be purchased for such Participant at the applicable Purchase Price with the accumulated Contributions from such Participant’s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termination of the Participant’s participation in the Plan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174"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b w:val="1"/>
          <w:bCs w:val="1"/>
          <w:color w:val="auto"/>
        </w:rPr>
        <w:t>Pro Rata Allocations</w:t>
      </w:r>
      <w:r>
        <w:rPr>
          <w:rFonts w:ascii="Times New Roman" w:cs="Times New Roman" w:eastAsia="Times New Roman" w:hAnsi="Times New Roman"/>
          <w:sz w:val="22"/>
          <w:szCs w:val="22"/>
          <w:color w:val="auto"/>
        </w:rPr>
        <w:t>. If the Administrator determines that, on a given Exercise Date, the number of shares of Common Stock with respect to which options are to be exercised may exceed (a) the number of shares of Common Stock that were available for sale under the Plan on the Enrollment Date of the applicable Offering Period, or (b)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color w:val="auto"/>
        </w:rPr>
        <w:t>Delivery</w:t>
      </w:r>
      <w:r>
        <w:rPr>
          <w:rFonts w:ascii="Times New Roman" w:cs="Times New Roman" w:eastAsia="Times New Roman" w:hAnsi="Times New Roman"/>
          <w:sz w:val="22"/>
          <w:szCs w:val="22"/>
          <w:color w:val="auto"/>
        </w:rPr>
        <w:t>. As soon as reasonably practicable after each Exercise Date on which a purchase of shares of Common Stock occurs, the Company will arrange the delivery to each Participant of the shares of Common Stock purchased upon exercise of such Participant’s option in a form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32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determined by the Administrator (in its sole discretion) and pursuant to rules established by the Administrator. The Company may permit or require that shares of Common Stock be deposited directly with a broker designated by the Company or with a trustee or designated agent of the Company, and the Company may utilize electronic or automated methods of share transfer. The Company may require that shares of Common Stock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11.</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color w:val="auto"/>
        </w:rPr>
        <w:t>Withdrawal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1" w:lineRule="exact"/>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b w:val="1"/>
          <w:bCs w:val="1"/>
          <w:color w:val="auto"/>
        </w:rPr>
        <w:t>Withdrawal Procedures</w:t>
      </w:r>
      <w:r>
        <w:rPr>
          <w:rFonts w:ascii="Times New Roman" w:cs="Times New Roman" w:eastAsia="Times New Roman" w:hAnsi="Times New Roman"/>
          <w:sz w:val="22"/>
          <w:szCs w:val="22"/>
          <w:color w:val="auto"/>
        </w:rPr>
        <w:t xml:space="preserve">. A Participant may withdraw all but not less than all the Contributions credited to such Participant’s account and not yet used to exercise such Participant’s option under the Plan at any time by (a) submitting to the Company’s stock administration office (or its designee) a written notice of withdrawal in the form determined by the Administrator for such purpose (which may be similar to the form attached hereto as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or (b)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such Participant’s account will be paid to such Participant as soon as administratively practicable after receipt of notice of withdrawal and such Participant’s option for the Offering Period will be automatically terminated, and no further Contributions for the purchase of shares of Common Stock will be made for such Offering Period. If a Participant withdraws from an Offering Period, Contributions will not resume at the beginning of the succeeding Offering Period, unless the Participant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enrolls in the Plan in accordance with the provisions of Section 7.</w:t>
      </w:r>
    </w:p>
    <w:p>
      <w:pPr>
        <w:spacing w:after="0" w:line="143" w:lineRule="exact"/>
        <w:rPr>
          <w:sz w:val="20"/>
          <w:szCs w:val="20"/>
          <w:color w:val="auto"/>
        </w:rPr>
      </w:pPr>
    </w:p>
    <w:p>
      <w:pPr>
        <w:jc w:val="both"/>
        <w:ind w:firstLine="1497"/>
        <w:spacing w:after="0" w:line="263" w:lineRule="auto"/>
        <w:rPr>
          <w:sz w:val="20"/>
          <w:szCs w:val="20"/>
          <w:color w:val="auto"/>
        </w:rPr>
      </w:pPr>
      <w:r>
        <w:rPr>
          <w:rFonts w:ascii="Times New Roman" w:cs="Times New Roman" w:eastAsia="Times New Roman" w:hAnsi="Times New Roman"/>
          <w:sz w:val="21"/>
          <w:szCs w:val="21"/>
          <w:color w:val="auto"/>
        </w:rPr>
        <w:t xml:space="preserve">12.2 </w:t>
      </w:r>
      <w:r>
        <w:rPr>
          <w:rFonts w:ascii="Times New Roman" w:cs="Times New Roman" w:eastAsia="Times New Roman" w:hAnsi="Times New Roman"/>
          <w:sz w:val="21"/>
          <w:szCs w:val="21"/>
          <w:b w:val="1"/>
          <w:bCs w:val="1"/>
          <w:color w:val="auto"/>
        </w:rPr>
        <w:t>No Effect on Future Participation</w:t>
      </w:r>
      <w:r>
        <w:rPr>
          <w:rFonts w:ascii="Times New Roman" w:cs="Times New Roman" w:eastAsia="Times New Roman" w:hAnsi="Times New Roman"/>
          <w:sz w:val="21"/>
          <w:szCs w:val="21"/>
          <w:color w:val="auto"/>
        </w:rPr>
        <w:t>. A Participant’s withdrawal from an Offering Period will not have any effect upon such Participant’s eligibility to participate in any similar plan that may hereafter be adopted by the Company or in succeeding Offering Periods that commence after the termination of the Offering Period from which the Participant withdraws.</w:t>
      </w:r>
    </w:p>
    <w:p>
      <w:pPr>
        <w:spacing w:after="0" w:line="151" w:lineRule="exact"/>
        <w:rPr>
          <w:sz w:val="20"/>
          <w:szCs w:val="20"/>
          <w:color w:val="auto"/>
        </w:rPr>
      </w:pPr>
    </w:p>
    <w:p>
      <w:pPr>
        <w:jc w:val="both"/>
        <w:ind w:firstLine="749"/>
        <w:spacing w:after="0" w:line="249" w:lineRule="exact"/>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color w:val="auto"/>
        </w:rPr>
        <w:t>Termination of Employment</w:t>
      </w:r>
      <w:r>
        <w:rPr>
          <w:rFonts w:ascii="Times New Roman" w:cs="Times New Roman" w:eastAsia="Times New Roman" w:hAnsi="Times New Roman"/>
          <w:sz w:val="22"/>
          <w:szCs w:val="22"/>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such Participant’s death, to the person or persons entitled thereto, and such Participant’s option will be automatically terminated. Unless determined otherwise by the Administrator in a manner that, 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the exercise of the option will be qualified under the 423 Component only to the extent it complies with Code Section 423; further, no Participant will be deemed to switch from an Offering under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423 Component to an Offering under the 423</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328" w:lineRule="exact"/>
        <w:rPr>
          <w:sz w:val="20"/>
          <w:szCs w:val="20"/>
          <w:color w:val="auto"/>
        </w:rPr>
      </w:pPr>
    </w:p>
    <w:p>
      <w:pPr>
        <w:jc w:val="both"/>
        <w:ind w:firstLine="73"/>
        <w:spacing w:after="0" w:line="258" w:lineRule="auto"/>
        <w:rPr>
          <w:sz w:val="20"/>
          <w:szCs w:val="20"/>
          <w:color w:val="auto"/>
        </w:rPr>
      </w:pPr>
      <w:r>
        <w:rPr>
          <w:rFonts w:ascii="Times New Roman" w:cs="Times New Roman" w:eastAsia="Times New Roman" w:hAnsi="Times New Roman"/>
          <w:sz w:val="22"/>
          <w:szCs w:val="22"/>
          <w:color w:val="auto"/>
        </w:rPr>
        <w:t>Component or vice versa unless (and then only to the extent) such switch would not cause the 423 Component or any option thereunder to fail to comply with Code Section 423.</w:t>
      </w:r>
    </w:p>
    <w:p>
      <w:pPr>
        <w:spacing w:after="0" w:line="15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14.</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The Plan is intended to be exempt from the application of Section 409A, and, to the extent not exempt, is 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17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15.</w:t>
      </w:r>
      <w:r>
        <w:rPr>
          <w:rFonts w:ascii="Times New Roman" w:cs="Times New Roman" w:eastAsia="Times New Roman" w:hAnsi="Times New Roman"/>
          <w:sz w:val="21"/>
          <w:szCs w:val="21"/>
          <w:b w:val="1"/>
          <w:bCs w:val="1"/>
          <w:color w:val="auto"/>
        </w:rPr>
        <w:t>Rights as Stockholder</w:t>
      </w:r>
      <w:r>
        <w:rPr>
          <w:rFonts w:ascii="Times New Roman" w:cs="Times New Roman" w:eastAsia="Times New Roman" w:hAnsi="Times New Roman"/>
          <w:sz w:val="21"/>
          <w:szCs w:val="21"/>
          <w:color w:val="auto"/>
        </w:rPr>
        <w:t>. 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such Participant’s spouse.</w:t>
      </w:r>
    </w:p>
    <w:p>
      <w:pPr>
        <w:spacing w:after="0" w:line="16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b w:val="1"/>
          <w:bCs w:val="1"/>
          <w:color w:val="auto"/>
        </w:rPr>
        <w:t>Transferability</w:t>
      </w:r>
      <w:r>
        <w:rPr>
          <w:rFonts w:ascii="Times New Roman" w:cs="Times New Roman" w:eastAsia="Times New Roman" w:hAnsi="Times New Roman"/>
          <w:sz w:val="22"/>
          <w:szCs w:val="22"/>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b w:val="1"/>
          <w:bCs w:val="1"/>
          <w:color w:val="auto"/>
        </w:rPr>
        <w:t>Adjustments, Dissolution, Liquidation, Merger or Change in Control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1" w:lineRule="exact"/>
        <w:rPr>
          <w:sz w:val="20"/>
          <w:szCs w:val="20"/>
          <w:color w:val="auto"/>
        </w:rPr>
      </w:pPr>
      <w:r>
        <w:rPr>
          <w:rFonts w:ascii="Times New Roman" w:cs="Times New Roman" w:eastAsia="Times New Roman" w:hAnsi="Times New Roman"/>
          <w:sz w:val="22"/>
          <w:szCs w:val="22"/>
          <w:color w:val="auto"/>
        </w:rPr>
        <w:t xml:space="preserve">17.1 </w:t>
      </w: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In the event that any dividend or other distribution (whether in the form of cash, Common Stock, other securities, or other property), recapitalization, stock split, reverse stock split, reorganization, merger, consolidation, split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up, spin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Purchase Price per share, the class and the number of shares of common stock covered by each option under the Plan that has not yet been exercised, and the numerical share limits of Sections 3 and 9.1.</w:t>
      </w:r>
    </w:p>
    <w:p>
      <w:pPr>
        <w:spacing w:after="0" w:line="154"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b w:val="1"/>
          <w:bCs w:val="1"/>
          <w:color w:val="auto"/>
        </w:rPr>
        <w:t>Dissolution or Liquidation</w:t>
      </w:r>
      <w:r>
        <w:rPr>
          <w:rFonts w:ascii="Times New Roman" w:cs="Times New Roman" w:eastAsia="Times New Roman" w:hAnsi="Times New Roman"/>
          <w:sz w:val="22"/>
          <w:szCs w:val="22"/>
          <w:color w:val="auto"/>
        </w:rPr>
        <w:t xml:space="preserve"> .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7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17.3 </w:t>
      </w:r>
      <w:r>
        <w:rPr>
          <w:rFonts w:ascii="Times New Roman" w:cs="Times New Roman" w:eastAsia="Times New Roman" w:hAnsi="Times New Roman"/>
          <w:sz w:val="22"/>
          <w:szCs w:val="22"/>
          <w:b w:val="1"/>
          <w:bCs w:val="1"/>
          <w:color w:val="auto"/>
        </w:rPr>
        <w:t>Merger or Change in Control</w:t>
      </w:r>
      <w:r>
        <w:rPr>
          <w:rFonts w:ascii="Times New Roman" w:cs="Times New Roman" w:eastAsia="Times New Roman" w:hAnsi="Times New Roman"/>
          <w:sz w:val="22"/>
          <w:szCs w:val="22"/>
          <w:color w:val="auto"/>
        </w:rPr>
        <w:t>. 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b w:val="1"/>
          <w:bCs w:val="1"/>
          <w:color w:val="auto"/>
        </w:rPr>
        <w:t>Amendment or 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18.1 </w:t>
      </w:r>
      <w:r>
        <w:rPr>
          <w:rFonts w:ascii="Times New Roman" w:cs="Times New Roman" w:eastAsia="Times New Roman" w:hAnsi="Times New Roman"/>
          <w:sz w:val="22"/>
          <w:szCs w:val="22"/>
          <w:b w:val="1"/>
          <w:bCs w:val="1"/>
          <w:color w:val="auto"/>
        </w:rPr>
        <w:t>Amendment, Suspension, Termination</w:t>
      </w:r>
      <w:r>
        <w:rPr>
          <w:rFonts w:ascii="Times New Roman" w:cs="Times New Roman" w:eastAsia="Times New Roman" w:hAnsi="Times New Roman"/>
          <w:sz w:val="22"/>
          <w:szCs w:val="22"/>
          <w:color w:val="auto"/>
        </w:rPr>
        <w:t>. The Administrator, in its sole discretion, may amend, alter,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spacing w:after="0" w:line="17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18.2 </w:t>
      </w:r>
      <w:r>
        <w:rPr>
          <w:rFonts w:ascii="Times New Roman" w:cs="Times New Roman" w:eastAsia="Times New Roman" w:hAnsi="Times New Roman"/>
          <w:sz w:val="22"/>
          <w:szCs w:val="22"/>
          <w:b w:val="1"/>
          <w:bCs w:val="1"/>
          <w:color w:val="auto"/>
        </w:rPr>
        <w:t>Certain Administrator Changes</w:t>
      </w:r>
      <w:r>
        <w:rPr>
          <w:rFonts w:ascii="Times New Roman" w:cs="Times New Roman" w:eastAsia="Times New Roman" w:hAnsi="Times New Roman"/>
          <w:sz w:val="22"/>
          <w:szCs w:val="22"/>
          <w:color w:val="auto"/>
        </w:rPr>
        <w:t>. Without stockholder consent and without limiting Section 18.1,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1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73"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18.3 </w:t>
      </w:r>
      <w:r>
        <w:rPr>
          <w:rFonts w:ascii="Times New Roman" w:cs="Times New Roman" w:eastAsia="Times New Roman" w:hAnsi="Times New Roman"/>
          <w:sz w:val="22"/>
          <w:szCs w:val="22"/>
          <w:b w:val="1"/>
          <w:bCs w:val="1"/>
          <w:color w:val="auto"/>
        </w:rPr>
        <w:t>Changes Due to Accounting Consequences</w:t>
      </w:r>
      <w:r>
        <w:rPr>
          <w:rFonts w:ascii="Times New Roman" w:cs="Times New Roman" w:eastAsia="Times New Roman" w:hAnsi="Times New Roman"/>
          <w:sz w:val="22"/>
          <w:szCs w:val="22"/>
          <w:color w:val="auto"/>
        </w:rPr>
        <w:t>.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76" w:lineRule="exact"/>
        <w:rPr>
          <w:sz w:val="20"/>
          <w:szCs w:val="20"/>
          <w:color w:val="auto"/>
        </w:rPr>
      </w:pPr>
    </w:p>
    <w:p>
      <w:pPr>
        <w:jc w:val="both"/>
        <w:ind w:firstLine="2254"/>
        <w:spacing w:after="0" w:line="244" w:lineRule="auto"/>
        <w:tabs>
          <w:tab w:leader="none" w:pos="254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73"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altering the Purchase Price for any Purchase Period or Offering Period including a Purchase Period or Offering Period underway at the time of the change in Purchase Price;</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shortening any Purchase Period or Offering Period by setting a New Exercise Date, including a Purchase Period or Offering Period underway at the time of the Administrator action;</w:t>
      </w:r>
    </w:p>
    <w:p>
      <w:pPr>
        <w:spacing w:after="0" w:line="158"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reducing the maximum percentage of Compensation a Participant may elect to set aside as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Contributions; and</w:t>
      </w:r>
    </w:p>
    <w:p>
      <w:pPr>
        <w:spacing w:after="0" w:line="182" w:lineRule="exact"/>
        <w:rPr>
          <w:rFonts w:ascii="Times New Roman" w:cs="Times New Roman" w:eastAsia="Times New Roman" w:hAnsi="Times New Roman"/>
          <w:sz w:val="22"/>
          <w:szCs w:val="22"/>
          <w:color w:val="auto"/>
        </w:rPr>
      </w:pPr>
    </w:p>
    <w:p>
      <w:pPr>
        <w:ind w:right="20" w:firstLine="2254"/>
        <w:spacing w:after="0" w:line="258" w:lineRule="auto"/>
        <w:tabs>
          <w:tab w:leader="none" w:pos="254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reducing the maximum number of shares of Common Stock a Participant may purchase during any Purchase Period or Offering Period.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Such modifications or amendments will not require stockholder approval or the consent of any Plan Participants.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b w:val="1"/>
          <w:bCs w:val="1"/>
          <w:color w:val="auto"/>
        </w:rPr>
        <w:t>Conditions Upon Issuance of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19.1 </w:t>
      </w:r>
      <w:r>
        <w:rPr>
          <w:rFonts w:ascii="Times New Roman" w:cs="Times New Roman" w:eastAsia="Times New Roman" w:hAnsi="Times New Roman"/>
          <w:sz w:val="22"/>
          <w:szCs w:val="22"/>
          <w:b w:val="1"/>
          <w:bCs w:val="1"/>
          <w:color w:val="auto"/>
        </w:rPr>
        <w:t>Legal Compliance</w:t>
      </w:r>
      <w:r>
        <w:rPr>
          <w:rFonts w:ascii="Times New Roman" w:cs="Times New Roman" w:eastAsia="Times New Roman" w:hAnsi="Times New Roman"/>
          <w:sz w:val="22"/>
          <w:szCs w:val="22"/>
          <w:color w:val="auto"/>
        </w:rPr>
        <w:t>.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spacing w:after="0" w:line="16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19.2 </w:t>
      </w:r>
      <w:r>
        <w:rPr>
          <w:rFonts w:ascii="Times New Roman" w:cs="Times New Roman" w:eastAsia="Times New Roman" w:hAnsi="Times New Roman"/>
          <w:sz w:val="22"/>
          <w:szCs w:val="22"/>
          <w:b w:val="1"/>
          <w:bCs w:val="1"/>
          <w:color w:val="auto"/>
        </w:rPr>
        <w:t>Investment Representations</w:t>
      </w:r>
      <w:r>
        <w:rPr>
          <w:rFonts w:ascii="Times New Roman" w:cs="Times New Roman" w:eastAsia="Times New Roman" w:hAnsi="Times New Roman"/>
          <w:sz w:val="22"/>
          <w:szCs w:val="22"/>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2"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b w:val="1"/>
          <w:bCs w:val="1"/>
          <w:color w:val="auto"/>
        </w:rPr>
        <w:t>Term of Plan</w:t>
      </w:r>
      <w:r>
        <w:rPr>
          <w:rFonts w:ascii="Times New Roman" w:cs="Times New Roman" w:eastAsia="Times New Roman" w:hAnsi="Times New Roman"/>
          <w:sz w:val="22"/>
          <w:szCs w:val="22"/>
          <w:color w:val="auto"/>
        </w:rPr>
        <w:t>. The Plan became effective on September 24, 2021. The Plan will continue in effect for a term of twenty (20) years, unless sooner terminated under Section 18.</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1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67" w:lineRule="exact"/>
        <w:rPr>
          <w:sz w:val="20"/>
          <w:szCs w:val="20"/>
          <w:color w:val="auto"/>
        </w:rPr>
      </w:pPr>
    </w:p>
    <w:p>
      <w:pPr>
        <w:jc w:val="both"/>
        <w:ind w:firstLine="749"/>
        <w:spacing w:after="0" w:line="265" w:lineRule="exact"/>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b w:val="1"/>
          <w:bCs w:val="1"/>
          <w:color w:val="auto"/>
        </w:rPr>
        <w:t>Interest</w:t>
      </w:r>
      <w:r>
        <w:rPr>
          <w:rFonts w:ascii="Times New Roman" w:cs="Times New Roman" w:eastAsia="Times New Roman" w:hAnsi="Times New Roman"/>
          <w:sz w:val="22"/>
          <w:szCs w:val="22"/>
          <w:color w:val="auto"/>
        </w:rPr>
        <w:t>. No interest will accrue on the Contributions of a participant in the Plan, except as may be required by Applicable Laws, as determined by the Company, and if so required by the laws of a particular jurisdiction, will apply, with respect to Offerings under the 423 Component, to all Participants in the relevant Offering, except to the extent otherwise permitted by U.S. Treasury Regulations Section 1.423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2(f).</w:t>
      </w:r>
    </w:p>
    <w:p>
      <w:pPr>
        <w:spacing w:after="0" w:line="14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b w:val="1"/>
          <w:bCs w:val="1"/>
          <w:color w:val="auto"/>
        </w:rPr>
        <w:t>No Effect on Employment</w:t>
      </w:r>
      <w:r>
        <w:rPr>
          <w:rFonts w:ascii="Times New Roman" w:cs="Times New Roman" w:eastAsia="Times New Roman" w:hAnsi="Times New Roman"/>
          <w:sz w:val="22"/>
          <w:szCs w:val="22"/>
          <w:color w:val="auto"/>
        </w:rPr>
        <w:t>. Neither the Plan nor any option under the Plan will confer upon any Participant any right with respect to continuing the Participant’s employment 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b w:val="1"/>
          <w:bCs w:val="1"/>
          <w:color w:val="auto"/>
        </w:rPr>
        <w:t>Reports</w:t>
      </w:r>
      <w:r>
        <w:rPr>
          <w:rFonts w:ascii="Times New Roman" w:cs="Times New Roman" w:eastAsia="Times New Roman" w:hAnsi="Times New Roman"/>
          <w:sz w:val="22"/>
          <w:szCs w:val="22"/>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b w:val="1"/>
          <w:bCs w:val="1"/>
          <w:color w:val="auto"/>
        </w:rPr>
        <w:t>Legal Construction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26.1 </w:t>
      </w: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72"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26.2 </w:t>
      </w: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The Plan will be governed by, and construed in accordance with, the laws of the State of Delaware, but without regard to its conflict of law provisions.</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26.3 </w:t>
      </w:r>
      <w:r>
        <w:rPr>
          <w:rFonts w:ascii="Times New Roman" w:cs="Times New Roman" w:eastAsia="Times New Roman" w:hAnsi="Times New Roman"/>
          <w:sz w:val="22"/>
          <w:szCs w:val="22"/>
          <w:b w:val="1"/>
          <w:bCs w:val="1"/>
          <w:color w:val="auto"/>
        </w:rPr>
        <w:t>Headings</w:t>
      </w:r>
      <w:r>
        <w:rPr>
          <w:rFonts w:ascii="Times New Roman" w:cs="Times New Roman" w:eastAsia="Times New Roman" w:hAnsi="Times New Roman"/>
          <w:sz w:val="22"/>
          <w:szCs w:val="22"/>
          <w:color w:val="auto"/>
        </w:rPr>
        <w:t>. Headings are provided herein for convenience only, and will not serve as a basis for interpretation of the Plan.</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27.</w:t>
      </w:r>
      <w:r>
        <w:rPr>
          <w:rFonts w:ascii="Times New Roman" w:cs="Times New Roman" w:eastAsia="Times New Roman" w:hAnsi="Times New Roman"/>
          <w:sz w:val="22"/>
          <w:szCs w:val="22"/>
          <w:b w:val="1"/>
          <w:bCs w:val="1"/>
          <w:color w:val="auto"/>
        </w:rPr>
        <w:t>Compliance with Applicable Laws</w:t>
      </w:r>
      <w:r>
        <w:rPr>
          <w:rFonts w:ascii="Times New Roman" w:cs="Times New Roman" w:eastAsia="Times New Roman" w:hAnsi="Times New Roman"/>
          <w:sz w:val="22"/>
          <w:szCs w:val="22"/>
          <w:color w:val="auto"/>
        </w:rPr>
        <w:t>. The terms of this Plan are intended to comply with all Applicable Laws and will be construed accordingly.</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28.</w:t>
      </w:r>
      <w:r>
        <w:rPr>
          <w:rFonts w:ascii="Times New Roman" w:cs="Times New Roman" w:eastAsia="Times New Roman" w:hAnsi="Times New Roman"/>
          <w:sz w:val="22"/>
          <w:szCs w:val="22"/>
          <w:b w:val="1"/>
          <w:bCs w:val="1"/>
          <w:color w:val="auto"/>
        </w:rPr>
        <w:t>Automatic Transfer to Low Price Offering Period</w:t>
      </w:r>
      <w:r>
        <w:rPr>
          <w:rFonts w:ascii="Times New Roman" w:cs="Times New Roman" w:eastAsia="Times New Roman" w:hAnsi="Times New Roman"/>
          <w:sz w:val="22"/>
          <w:szCs w:val="22"/>
          <w:color w:val="auto"/>
        </w:rPr>
        <w:t>. Unless determined otherwise by the Administrator, this Section 28 applies to an Offering Period to the extent such Offering Period provides for more than one (1) Exercise Date within such Offering Period. To the extent permitted by Applicable Laws, if the Fair Market Value of a share of Common Stock on any Exercise Date in an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17" w:lineRule="exact"/>
        <w:rPr>
          <w:sz w:val="20"/>
          <w:szCs w:val="20"/>
          <w:color w:val="auto"/>
        </w:rPr>
      </w:pPr>
    </w:p>
    <w:p>
      <w:pPr>
        <w:jc w:val="both"/>
        <w:spacing w:after="0" w:line="257" w:lineRule="exact"/>
        <w:rPr>
          <w:sz w:val="20"/>
          <w:szCs w:val="20"/>
          <w:color w:val="auto"/>
        </w:rPr>
      </w:pPr>
      <w:r>
        <w:rPr>
          <w:rFonts w:ascii="Times New Roman" w:cs="Times New Roman" w:eastAsia="Times New Roman" w:hAnsi="Times New Roman"/>
          <w:sz w:val="22"/>
          <w:szCs w:val="22"/>
          <w:color w:val="auto"/>
        </w:rPr>
        <w:t>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enrolled in the immediately following Offering Period as of the first day thereof.</w:t>
      </w:r>
    </w:p>
    <w:p>
      <w:pPr>
        <w:spacing w:after="0" w:line="177" w:lineRule="exact"/>
        <w:rPr>
          <w:sz w:val="20"/>
          <w:szCs w:val="20"/>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PALLADYNE AI CORP.</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EMPLOYEE STOCK PURCHASE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AGREEMENT</w:t>
      </w:r>
    </w:p>
    <w:p>
      <w:pPr>
        <w:spacing w:after="0" w:line="210"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22"/>
          <w:szCs w:val="22"/>
          <w:color w:val="auto"/>
        </w:rPr>
        <w:t>_____ Original Application</w:t>
      </w:r>
      <w:r>
        <w:rPr>
          <w:sz w:val="20"/>
          <w:szCs w:val="20"/>
          <w:color w:val="auto"/>
        </w:rPr>
        <w:tab/>
      </w:r>
      <w:r>
        <w:rPr>
          <w:rFonts w:ascii="Times New Roman" w:cs="Times New Roman" w:eastAsia="Times New Roman" w:hAnsi="Times New Roman"/>
          <w:sz w:val="21"/>
          <w:szCs w:val="21"/>
          <w:color w:val="auto"/>
        </w:rPr>
        <w:t>Offering Date: _________________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 Change in Payroll Deduction Rate</w:t>
      </w:r>
    </w:p>
    <w:p>
      <w:pPr>
        <w:spacing w:after="0" w:line="206" w:lineRule="exact"/>
        <w:rPr>
          <w:sz w:val="20"/>
          <w:szCs w:val="20"/>
          <w:color w:val="auto"/>
        </w:rPr>
      </w:pPr>
    </w:p>
    <w:p>
      <w:pPr>
        <w:jc w:val="both"/>
        <w:ind w:firstLine="757"/>
        <w:spacing w:after="0" w:line="239" w:lineRule="auto"/>
        <w:tabs>
          <w:tab w:leader="none" w:pos="101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____________________ hereby elects to participate in the Palladyne AI Corp. 2021 Employee Stock Purchase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and subscribes to purchase shares of the Company’s Common Stock in accordance with this Subscription Agreement and the Plan. Any capitalized terms not specifically defined in this Subscription Agreement will have the meaning ascribed to them under the Plan.</w:t>
      </w:r>
    </w:p>
    <w:p>
      <w:pPr>
        <w:spacing w:after="0" w:line="180"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hereby authorize and consent to payroll deductions from each paycheck in the amount of ____% of my Compensation on each payday (from 0%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181"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76"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received a copy of the complete Plan and its accompanying prospectus. I understand that my participation in the Plan is in all respects subject to the terms of the Plan.</w:t>
      </w:r>
    </w:p>
    <w:p>
      <w:pPr>
        <w:spacing w:after="0" w:line="158"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purchased for me under the Plan should be issued in the name(s) of _____________</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(Eligible Employee or Eligible Employee and spouse only).</w:t>
      </w:r>
    </w:p>
    <w:p>
      <w:pPr>
        <w:spacing w:after="0" w:line="182"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365"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amount equal to the excess of the fair market value of the shares at the time such shares were purchased by me over the price that I paid for the shares. </w:t>
      </w:r>
      <w:r>
        <w:rPr>
          <w:rFonts w:ascii="Times New Roman" w:cs="Times New Roman" w:eastAsia="Times New Roman" w:hAnsi="Times New Roman"/>
          <w:sz w:val="22"/>
          <w:szCs w:val="22"/>
          <w:b w:val="1"/>
          <w:bCs w:val="1"/>
          <w:color w:val="auto"/>
        </w:rPr>
        <w:t>I hereby agree to notify the Company in writing within thirty (30) days after the date of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disposition of my shares and I will make adequate provision for federal, state or other tax withholding obligations, if any, which arise upon the disposition of the Common Stock</w:t>
      </w:r>
      <w:r>
        <w:rPr>
          <w:rFonts w:ascii="Times New Roman" w:cs="Times New Roman" w:eastAsia="Times New Roman" w:hAnsi="Times New Roman"/>
          <w:sz w:val="22"/>
          <w:szCs w:val="22"/>
          <w:color w:val="auto"/>
        </w:rPr>
        <w:t>. The Company may, but will not be obligated to, withhold from my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w:t>
      </w:r>
    </w:p>
    <w:p>
      <w:pPr>
        <w:spacing w:after="0" w:line="185" w:lineRule="exact"/>
        <w:rPr>
          <w:sz w:val="20"/>
          <w:szCs w:val="20"/>
          <w:color w:val="auto"/>
        </w:rPr>
      </w:pPr>
    </w:p>
    <w:p>
      <w:pPr>
        <w:jc w:val="both"/>
        <w:ind w:firstLine="757"/>
        <w:spacing w:after="0" w:line="255" w:lineRule="exact"/>
        <w:tabs>
          <w:tab w:leader="none" w:pos="101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Times New Roman" w:cs="Times New Roman" w:eastAsia="Times New Roman" w:hAnsi="Times New Roman"/>
          <w:sz w:val="21"/>
          <w:szCs w:val="21"/>
          <w:b w:val="1"/>
          <w:bCs w:val="1"/>
          <w:color w:val="auto"/>
        </w:rPr>
        <w:t>Tax</w:t>
      </w:r>
      <w:r>
        <w:rPr>
          <w:rFonts w:ascii="MS PGothic" w:cs="MS PGothic" w:eastAsia="MS PGothic" w:hAnsi="MS PGothic"/>
          <w:sz w:val="21"/>
          <w:szCs w:val="21"/>
          <w:color w:val="auto"/>
          <w:strike w:val="1"/>
        </w:rPr>
        <w:t>‑</w:t>
      </w:r>
      <w:r>
        <w:rPr>
          <w:rFonts w:ascii="Times New Roman" w:cs="Times New Roman" w:eastAsia="Times New Roman" w:hAnsi="Times New Roman"/>
          <w:sz w:val="21"/>
          <w:szCs w:val="21"/>
          <w:b w:val="1"/>
          <w:bCs w:val="1"/>
          <w:color w:val="auto"/>
        </w:rPr>
        <w:t>Related Items</w:t>
      </w:r>
      <w:r>
        <w:rPr>
          <w:rFonts w:ascii="Times New Roman" w:cs="Times New Roman" w:eastAsia="Times New Roman" w:hAnsi="Times New Roman"/>
          <w:sz w:val="21"/>
          <w:szCs w:val="21"/>
          <w:color w:val="auto"/>
        </w:rPr>
        <w:t>”), the ultimate liability for all Tax</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Related Items is and remains my responsibility and may exceed the amount actually withheld by the Company or a Designated Company. Furthermore, I acknowledge that the Company and/or any Designated Company (a) make no representations or undertakings regarding the treatment of any Tax</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Related Items in connection with any aspect of the options under the Plan and (b) do not commit to and are under no obligation to structure the terms of the grant of options or any aspect of my participation in the Plan to reduce or eliminate my liability for Tax</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Related Items in more than one jurisdiction.</w:t>
      </w:r>
    </w:p>
    <w:p>
      <w:pPr>
        <w:spacing w:after="0" w:line="147" w:lineRule="exact"/>
        <w:rPr>
          <w:sz w:val="20"/>
          <w:szCs w:val="20"/>
          <w:color w:val="auto"/>
        </w:rPr>
      </w:pPr>
    </w:p>
    <w:p>
      <w:pPr>
        <w:jc w:val="both"/>
        <w:ind w:firstLine="749"/>
        <w:spacing w:after="0" w:line="257" w:lineRule="exact"/>
        <w:rPr>
          <w:sz w:val="20"/>
          <w:szCs w:val="20"/>
          <w:color w:val="auto"/>
        </w:rPr>
      </w:pPr>
      <w:r>
        <w:rPr>
          <w:rFonts w:ascii="Times New Roman" w:cs="Times New Roman" w:eastAsia="Times New Roman" w:hAnsi="Times New Roman"/>
          <w:sz w:val="21"/>
          <w:szCs w:val="21"/>
          <w:color w:val="auto"/>
        </w:rPr>
        <w:t>Prior to the purchase of shares of Common Stock under the Plan or any other relevant taxable or tax withholding event, as applicable, I agree to make adequate arrangements satisfactory to the Company and/or the applicable Designated Company to satisfy all Tax</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Related Items. In this regard, I authorize the Company and/or the applicable Designated Company, or their respective agents, at their discretion, to satisfy any applicable withholding obligations with regard to all Tax</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 or account for Tax</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Related Items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365"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197" w:lineRule="exact"/>
        <w:rPr>
          <w:sz w:val="20"/>
          <w:szCs w:val="20"/>
          <w:color w:val="auto"/>
        </w:rPr>
      </w:pPr>
    </w:p>
    <w:p>
      <w:pPr>
        <w:jc w:val="both"/>
        <w:spacing w:after="0" w:line="287" w:lineRule="exact"/>
        <w:rPr>
          <w:sz w:val="20"/>
          <w:szCs w:val="20"/>
          <w:color w:val="auto"/>
        </w:rPr>
      </w:pPr>
      <w:r>
        <w:rPr>
          <w:rFonts w:ascii="Times New Roman" w:cs="Times New Roman" w:eastAsia="Times New Roman" w:hAnsi="Times New Roman"/>
          <w:sz w:val="22"/>
          <w:szCs w:val="22"/>
          <w:color w:val="auto"/>
        </w:rPr>
        <w:t>by considering applicable maximum withholding rates, in which case I will receive a refund of any over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withheld amount in cash and will have no entitlement to the Common Stock equivalent.</w:t>
      </w:r>
    </w:p>
    <w:p>
      <w:pPr>
        <w:spacing w:after="0" w:line="142" w:lineRule="exact"/>
        <w:rPr>
          <w:sz w:val="20"/>
          <w:szCs w:val="20"/>
          <w:color w:val="auto"/>
        </w:rPr>
      </w:pPr>
    </w:p>
    <w:p>
      <w:pPr>
        <w:jc w:val="both"/>
        <w:ind w:firstLine="749"/>
        <w:spacing w:after="0" w:line="269" w:lineRule="exact"/>
        <w:rPr>
          <w:sz w:val="20"/>
          <w:szCs w:val="20"/>
          <w:color w:val="auto"/>
        </w:rPr>
      </w:pPr>
      <w:r>
        <w:rPr>
          <w:rFonts w:ascii="Times New Roman" w:cs="Times New Roman" w:eastAsia="Times New Roman" w:hAnsi="Times New Roman"/>
          <w:sz w:val="22"/>
          <w:szCs w:val="22"/>
          <w:color w:val="auto"/>
        </w:rPr>
        <w:t>Finally, I agree to pay to the Company or the applicable Designated Company any amount of Tax</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Items.</w:t>
      </w:r>
    </w:p>
    <w:p>
      <w:pPr>
        <w:spacing w:after="0" w:line="149" w:lineRule="exact"/>
        <w:rPr>
          <w:sz w:val="20"/>
          <w:szCs w:val="20"/>
          <w:color w:val="auto"/>
        </w:rPr>
      </w:pPr>
    </w:p>
    <w:p>
      <w:pPr>
        <w:ind w:left="1020" w:hanging="263"/>
        <w:spacing w:after="0"/>
        <w:tabs>
          <w:tab w:leader="none" w:pos="10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electing to participate in the Plan, I acknowledge, understand and agree that:</w:t>
      </w:r>
    </w:p>
    <w:p>
      <w:pPr>
        <w:spacing w:after="0" w:line="206" w:lineRule="exact"/>
        <w:rPr>
          <w:rFonts w:ascii="Times New Roman" w:cs="Times New Roman" w:eastAsia="Times New Roman" w:hAnsi="Times New Roman"/>
          <w:sz w:val="22"/>
          <w:szCs w:val="22"/>
          <w:color w:val="auto"/>
        </w:rPr>
      </w:pPr>
    </w:p>
    <w:p>
      <w:pPr>
        <w:ind w:left="100" w:firstLine="1405"/>
        <w:spacing w:after="0" w:line="258" w:lineRule="auto"/>
        <w:tabs>
          <w:tab w:leader="none" w:pos="2047"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it may be modified, amended, suspended or terminated by the Company at any time, to the extent provided for in the Plan;</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decisions with respect to future grants under the Plan, if applicable, will be at the sole discretion of the</w:t>
      </w:r>
    </w:p>
    <w:p>
      <w:pPr>
        <w:spacing w:after="0" w:line="25" w:lineRule="exact"/>
        <w:rPr>
          <w:rFonts w:ascii="Times New Roman" w:cs="Times New Roman" w:eastAsia="Times New Roman" w:hAnsi="Times New Roman"/>
          <w:sz w:val="21"/>
          <w:szCs w:val="21"/>
          <w:color w:val="auto"/>
        </w:rPr>
      </w:pPr>
    </w:p>
    <w:p>
      <w:pPr>
        <w:ind w:left="1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Company;</w:t>
      </w:r>
    </w:p>
    <w:p>
      <w:pPr>
        <w:spacing w:after="0" w:line="182" w:lineRule="exact"/>
        <w:rPr>
          <w:rFonts w:ascii="Times New Roman" w:cs="Times New Roman" w:eastAsia="Times New Roman" w:hAnsi="Times New Roman"/>
          <w:sz w:val="21"/>
          <w:szCs w:val="21"/>
          <w:color w:val="auto"/>
        </w:rPr>
      </w:pPr>
    </w:p>
    <w:p>
      <w:pPr>
        <w:jc w:val="both"/>
        <w:ind w:left="100" w:firstLine="1405"/>
        <w:spacing w:after="0" w:line="244" w:lineRule="auto"/>
        <w:tabs>
          <w:tab w:leader="none" w:pos="2047"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voluntarily participating in the Plan;</w:t>
      </w:r>
    </w:p>
    <w:p>
      <w:pPr>
        <w:spacing w:after="0" w:line="206" w:lineRule="exact"/>
        <w:rPr>
          <w:rFonts w:ascii="Times New Roman" w:cs="Times New Roman" w:eastAsia="Times New Roman" w:hAnsi="Times New Roman"/>
          <w:sz w:val="22"/>
          <w:szCs w:val="22"/>
          <w:color w:val="auto"/>
        </w:rPr>
      </w:pPr>
    </w:p>
    <w:p>
      <w:pPr>
        <w:ind w:left="100" w:right="20" w:firstLine="1405"/>
        <w:spacing w:after="0" w:line="258" w:lineRule="auto"/>
        <w:tabs>
          <w:tab w:leader="none" w:pos="2047"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options granted under the Plan and the shares of Common Stock underlying such options, and the income and value of same, are not intended to replace any pension rights or compensation;</w:t>
      </w:r>
    </w:p>
    <w:p>
      <w:pPr>
        <w:spacing w:after="0" w:line="158" w:lineRule="exact"/>
        <w:rPr>
          <w:rFonts w:ascii="Times New Roman" w:cs="Times New Roman" w:eastAsia="Times New Roman" w:hAnsi="Times New Roman"/>
          <w:sz w:val="22"/>
          <w:szCs w:val="22"/>
          <w:color w:val="auto"/>
        </w:rPr>
      </w:pPr>
    </w:p>
    <w:p>
      <w:pPr>
        <w:jc w:val="both"/>
        <w:ind w:left="100" w:firstLine="1405"/>
        <w:spacing w:after="0" w:line="257" w:lineRule="exact"/>
        <w:tabs>
          <w:tab w:leader="none" w:pos="2047"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options granted under the Plan and the shares of Common Stock underlying such options, and the income and value of same, are not part of my normal or expected compensation for any purpose, including, but not limited to, calculating any severance, resignation, termination, redundancy, dismissal, end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service payments, bonuses,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service awards, pension or retirement benefits or similar payments;</w:t>
      </w:r>
    </w:p>
    <w:p>
      <w:pPr>
        <w:spacing w:after="0" w:line="176" w:lineRule="exact"/>
        <w:rPr>
          <w:rFonts w:ascii="Times New Roman" w:cs="Times New Roman" w:eastAsia="Times New Roman" w:hAnsi="Times New Roman"/>
          <w:sz w:val="22"/>
          <w:szCs w:val="22"/>
          <w:color w:val="auto"/>
        </w:rPr>
      </w:pPr>
    </w:p>
    <w:p>
      <w:pPr>
        <w:ind w:left="100" w:firstLine="1405"/>
        <w:spacing w:after="0" w:line="258" w:lineRule="auto"/>
        <w:tabs>
          <w:tab w:leader="none" w:pos="2047"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of Common Stock offered under the Plan is unknown, indeterminable and cannot be predicted with certainty;</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shares of Common Stock that I acquire under the Plan may increase or decrease in value, even below</w:t>
      </w:r>
    </w:p>
    <w:p>
      <w:pPr>
        <w:spacing w:after="0" w:line="25" w:lineRule="exact"/>
        <w:rPr>
          <w:rFonts w:ascii="Times New Roman" w:cs="Times New Roman" w:eastAsia="Times New Roman" w:hAnsi="Times New Roman"/>
          <w:sz w:val="21"/>
          <w:szCs w:val="21"/>
          <w:color w:val="auto"/>
        </w:rPr>
      </w:pPr>
    </w:p>
    <w:p>
      <w:pPr>
        <w:ind w:left="1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Purchase Price;</w:t>
      </w:r>
    </w:p>
    <w:p>
      <w:pPr>
        <w:spacing w:after="0" w:line="182" w:lineRule="exact"/>
        <w:rPr>
          <w:rFonts w:ascii="Times New Roman" w:cs="Times New Roman" w:eastAsia="Times New Roman" w:hAnsi="Times New Roman"/>
          <w:sz w:val="21"/>
          <w:szCs w:val="21"/>
          <w:color w:val="auto"/>
        </w:rPr>
      </w:pPr>
    </w:p>
    <w:p>
      <w:pPr>
        <w:jc w:val="both"/>
        <w:ind w:left="100" w:firstLine="1405"/>
        <w:spacing w:after="0" w:line="244" w:lineRule="auto"/>
        <w:tabs>
          <w:tab w:leader="none" w:pos="2047"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will arise from the forfeiture of options granted to me under the Plan as a result of the termination of my status as an Eligible Employee (for any reason whatsoever, and whether or not later found to be invalid or in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365"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1" w:lineRule="exact"/>
        <w:rPr>
          <w:sz w:val="20"/>
          <w:szCs w:val="20"/>
          <w:color w:val="auto"/>
        </w:rPr>
      </w:pPr>
    </w:p>
    <w:p>
      <w:pPr>
        <w:jc w:val="both"/>
        <w:ind w:left="100"/>
        <w:spacing w:after="0" w:line="236" w:lineRule="auto"/>
        <w:rPr>
          <w:sz w:val="20"/>
          <w:szCs w:val="20"/>
          <w:color w:val="auto"/>
        </w:rPr>
      </w:pPr>
      <w:r>
        <w:rPr>
          <w:rFonts w:ascii="Times New Roman" w:cs="Times New Roman" w:eastAsia="Times New Roman" w:hAnsi="Times New Roman"/>
          <w:sz w:val="22"/>
          <w:szCs w:val="22"/>
          <w:color w:val="auto"/>
        </w:rPr>
        <w:t>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spacing w:after="0" w:line="181" w:lineRule="exact"/>
        <w:rPr>
          <w:sz w:val="20"/>
          <w:szCs w:val="20"/>
          <w:color w:val="auto"/>
        </w:rPr>
      </w:pPr>
    </w:p>
    <w:p>
      <w:pPr>
        <w:jc w:val="both"/>
        <w:ind w:left="100" w:firstLine="1405"/>
        <w:spacing w:after="0" w:line="234" w:lineRule="auto"/>
        <w:tabs>
          <w:tab w:leader="none" w:pos="2047"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active employment would not include a period of “</w:t>
      </w:r>
      <w:r>
        <w:rPr>
          <w:rFonts w:ascii="Times New Roman" w:cs="Times New Roman" w:eastAsia="Times New Roman" w:hAnsi="Times New Roman"/>
          <w:sz w:val="22"/>
          <w:szCs w:val="22"/>
          <w:b w:val="1"/>
          <w:bCs w:val="1"/>
          <w:color w:val="auto"/>
        </w:rPr>
        <w:t>garden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leave</w:t>
      </w:r>
      <w:r>
        <w:rPr>
          <w:rFonts w:ascii="Times New Roman" w:cs="Times New Roman" w:eastAsia="Times New Roman" w:hAnsi="Times New Roman"/>
          <w:sz w:val="22"/>
          <w:szCs w:val="22"/>
          <w:color w:val="auto"/>
        </w:rPr>
        <w:t>” or similar period pursuant to the employment laws in the jurisdiction in which I am employed or the terms of my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agreement, if any); the Company will have the exclusive discretion to determine when I am no longer actively employed for purposes of my participation in the Plan (including whether I may still be considered to be actively employed while on a leave of absence).</w:t>
      </w:r>
    </w:p>
    <w:p>
      <w:pPr>
        <w:spacing w:after="0" w:line="175" w:lineRule="exact"/>
        <w:rPr>
          <w:rFonts w:ascii="Times New Roman" w:cs="Times New Roman" w:eastAsia="Times New Roman" w:hAnsi="Times New Roman"/>
          <w:sz w:val="22"/>
          <w:szCs w:val="22"/>
          <w:color w:val="auto"/>
        </w:rPr>
      </w:pPr>
    </w:p>
    <w:p>
      <w:pPr>
        <w:jc w:val="both"/>
        <w:ind w:firstLine="757"/>
        <w:spacing w:after="0" w:line="232" w:lineRule="auto"/>
        <w:tabs>
          <w:tab w:leader="none" w:pos="101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Times New Roman" w:cs="Times New Roman" w:eastAsia="Times New Roman" w:hAnsi="Times New Roman"/>
          <w:sz w:val="22"/>
          <w:szCs w:val="22"/>
          <w:b w:val="1"/>
          <w:bCs w:val="1"/>
          <w:i w:val="1"/>
          <w:iCs w:val="1"/>
          <w:color w:val="auto"/>
        </w:rPr>
        <w:t>Data</w:t>
      </w:r>
      <w:r>
        <w:rPr>
          <w:rFonts w:ascii="Times New Roman" w:cs="Times New Roman" w:eastAsia="Times New Roman" w:hAnsi="Times New Roman"/>
          <w:sz w:val="22"/>
          <w:szCs w:val="22"/>
          <w:i w:val="1"/>
          <w:iCs w:val="1"/>
          <w:color w:val="auto"/>
        </w:rPr>
        <w:t>”),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365"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i w:val="1"/>
          <w:iCs w:val="1"/>
          <w:color w:val="auto"/>
        </w:rPr>
        <w:t>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 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10.If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11.The provisions of the Subscription Agreement and these appendices are severable and if any one or more provisions are determined to be illegal or otherwise unenforceable, in whole or in part, the remaining provisions nevertheless will be binding and enforceable.</w:t>
      </w:r>
    </w:p>
    <w:p>
      <w:pPr>
        <w:spacing w:after="0" w:line="173"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12.Notwithstanding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 or advisable for legal or administrative reasons. Appendix A constitutes part of this Subscription Agreement and the provisions of this Subscription Agreement govern each Appendix (to the extent not superseded or supplemented by the terms and conditions set forth in the applicable Appendix).</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365"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13.I hereby agree to be bound by the terms of the Plan. The effectiveness of this Subscription Agreement is dependent upon my eligibility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Employee’s Social</w:t>
      </w: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Security Number</w:t>
      </w:r>
    </w:p>
    <w:p>
      <w:pPr>
        <w:spacing w:after="0" w:line="17" w:lineRule="exact"/>
        <w:rPr>
          <w:sz w:val="20"/>
          <w:szCs w:val="20"/>
          <w:color w:val="auto"/>
        </w:rPr>
      </w:pPr>
    </w:p>
    <w:p>
      <w:pPr>
        <w:ind w:left="100"/>
        <w:spacing w:after="0" w:line="253" w:lineRule="exact"/>
        <w:rPr>
          <w:sz w:val="20"/>
          <w:szCs w:val="20"/>
          <w:color w:val="auto"/>
        </w:rPr>
      </w:pPr>
      <w:r>
        <w:rPr>
          <w:rFonts w:ascii="Times New Roman" w:cs="Times New Roman" w:eastAsia="Times New Roman" w:hAnsi="Times New Roman"/>
          <w:sz w:val="22"/>
          <w:szCs w:val="22"/>
          <w:color w:val="auto"/>
        </w:rPr>
        <w:t>(for U.S.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20320</wp:posOffset>
            </wp:positionV>
            <wp:extent cx="365188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27940</wp:posOffset>
            </wp:positionV>
            <wp:extent cx="365188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365188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345440</wp:posOffset>
            </wp:positionV>
            <wp:extent cx="365188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365188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662305</wp:posOffset>
            </wp:positionV>
            <wp:extent cx="365188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 UNDERSTAND THAT THIS SUBSCRIPTION AGREEMENT WILL REMAIN IN EFFECT THROUGHOUT SUCCESSIVE OFFERING PERIODS UNLESS TERMINATED BY 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-13970</wp:posOffset>
            </wp:positionV>
            <wp:extent cx="1143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-13970</wp:posOffset>
            </wp:positionV>
            <wp:extent cx="274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22"/>
          <w:szCs w:val="22"/>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PALLADYNE AI CORP.</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EMPLOYEE STOCK PURCHASE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WITHDRAWAL</w:t>
      </w:r>
    </w:p>
    <w:p>
      <w:pPr>
        <w:spacing w:after="0" w:line="21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The undersigned Participant in the Offering Period of the Palladyne AI Corp. 2021 Employee Stock Purchase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that began on ____________, ______ (the “</w:t>
      </w:r>
      <w:r>
        <w:rPr>
          <w:rFonts w:ascii="Times New Roman" w:cs="Times New Roman" w:eastAsia="Times New Roman" w:hAnsi="Times New Roman"/>
          <w:sz w:val="22"/>
          <w:szCs w:val="22"/>
          <w:b w:val="1"/>
          <w:bCs w:val="1"/>
          <w:color w:val="auto"/>
        </w:rPr>
        <w:t>Offering Date</w:t>
      </w:r>
      <w:r>
        <w:rPr>
          <w:rFonts w:ascii="Times New Roman" w:cs="Times New Roman" w:eastAsia="Times New Roman" w:hAnsi="Times New Roman"/>
          <w:sz w:val="22"/>
          <w:szCs w:val="22"/>
          <w:color w:val="auto"/>
        </w:rPr>
        <w:t>”) hereby notifies the Company that he or she hereby</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withdraws from the Offering Period. Participant hereby directs the Company to pay to the undersigned as promptly as practicable all the payroll deductions credited to such Participant’s account with respect to such Offering Period. The undersigned understands and agrees that such Participant’s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276860</wp:posOffset>
            </wp:positionV>
            <wp:extent cx="54864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568325</wp:posOffset>
            </wp:positionV>
            <wp:extent cx="54864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859790</wp:posOffset>
            </wp:positionV>
            <wp:extent cx="54864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276860</wp:posOffset>
            </wp:positionV>
            <wp:extent cx="54864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-13970</wp:posOffset>
            </wp:positionV>
            <wp:extent cx="1828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OPEN MARKET SALE AGREEMENT</w:t>
      </w:r>
      <w:r>
        <w:rPr>
          <w:rFonts w:ascii="Times New Roman" w:cs="Times New Roman" w:eastAsia="Times New Roman" w:hAnsi="Times New Roman"/>
          <w:sz w:val="28"/>
          <w:szCs w:val="28"/>
          <w:b w:val="1"/>
          <w:bCs w:val="1"/>
          <w:color w:val="auto"/>
          <w:vertAlign w:val="superscript"/>
        </w:rPr>
        <w:t>SM</w:t>
      </w:r>
    </w:p>
    <w:p>
      <w:pPr>
        <w:spacing w:after="0" w:line="141"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21"/>
          <w:szCs w:val="21"/>
          <w:color w:val="auto"/>
        </w:rPr>
        <w:t>November 13,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JEFFERIES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 Madison Avenue</w:t>
      </w:r>
    </w:p>
    <w:p>
      <w:pPr>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Palladyne AI Corp.,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proposes, subject to the terms and conditions stated herein, to issue and sell from time to time through Jefferies LLC, as sales agent and/or principal (the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shares of the Company’s common stock, par value $0.0001 per share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on the terms set forth in this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 DEFINITIONS</w:t>
      </w:r>
    </w:p>
    <w:p>
      <w:pPr>
        <w:spacing w:after="0" w:line="210" w:lineRule="exact"/>
        <w:rPr>
          <w:sz w:val="20"/>
          <w:szCs w:val="20"/>
          <w:color w:val="auto"/>
        </w:rPr>
      </w:pPr>
    </w:p>
    <w:p>
      <w:pPr>
        <w:ind w:firstLine="757"/>
        <w:spacing w:after="0" w:line="258" w:lineRule="auto"/>
        <w:tabs>
          <w:tab w:leader="none" w:pos="118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For purposes of this Agreement, capitalized terms used herein and not otherwise defined shall have the following respective meanings:</w:t>
      </w:r>
    </w:p>
    <w:p>
      <w:pPr>
        <w:spacing w:after="0" w:line="15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Agency Period</w:t>
      </w:r>
      <w:r>
        <w:rPr>
          <w:rFonts w:ascii="Times New Roman" w:cs="Times New Roman" w:eastAsia="Times New Roman" w:hAnsi="Times New Roman"/>
          <w:sz w:val="22"/>
          <w:szCs w:val="22"/>
          <w:color w:val="auto"/>
        </w:rPr>
        <w:t>” means the period commencing on the date of this Agreement and expiring on the earliest to occur of</w:t>
      </w:r>
    </w:p>
    <w:p>
      <w:pPr>
        <w:spacing w:after="0" w:line="8"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Agent shall have placed the Maximum Program Amount pursuant to this Agreement and (y) the date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terminated pursuant to Section‎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-29210</wp:posOffset>
            </wp:positionV>
            <wp:extent cx="51435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means the U.S. Securities and Exchange Commission.</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of the Commission thereunder.</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Floor Price</w:t>
      </w:r>
      <w:r>
        <w:rPr>
          <w:rFonts w:ascii="Times New Roman" w:cs="Times New Roman" w:eastAsia="Times New Roman" w:hAnsi="Times New Roman"/>
          <w:sz w:val="22"/>
          <w:szCs w:val="22"/>
          <w:color w:val="auto"/>
        </w:rPr>
        <w:t>” means the minimum price set by the Company in the Issuance Notice below which the Agent shall not sell Shares during the applicable period set forth in the applicable Issuance Notice, which may be adjusted by the Company at any time during the period set forth in the applicable Issuance Notice by delivering written notice of such change to the Agent and which in no event shall be less than $1.00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9" w:name="page90"/>
    <w:bookmarkEnd w:id="89"/>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Amount</w:t>
      </w:r>
      <w:r>
        <w:rPr>
          <w:rFonts w:ascii="Times New Roman" w:cs="Times New Roman" w:eastAsia="Times New Roman" w:hAnsi="Times New Roman"/>
          <w:sz w:val="22"/>
          <w:szCs w:val="22"/>
          <w:color w:val="auto"/>
        </w:rPr>
        <w:t>” means the aggregate Sales Price of the Shares to be sold by the Agent pursuant to any Issuance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w:t>
      </w:r>
    </w:p>
    <w:p>
      <w:pPr>
        <w:spacing w:after="0" w:line="178"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Notice</w:t>
      </w:r>
      <w:r>
        <w:rPr>
          <w:rFonts w:ascii="Times New Roman" w:cs="Times New Roman" w:eastAsia="Times New Roman" w:hAnsi="Times New Roman"/>
          <w:sz w:val="22"/>
          <w:szCs w:val="22"/>
          <w:color w:val="auto"/>
        </w:rPr>
        <w:t xml:space="preserve">” means a written notice delivered to the Agent by the Company in accordance with this Agreement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that is executed by its Chief Executive Officer, President or Chief Financial Officer.</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Notice Date</w:t>
      </w:r>
      <w:r>
        <w:rPr>
          <w:rFonts w:ascii="Times New Roman" w:cs="Times New Roman" w:eastAsia="Times New Roman" w:hAnsi="Times New Roman"/>
          <w:sz w:val="22"/>
          <w:szCs w:val="22"/>
          <w:color w:val="auto"/>
        </w:rPr>
        <w:t>” means any Trading Day during the Agency Period that an Issuance Notice is delivered pursuant to ‎Section 3(b)(i).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-46990</wp:posOffset>
            </wp:positionV>
            <wp:extent cx="80391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803910" cy="8890"/>
                    </a:xfrm>
                    <a:prstGeom prst="rect">
                      <a:avLst/>
                    </a:prstGeom>
                    <a:noFill/>
                  </pic:spPr>
                </pic:pic>
              </a:graphicData>
            </a:graphic>
          </wp:anchor>
        </w:drawing>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Price</w:t>
      </w:r>
      <w:r>
        <w:rPr>
          <w:rFonts w:ascii="Times New Roman" w:cs="Times New Roman" w:eastAsia="Times New Roman" w:hAnsi="Times New Roman"/>
          <w:sz w:val="22"/>
          <w:szCs w:val="22"/>
          <w:color w:val="auto"/>
        </w:rPr>
        <w:t>” means the Sales Price less the Selling Commission.</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Program Amount</w:t>
      </w:r>
      <w:r>
        <w:rPr>
          <w:rFonts w:ascii="Times New Roman" w:cs="Times New Roman" w:eastAsia="Times New Roman" w:hAnsi="Times New Roman"/>
          <w:sz w:val="22"/>
          <w:szCs w:val="22"/>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spacing w:after="0" w:line="17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or a corporation, partnership, limited liability company, trust, incorporated or unincorporated association, joint venture, joint stock company, governmental authority or other entity of any kind.</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Principal Market</w:t>
      </w:r>
      <w:r>
        <w:rPr>
          <w:rFonts w:ascii="Times New Roman" w:cs="Times New Roman" w:eastAsia="Times New Roman" w:hAnsi="Times New Roman"/>
          <w:sz w:val="22"/>
          <w:szCs w:val="22"/>
          <w:color w:val="auto"/>
        </w:rPr>
        <w:t>” means the Nasdaq Global Market or such other national securities exchange on which the Common Shares, including any Shares, are then listed.</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462(b) Registration Statement</w:t>
      </w:r>
      <w:r>
        <w:rPr>
          <w:rFonts w:ascii="Times New Roman" w:cs="Times New Roman" w:eastAsia="Times New Roman" w:hAnsi="Times New Roman"/>
          <w:sz w:val="22"/>
          <w:szCs w:val="22"/>
          <w:color w:val="auto"/>
        </w:rPr>
        <w:t>” means any registration statement filed by the Company pursuant to Rule 462(b) under the Securities Act in connection with the offer and sale of Shares.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Sales Price</w:t>
      </w:r>
      <w:r>
        <w:rPr>
          <w:rFonts w:ascii="Times New Roman" w:cs="Times New Roman" w:eastAsia="Times New Roman" w:hAnsi="Times New Roman"/>
          <w:sz w:val="22"/>
          <w:szCs w:val="22"/>
          <w:color w:val="auto"/>
        </w:rPr>
        <w:t>” means the actual sale execution price of each Share placed by the Agent pursuant to this Agreement.</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 as amended, and the rules and regulations of the Commission thereunder.</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Selling Commission</w:t>
      </w:r>
      <w:r>
        <w:rPr>
          <w:rFonts w:ascii="Times New Roman" w:cs="Times New Roman" w:eastAsia="Times New Roman" w:hAnsi="Times New Roman"/>
          <w:sz w:val="22"/>
          <w:szCs w:val="22"/>
          <w:color w:val="auto"/>
        </w:rPr>
        <w:t>” means three percent (3%) of the gross proceeds of Shares sold pursuant to this Agreement, or as otherwise agreed between the Company and the Agent with respect to any Shares sold pursuant to this Agreement.</w:t>
      </w:r>
    </w:p>
    <w:p>
      <w:pPr>
        <w:spacing w:after="0" w:line="150" w:lineRule="exact"/>
        <w:rPr>
          <w:sz w:val="20"/>
          <w:szCs w:val="20"/>
          <w:color w:val="auto"/>
        </w:rPr>
      </w:pPr>
    </w:p>
    <w:p>
      <w:pPr>
        <w:jc w:val="both"/>
        <w:ind w:right="20" w:firstLine="74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Settlement Date</w:t>
      </w:r>
      <w:r>
        <w:rPr>
          <w:rFonts w:ascii="Times New Roman" w:cs="Times New Roman" w:eastAsia="Times New Roman" w:hAnsi="Times New Roman"/>
          <w:sz w:val="21"/>
          <w:szCs w:val="21"/>
          <w:color w:val="auto"/>
        </w:rPr>
        <w:t>” means the first business day following each Trading Day during the period set forth in the applicable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means the Company’s Common Shares issued or issuable pursuant to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any day on which the Principal Market is open for trading.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REPRESENTATIONS AND WARRANTIES OF THE COMPANY</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Company represents and warrants to, and agrees with, the Agent that, unless such representation, warranty or agreement specifies a different date, as of (1) the date of this Agreement, (2) each Issuance Notice Date, (3) each Settlement Date, (4) each Triggering Event Date (as defined below) with respect to which the Company is required to deliver a certificate pursuant to Section 4(o) and (5) as of each Time of Sale (as defined below) (each of the times referenced above is referred to herein as a “</w:t>
      </w:r>
      <w:r>
        <w:rPr>
          <w:rFonts w:ascii="Times New Roman" w:cs="Times New Roman" w:eastAsia="Times New Roman" w:hAnsi="Times New Roman"/>
          <w:sz w:val="22"/>
          <w:szCs w:val="22"/>
          <w:b w:val="1"/>
          <w:bCs w:val="1"/>
          <w:color w:val="auto"/>
        </w:rPr>
        <w:t>Representation Date</w:t>
      </w:r>
      <w:r>
        <w:rPr>
          <w:rFonts w:ascii="Times New Roman" w:cs="Times New Roman" w:eastAsia="Times New Roman" w:hAnsi="Times New Roman"/>
          <w:sz w:val="22"/>
          <w:szCs w:val="22"/>
          <w:color w:val="auto"/>
        </w:rPr>
        <w:t>”), except as may be disclosed in the Prospectus (including any documents incorporated by reference therein and any supplements thereto) on or before a Representation Date:</w:t>
      </w:r>
    </w:p>
    <w:p>
      <w:pPr>
        <w:spacing w:after="0" w:line="181" w:lineRule="exact"/>
        <w:rPr>
          <w:sz w:val="20"/>
          <w:szCs w:val="20"/>
          <w:color w:val="auto"/>
        </w:rPr>
      </w:pPr>
    </w:p>
    <w:p>
      <w:pPr>
        <w:jc w:val="both"/>
        <w:ind w:firstLine="757"/>
        <w:spacing w:after="0" w:line="232" w:lineRule="auto"/>
        <w:tabs>
          <w:tab w:leader="none" w:pos="104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The Company has prepared and filed with the Commission a shelf registration statement on Form S-3 (File No. 333-268399) that contains a base prospectus.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shall refer to such revised prospectus from and after the time it is first provided to the Agent for such use. The Registration Statement at the time it originally became effective is herein called the “</w:t>
      </w:r>
      <w:r>
        <w:rPr>
          <w:rFonts w:ascii="Times New Roman" w:cs="Times New Roman" w:eastAsia="Times New Roman" w:hAnsi="Times New Roman"/>
          <w:sz w:val="22"/>
          <w:szCs w:val="22"/>
          <w:b w:val="1"/>
          <w:bCs w:val="1"/>
          <w:color w:val="auto"/>
        </w:rPr>
        <w:t>Original Registration Statement</w:t>
      </w:r>
      <w:r>
        <w:rPr>
          <w:rFonts w:ascii="Times New Roman" w:cs="Times New Roman" w:eastAsia="Times New Roman" w:hAnsi="Times New Roman"/>
          <w:sz w:val="22"/>
          <w:szCs w:val="22"/>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8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All references in this Agreement to financial statements and schedules and other information which is “contained,” “included,” “stated” or “part of”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EDGAR.</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At the time the Registration Statement was or will be originally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80" w:lineRule="exact"/>
        <w:rPr>
          <w:sz w:val="20"/>
          <w:szCs w:val="20"/>
          <w:color w:val="auto"/>
        </w:rPr>
      </w:pPr>
    </w:p>
    <w:p>
      <w:pPr>
        <w:jc w:val="both"/>
        <w:ind w:firstLine="757"/>
        <w:spacing w:after="0" w:line="252" w:lineRule="auto"/>
        <w:tabs>
          <w:tab w:leader="none" w:pos="1055"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Registration Requirements</w:t>
      </w:r>
      <w:r>
        <w:rPr>
          <w:rFonts w:ascii="Times New Roman" w:cs="Times New Roman" w:eastAsia="Times New Roman" w:hAnsi="Times New Roman"/>
          <w:sz w:val="21"/>
          <w:szCs w:val="21"/>
          <w:color w:val="auto"/>
        </w:rPr>
        <w:t>. The Original Registration Statement has been declared effective by the Commission under the Securities Act and any Rule 462(b) Registration Statement will be declared effective by the Commission under the Securities Act prior to the first Issuance Notice.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p>
    <w:p>
      <w:pPr>
        <w:spacing w:after="0" w:line="166" w:lineRule="exact"/>
        <w:rPr>
          <w:sz w:val="20"/>
          <w:szCs w:val="20"/>
          <w:color w:val="auto"/>
        </w:rPr>
      </w:pPr>
    </w:p>
    <w:p>
      <w:pPr>
        <w:jc w:val="both"/>
        <w:ind w:firstLine="749"/>
        <w:spacing w:after="0" w:line="246" w:lineRule="exact"/>
        <w:rPr>
          <w:sz w:val="20"/>
          <w:szCs w:val="20"/>
          <w:color w:val="auto"/>
        </w:rPr>
      </w:pPr>
      <w:r>
        <w:rPr>
          <w:rFonts w:ascii="Times New Roman" w:cs="Times New Roman" w:eastAsia="Times New Roman" w:hAnsi="Times New Roman"/>
          <w:sz w:val="22"/>
          <w:szCs w:val="22"/>
          <w:color w:val="auto"/>
        </w:rPr>
        <w:t>The Prospectus when filed complied, and at each Representation Date will comply, in all material respects with the Securities Act and, if filed with the Commission through its Electronic Data Gathering, Analysis and Retrieval system (“</w:t>
      </w:r>
      <w:r>
        <w:rPr>
          <w:rFonts w:ascii="Times New Roman" w:cs="Times New Roman" w:eastAsia="Times New Roman" w:hAnsi="Times New Roman"/>
          <w:sz w:val="22"/>
          <w:szCs w:val="22"/>
          <w:b w:val="1"/>
          <w:bCs w:val="1"/>
          <w:color w:val="auto"/>
        </w:rPr>
        <w:t>EDGAR</w:t>
      </w:r>
      <w:r>
        <w:rPr>
          <w:rFonts w:ascii="Times New Roman" w:cs="Times New Roman" w:eastAsia="Times New Roman" w:hAnsi="Times New Roman"/>
          <w:sz w:val="22"/>
          <w:szCs w:val="22"/>
          <w:color w:val="auto"/>
        </w:rPr>
        <w:t>”) (except as may be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 w:cs="Times New Roman" w:eastAsia="Times New Roman" w:hAnsi="Times New Roman"/>
          <w:sz w:val="22"/>
          <w:szCs w:val="22"/>
          <w:b w:val="1"/>
          <w:bCs w:val="1"/>
          <w:color w:val="auto"/>
        </w:rPr>
        <w:t>Time of Sale Information</w:t>
      </w:r>
      <w:r>
        <w:rPr>
          <w:rFonts w:ascii="Times New Roman" w:cs="Times New Roman" w:eastAsia="Times New Roman" w:hAnsi="Times New Roman"/>
          <w:sz w:val="22"/>
          <w:szCs w:val="22"/>
          <w:color w:val="auto"/>
        </w:rPr>
        <w:t>”) did not contain any untrue statement of a material fact or omit to state a material fact necessary to make the statements therein, in light of the circumstances under which they were made, not misleading. The Prospectus, as amended or supplemented, as of its date, at each Representation Date and at all times between the delivery of an Issuance Notice and completion of the issuance of Shares pursuant thereto, did not and will not contain any untrue statement of a material fact or omit to state a material fact necessary in order to make the statements therein, in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information furnished by the Agent to the Company consists of the Agent Information (defined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180" w:lineRule="exact"/>
        <w:rPr>
          <w:sz w:val="20"/>
          <w:szCs w:val="20"/>
          <w:color w:val="auto"/>
        </w:rPr>
      </w:pPr>
    </w:p>
    <w:p>
      <w:pPr>
        <w:jc w:val="both"/>
        <w:ind w:firstLine="757"/>
        <w:spacing w:after="0" w:line="233" w:lineRule="auto"/>
        <w:tabs>
          <w:tab w:leader="none" w:pos="106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Ineligible Issuer Status</w:t>
      </w:r>
      <w:r>
        <w:rPr>
          <w:rFonts w:ascii="Times New Roman" w:cs="Times New Roman" w:eastAsia="Times New Roman" w:hAnsi="Times New Roman"/>
          <w:sz w:val="22"/>
          <w:szCs w:val="22"/>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at each subsequent Representation Date and at all subsequent times between the delivery of an Issuance Notice and completion of the issuance of Shares pursuant thereto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you before first use, the Company has not prepared, used or referred to, and will not, without your prior consent, prepare, use or refer to, any Free Writing Prospectus.</w:t>
      </w:r>
    </w:p>
    <w:p>
      <w:pPr>
        <w:spacing w:after="0" w:line="182" w:lineRule="exact"/>
        <w:rPr>
          <w:rFonts w:ascii="Times New Roman" w:cs="Times New Roman" w:eastAsia="Times New Roman" w:hAnsi="Times New Roman"/>
          <w:sz w:val="22"/>
          <w:szCs w:val="22"/>
          <w:color w:val="auto"/>
        </w:rPr>
      </w:pPr>
    </w:p>
    <w:p>
      <w:pPr>
        <w:ind w:right="20" w:firstLine="757"/>
        <w:spacing w:after="0" w:line="258" w:lineRule="auto"/>
        <w:tabs>
          <w:tab w:leader="none" w:pos="106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Emerging Growth Company Status</w:t>
      </w:r>
      <w:r>
        <w:rPr>
          <w:rFonts w:ascii="Times New Roman" w:cs="Times New Roman" w:eastAsia="Times New Roman" w:hAnsi="Times New Roman"/>
          <w:sz w:val="22"/>
          <w:szCs w:val="22"/>
          <w:color w:val="auto"/>
        </w:rPr>
        <w:t>. The Company is an “emerging growth company,” as defined in Section 2(a) of the Securities Act (an “</w:t>
      </w:r>
      <w:r>
        <w:rPr>
          <w:rFonts w:ascii="Times New Roman" w:cs="Times New Roman" w:eastAsia="Times New Roman" w:hAnsi="Times New Roman"/>
          <w:sz w:val="22"/>
          <w:szCs w:val="22"/>
          <w:b w:val="1"/>
          <w:bCs w:val="1"/>
          <w:color w:val="auto"/>
        </w:rPr>
        <w:t>Emerging Growth Company</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757"/>
        <w:spacing w:after="0" w:line="238" w:lineRule="auto"/>
        <w:tabs>
          <w:tab w:leader="none" w:pos="104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Incorporated Documents</w:t>
      </w:r>
      <w:r>
        <w:rPr>
          <w:rFonts w:ascii="Times New Roman" w:cs="Times New Roman" w:eastAsia="Times New Roman" w:hAnsi="Times New Roman"/>
          <w:sz w:val="22"/>
          <w:szCs w:val="22"/>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07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Act Compliance</w:t>
      </w:r>
      <w:r>
        <w:rPr>
          <w:rFonts w:ascii="Times New Roman" w:cs="Times New Roman" w:eastAsia="Times New Roman" w:hAnsi="Times New Roman"/>
          <w:sz w:val="22"/>
          <w:szCs w:val="22"/>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the case may be, will not contain an untrue statement of a material fact or omit to state a material fact required to be stated therein or necessary to make the statements therein, in the light of the circumstances under which they were made, not misleading.</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50" w:lineRule="exact"/>
        <w:rPr>
          <w:sz w:val="20"/>
          <w:szCs w:val="20"/>
          <w:color w:val="auto"/>
        </w:rPr>
      </w:pPr>
    </w:p>
    <w:p>
      <w:pPr>
        <w:jc w:val="both"/>
        <w:ind w:firstLine="757"/>
        <w:spacing w:after="0" w:line="265" w:lineRule="exact"/>
        <w:tabs>
          <w:tab w:leader="none" w:pos="112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Statistical and Market-Related Data</w:t>
      </w:r>
      <w:r>
        <w:rPr>
          <w:rFonts w:ascii="Times New Roman" w:cs="Times New Roman" w:eastAsia="Times New Roman" w:hAnsi="Times New Roman"/>
          <w:sz w:val="22"/>
          <w:szCs w:val="22"/>
          <w:color w:val="auto"/>
        </w:rPr>
        <w:t>. All statistical, demographic and market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data included in the Registration Statement or the Prospectus are based on or derived from sources that the Company believes, after reasonable inquiry, to be reliable and accurate. To the extent required, the Company has obtained the written consent for the use of such data from such sources.</w:t>
      </w:r>
    </w:p>
    <w:p>
      <w:pPr>
        <w:spacing w:after="0" w:line="177" w:lineRule="exact"/>
        <w:rPr>
          <w:rFonts w:ascii="Times New Roman" w:cs="Times New Roman" w:eastAsia="Times New Roman" w:hAnsi="Times New Roman"/>
          <w:sz w:val="22"/>
          <w:szCs w:val="22"/>
          <w:color w:val="auto"/>
        </w:rPr>
      </w:pPr>
    </w:p>
    <w:p>
      <w:pPr>
        <w:jc w:val="both"/>
        <w:ind w:firstLine="757"/>
        <w:spacing w:after="0" w:line="233" w:lineRule="auto"/>
        <w:tabs>
          <w:tab w:leader="none" w:pos="105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Controls and Procedures; Deficiencies in or Changes to Internal Control Over Financial Reporting</w:t>
      </w:r>
      <w:r>
        <w:rPr>
          <w:rFonts w:ascii="Times New Roman" w:cs="Times New Roman" w:eastAsia="Times New Roman" w:hAnsi="Times New Roman"/>
          <w:sz w:val="22"/>
          <w:szCs w:val="22"/>
          <w:color w:val="auto"/>
        </w:rPr>
        <w:t>.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8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This Agreement</w:t>
      </w:r>
      <w:r>
        <w:rPr>
          <w:rFonts w:ascii="Times New Roman" w:cs="Times New Roman" w:eastAsia="Times New Roman" w:hAnsi="Times New Roman"/>
          <w:sz w:val="22"/>
          <w:szCs w:val="22"/>
          <w:color w:val="auto"/>
        </w:rPr>
        <w:t>. This Agreement has been duly authorized, executed and delivered by the Company.</w:t>
      </w:r>
    </w:p>
    <w:p>
      <w:pPr>
        <w:spacing w:after="0" w:line="206" w:lineRule="exact"/>
        <w:rPr>
          <w:rFonts w:ascii="Times New Roman" w:cs="Times New Roman" w:eastAsia="Times New Roman" w:hAnsi="Times New Roman"/>
          <w:sz w:val="22"/>
          <w:szCs w:val="22"/>
          <w:color w:val="auto"/>
        </w:rPr>
      </w:pPr>
    </w:p>
    <w:p>
      <w:pPr>
        <w:jc w:val="both"/>
        <w:ind w:firstLine="757"/>
        <w:spacing w:after="0" w:line="238" w:lineRule="auto"/>
        <w:tabs>
          <w:tab w:leader="none" w:pos="100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of the Shares</w:t>
      </w:r>
      <w:r>
        <w:rPr>
          <w:rFonts w:ascii="Times New Roman" w:cs="Times New Roman" w:eastAsia="Times New Roman" w:hAnsi="Times New Roman"/>
          <w:sz w:val="22"/>
          <w:szCs w:val="22"/>
          <w:color w:val="auto"/>
        </w:rPr>
        <w:t>. The Shares have been duly authorized for issuance and sale pursuant to this Agreement and, when issued and delivered by the Company against payment therefor pursuant to this Agreement, will be validly issued, fully paid and nonassessable, delivered free and clear of any security interest, mortgage, pledge, lien, encumbrance or adverse claim, and the issuance and sale of the Shares is not subject to any preemptive rights, rights of first refusal or other similar rights to subscribe for or purchase any Shares, except for such rights as have been duly waived.</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05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Applicable Registration or Other Similar Rights</w:t>
      </w:r>
      <w:r>
        <w:rPr>
          <w:rFonts w:ascii="Times New Roman" w:cs="Times New Roman" w:eastAsia="Times New Roman" w:hAnsi="Times New Roman"/>
          <w:sz w:val="22"/>
          <w:szCs w:val="22"/>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173" w:lineRule="exact"/>
        <w:rPr>
          <w:rFonts w:ascii="Times New Roman" w:cs="Times New Roman" w:eastAsia="Times New Roman" w:hAnsi="Times New Roman"/>
          <w:sz w:val="22"/>
          <w:szCs w:val="22"/>
          <w:color w:val="auto"/>
        </w:rPr>
      </w:pPr>
    </w:p>
    <w:p>
      <w:pPr>
        <w:jc w:val="both"/>
        <w:ind w:firstLine="757"/>
        <w:spacing w:after="0" w:line="235" w:lineRule="auto"/>
        <w:tabs>
          <w:tab w:leader="none" w:pos="103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Except as otherwise disclosed in the Registration Statement and the Prospectus, subsequent to the respective dates as of which information is given in the Registration Statement and the Prospectus: (i) there has been no material adverse change, or any development that could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8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(any such change being referred to herein as a “</w:t>
      </w:r>
      <w:r>
        <w:rPr>
          <w:rFonts w:ascii="Times New Roman" w:cs="Times New Roman" w:eastAsia="Times New Roman" w:hAnsi="Times New Roman"/>
          <w:sz w:val="22"/>
          <w:szCs w:val="22"/>
          <w:b w:val="1"/>
          <w:bCs w:val="1"/>
          <w:color w:val="auto"/>
        </w:rPr>
        <w:t>Material Adverse Change</w:t>
      </w:r>
      <w:r>
        <w:rPr>
          <w:rFonts w:ascii="Times New Roman" w:cs="Times New Roman" w:eastAsia="Times New Roman" w:hAnsi="Times New Roman"/>
          <w:sz w:val="22"/>
          <w:szCs w:val="22"/>
          <w:color w:val="auto"/>
        </w:rPr>
        <w:t>”); (ii) the Company and its subsidiaries, considered as one entity, have not incurred any material liability or obligation, indirect, direct or contingent, including without limitation any losses or interference with their business from pandemics,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183" w:lineRule="exact"/>
        <w:rPr>
          <w:sz w:val="20"/>
          <w:szCs w:val="20"/>
          <w:color w:val="auto"/>
        </w:rPr>
      </w:pPr>
    </w:p>
    <w:p>
      <w:pPr>
        <w:jc w:val="both"/>
        <w:ind w:firstLine="757"/>
        <w:spacing w:after="0" w:line="233" w:lineRule="auto"/>
        <w:tabs>
          <w:tab w:leader="none" w:pos="111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Accountants</w:t>
      </w:r>
      <w:r>
        <w:rPr>
          <w:rFonts w:ascii="Times New Roman" w:cs="Times New Roman" w:eastAsia="Times New Roman" w:hAnsi="Times New Roman"/>
          <w:sz w:val="22"/>
          <w:szCs w:val="22"/>
          <w:color w:val="auto"/>
        </w:rPr>
        <w:t>. Each of (a) KPMG LLP, which has reviewed certain interim financial statements (which term as used in this Agreement includes the related notes thereto) filed with the Commission as a part of the Registration Statement and the Prospectus and (b) Ernst &amp; Young LLP, which has expressed its opinion with respect to the financial statements filed with the Commission as a part of the Registration Statement and the Prospectus, is, to the knowledge of the Company, (i) 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22"/>
          <w:szCs w:val="22"/>
          <w:b w:val="1"/>
          <w:bCs w:val="1"/>
          <w:color w:val="auto"/>
        </w:rPr>
        <w:t>PCAOB</w:t>
      </w:r>
      <w:r>
        <w:rPr>
          <w:rFonts w:ascii="Times New Roman" w:cs="Times New Roman" w:eastAsia="Times New Roman" w:hAnsi="Times New Roman"/>
          <w:sz w:val="22"/>
          <w:szCs w:val="22"/>
          <w:color w:val="auto"/>
        </w:rPr>
        <w:t>”), (ii) in compliance with the applicable requirements relating to the qualification of accountants under Rule 2-01 of Regulation S-X under the Securities Act; (iii) a registered public accounting firm as defined by the PCAOB whose registration has not been suspended or revoked and who has not requested such registration to be withdrawn and (iv) a registered public accounting firm (as defined in Section 2(a)(12) of the Sarbanes-Oxley Act of 2002, as amended (the “</w:t>
      </w:r>
      <w:r>
        <w:rPr>
          <w:rFonts w:ascii="Times New Roman" w:cs="Times New Roman" w:eastAsia="Times New Roman" w:hAnsi="Times New Roman"/>
          <w:sz w:val="22"/>
          <w:szCs w:val="22"/>
          <w:b w:val="1"/>
          <w:bCs w:val="1"/>
          <w:color w:val="auto"/>
        </w:rPr>
        <w:t>Sarbanes-Oxley Act</w:t>
      </w:r>
      <w:r>
        <w:rPr>
          <w:rFonts w:ascii="Times New Roman" w:cs="Times New Roman" w:eastAsia="Times New Roman" w:hAnsi="Times New Roman"/>
          <w:sz w:val="22"/>
          <w:szCs w:val="22"/>
          <w:color w:val="auto"/>
        </w:rPr>
        <w:t>”), and is not in violation of the auditor independence requirements of the Sarbanes-Oxley Act.</w:t>
      </w:r>
    </w:p>
    <w:p>
      <w:pPr>
        <w:spacing w:after="0" w:line="187" w:lineRule="exact"/>
        <w:rPr>
          <w:rFonts w:ascii="Times New Roman" w:cs="Times New Roman" w:eastAsia="Times New Roman" w:hAnsi="Times New Roman"/>
          <w:sz w:val="22"/>
          <w:szCs w:val="22"/>
          <w:color w:val="auto"/>
        </w:rPr>
      </w:pPr>
    </w:p>
    <w:p>
      <w:pPr>
        <w:jc w:val="both"/>
        <w:ind w:firstLine="757"/>
        <w:spacing w:after="0" w:line="244" w:lineRule="auto"/>
        <w:tabs>
          <w:tab w:leader="none" w:pos="105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The financial statements filed with the Commission as a part of the Registration Statement and the Prospectus present fairly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The financial data set forth in each of the Registration Statement and the Prospectus fairly present, in all material respects, the information set forth therein on a basis consistent with that of the audited financial statements contained in the Registration Statement and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85" w:lineRule="exact"/>
        <w:rPr>
          <w:sz w:val="20"/>
          <w:szCs w:val="20"/>
          <w:color w:val="auto"/>
        </w:rPr>
      </w:pPr>
    </w:p>
    <w:p>
      <w:pPr>
        <w:jc w:val="both"/>
        <w:ind w:firstLine="757"/>
        <w:spacing w:after="0" w:line="235" w:lineRule="auto"/>
        <w:tabs>
          <w:tab w:leader="none" w:pos="106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Accounting System</w:t>
      </w:r>
      <w:r>
        <w:rPr>
          <w:rFonts w:ascii="Times New Roman" w:cs="Times New Roman" w:eastAsia="Times New Roman" w:hAnsi="Times New Roman"/>
          <w:sz w:val="22"/>
          <w:szCs w:val="22"/>
          <w:color w:val="auto"/>
        </w:rPr>
        <w:t>. The Company and each of its subsidiaries make and keep books and records that are accurate in all material respects and maintain a system of internal accounting controls designed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9" w:lineRule="exact"/>
        <w:rPr>
          <w:rFonts w:ascii="Times New Roman" w:cs="Times New Roman" w:eastAsia="Times New Roman" w:hAnsi="Times New Roman"/>
          <w:sz w:val="22"/>
          <w:szCs w:val="22"/>
          <w:color w:val="auto"/>
        </w:rPr>
      </w:pPr>
    </w:p>
    <w:p>
      <w:pPr>
        <w:jc w:val="both"/>
        <w:ind w:firstLine="757"/>
        <w:spacing w:after="0" w:line="236" w:lineRule="auto"/>
        <w:tabs>
          <w:tab w:leader="none" w:pos="105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and Good Standing of the Company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and the Prospectus and to enter into and perform its obligations under this Agreement. The Company is duly qualified as a foreign corporation to transact business and is in good standing in the State of Utah and any other jurisdiction in which such qualification is required, whether by reason of the ownership or leasing of property or the conduct of business, except where the failure to so qualify or to be in good standing would not reasonably be expected to result in a Material Adverse Change.</w:t>
      </w:r>
    </w:p>
    <w:p>
      <w:pPr>
        <w:spacing w:after="0" w:line="179" w:lineRule="exact"/>
        <w:rPr>
          <w:rFonts w:ascii="Times New Roman" w:cs="Times New Roman" w:eastAsia="Times New Roman" w:hAnsi="Times New Roman"/>
          <w:sz w:val="22"/>
          <w:szCs w:val="22"/>
          <w:color w:val="auto"/>
        </w:rPr>
      </w:pPr>
    </w:p>
    <w:p>
      <w:pPr>
        <w:jc w:val="both"/>
        <w:ind w:firstLine="757"/>
        <w:spacing w:after="0" w:line="247" w:lineRule="exact"/>
        <w:tabs>
          <w:tab w:leader="none" w:pos="106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xml:space="preserve"> Each of the Company’s “subsidiaries” (for purposes of this Agreement, ”subsidiary” shall have the meaning given to “significant subsidiary” under Item 1-02(w) of Regulation S-X)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and the Prospectus, except where the failure to so qualify or to be in good standing would not reasonably be expected to result in a Material Adverse Change.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be in good standing would not reasonably be expected, individually or in the aggregate, to result in a Material Adverse Change.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that would be considered a “significant subsidiary” under Item 1-02(w) of Regulation S-K other than the subsidiaries listed in Exhibit 21 to the Company’s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for the previously completed fiscal year.</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85" w:lineRule="exact"/>
        <w:rPr>
          <w:sz w:val="20"/>
          <w:szCs w:val="20"/>
          <w:color w:val="auto"/>
        </w:rPr>
      </w:pPr>
    </w:p>
    <w:p>
      <w:pPr>
        <w:jc w:val="both"/>
        <w:ind w:firstLine="757"/>
        <w:spacing w:after="0" w:line="233" w:lineRule="auto"/>
        <w:tabs>
          <w:tab w:leader="none" w:pos="101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Capitalization and Other Capital Stock Matters</w:t>
      </w:r>
      <w:r>
        <w:rPr>
          <w:rFonts w:ascii="Times New Roman" w:cs="Times New Roman" w:eastAsia="Times New Roman" w:hAnsi="Times New Roman"/>
          <w:sz w:val="22"/>
          <w:szCs w:val="22"/>
          <w:color w:val="auto"/>
        </w:rPr>
        <w:t>. The authorized, issued and outstanding capital stock of the Company is as set forth in the Registration Statement and the Prospectus under the caption “Description of Capital Stock” (other than for subsequent issuances, if any, pursuant to employee benefit plans described in the Prospectus or upon the exercise of outstanding options or warrants, in each case described in the Registration Statement and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all federal and state securities laws. None of the outstanding Common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presents in all material respects the information required to be shown with respect to such plans, arrangements, options and rights.</w:t>
      </w:r>
    </w:p>
    <w:p>
      <w:pPr>
        <w:spacing w:after="0" w:line="179" w:lineRule="exact"/>
        <w:rPr>
          <w:rFonts w:ascii="Times New Roman" w:cs="Times New Roman" w:eastAsia="Times New Roman" w:hAnsi="Times New Roman"/>
          <w:sz w:val="22"/>
          <w:szCs w:val="22"/>
          <w:color w:val="auto"/>
        </w:rPr>
      </w:pPr>
    </w:p>
    <w:p>
      <w:pPr>
        <w:jc w:val="both"/>
        <w:ind w:firstLine="757"/>
        <w:spacing w:after="0" w:line="236" w:lineRule="auto"/>
        <w:tabs>
          <w:tab w:leader="none" w:pos="103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Exchange Listing</w:t>
      </w:r>
      <w:r>
        <w:rPr>
          <w:rFonts w:ascii="Times New Roman" w:cs="Times New Roman" w:eastAsia="Times New Roman" w:hAnsi="Times New Roman"/>
          <w:sz w:val="22"/>
          <w:szCs w:val="22"/>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81" w:lineRule="exact"/>
        <w:rPr>
          <w:rFonts w:ascii="Times New Roman" w:cs="Times New Roman" w:eastAsia="Times New Roman" w:hAnsi="Times New Roman"/>
          <w:sz w:val="22"/>
          <w:szCs w:val="22"/>
          <w:color w:val="auto"/>
        </w:rPr>
      </w:pPr>
    </w:p>
    <w:p>
      <w:pPr>
        <w:jc w:val="both"/>
        <w:ind w:firstLine="757"/>
        <w:spacing w:after="0" w:line="247" w:lineRule="exact"/>
        <w:tabs>
          <w:tab w:leader="none" w:pos="100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Non-Contravention of Existing Instruments; No Further Authorizations or Approvals Required</w:t>
      </w:r>
      <w:r>
        <w:rPr>
          <w:rFonts w:ascii="Times New Roman" w:cs="Times New Roman" w:eastAsia="Times New Roman" w:hAnsi="Times New Roman"/>
          <w:sz w:val="22"/>
          <w:szCs w:val="22"/>
          <w:color w:val="auto"/>
        </w:rPr>
        <w:t>. Neither the Company nor any of its subsidiaries is in violation of its charter or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partnership agreement or operating agreement or similar organizational documents, as applicable, or is in default (or, with the giving of notice or lapse of time, would be in default) (“</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cs="Times New Roman" w:eastAsia="Times New Roman" w:hAnsi="Times New Roman"/>
          <w:sz w:val="22"/>
          <w:szCs w:val="22"/>
          <w:b w:val="1"/>
          <w:bCs w:val="1"/>
          <w:color w:val="auto"/>
        </w:rPr>
        <w:t>Existing Instrument</w:t>
      </w:r>
      <w:r>
        <w:rPr>
          <w:rFonts w:ascii="Times New Roman" w:cs="Times New Roman" w:eastAsia="Times New Roman" w:hAnsi="Times New Roman"/>
          <w:sz w:val="22"/>
          <w:szCs w:val="22"/>
          <w:color w:val="auto"/>
        </w:rPr>
        <w:t>”), except for such Defaults as could not be expected, individually or in the aggregate, to result in a Material Adverse Change. The Company’s execution, delivery and performance of this Agreement,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“Use of Proceeds”) (i) have been duly authorized by all necessary corporate action and will not result in any violation of the provisions of the charter or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of its subsidiaries pursuant to, or require the consent of any other party to, any Existing Instrument and (iii) will not result in any violation of any law, administrative regulation or administrative or court decree applicable to the Company or any of its subsidiaries, except where such violation would not reasonably be expected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by the Company and are in full force and effect under the Securities Act and such as may be required under applicable state securities or blue sky laws or FINRA (as defined below). As used herein, a “</w:t>
      </w:r>
      <w:r>
        <w:rPr>
          <w:rFonts w:ascii="Times New Roman" w:cs="Times New Roman" w:eastAsia="Times New Roman" w:hAnsi="Times New Roman"/>
          <w:sz w:val="22"/>
          <w:szCs w:val="22"/>
          <w:b w:val="1"/>
          <w:bCs w:val="1"/>
          <w:color w:val="auto"/>
        </w:rPr>
        <w:t>Debt Repayment Triggering Event</w:t>
      </w:r>
      <w:r>
        <w:rPr>
          <w:rFonts w:ascii="Times New Roman" w:cs="Times New Roman" w:eastAsia="Times New Roman" w:hAnsi="Times New Roman"/>
          <w:sz w:val="22"/>
          <w:szCs w:val="22"/>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87" w:lineRule="exact"/>
        <w:rPr>
          <w:sz w:val="20"/>
          <w:szCs w:val="20"/>
          <w:color w:val="auto"/>
        </w:rPr>
      </w:pPr>
    </w:p>
    <w:p>
      <w:pPr>
        <w:jc w:val="both"/>
        <w:ind w:firstLine="757"/>
        <w:spacing w:after="0" w:line="236" w:lineRule="auto"/>
        <w:tabs>
          <w:tab w:leader="none" w:pos="108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Actions or Proceedings</w:t>
      </w:r>
      <w:r>
        <w:rPr>
          <w:rFonts w:ascii="Times New Roman" w:cs="Times New Roman" w:eastAsia="Times New Roman" w:hAnsi="Times New Roman"/>
          <w:sz w:val="22"/>
          <w:szCs w:val="22"/>
          <w:color w:val="auto"/>
        </w:rPr>
        <w:t>. Except as otherwise disclosed in the Prospectus, there is no action, suit, proceeding (including arbitration and mediation), inquiry, audit or investigation, whether civil, criminal or administrative, brought by or before any legal or governmental entity now pending or, to the knowledge of the Company, threatened, against or affecting the Company or any of its subsidiaries, which could be expected, individually or in the aggregate, to result in a Material Adverse Change. No material labor dispute with the employees of the Company or any of its subsidiaries exists or, to the knowledge of the Company, is threatened or imminent.</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05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Suppliers, Customers, Partners and Distributors</w:t>
      </w:r>
      <w:r>
        <w:rPr>
          <w:rFonts w:ascii="Times New Roman" w:cs="Times New Roman" w:eastAsia="Times New Roman" w:hAnsi="Times New Roman"/>
          <w:sz w:val="22"/>
          <w:szCs w:val="22"/>
          <w:color w:val="auto"/>
        </w:rPr>
        <w:t>. No supplier, customer, partner or distributor of the Company or any of its subsidiaries has notified the Company or any of its subsidiaries that it intends to discontinue or decrease the rate of business done with the Company or any of its subsidiaries, except where such discontinuation or decrease has not resulted in and could not reasonably be expected to result in a Material Adverse Change.</w:t>
      </w:r>
    </w:p>
    <w:p>
      <w:pPr>
        <w:spacing w:after="0" w:line="180" w:lineRule="exact"/>
        <w:rPr>
          <w:rFonts w:ascii="Times New Roman" w:cs="Times New Roman" w:eastAsia="Times New Roman" w:hAnsi="Times New Roman"/>
          <w:sz w:val="22"/>
          <w:szCs w:val="22"/>
          <w:color w:val="auto"/>
        </w:rPr>
      </w:pPr>
    </w:p>
    <w:p>
      <w:pPr>
        <w:jc w:val="both"/>
        <w:ind w:firstLine="757"/>
        <w:spacing w:after="0" w:line="245" w:lineRule="auto"/>
        <w:tabs>
          <w:tab w:leader="none" w:pos="113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Intellectual Property Rights</w:t>
      </w:r>
      <w:r>
        <w:rPr>
          <w:rFonts w:ascii="Times New Roman" w:cs="Times New Roman" w:eastAsia="Times New Roman" w:hAnsi="Times New Roman"/>
          <w:sz w:val="21"/>
          <w:szCs w:val="21"/>
          <w:color w:val="auto"/>
        </w:rPr>
        <w:t>. Except as otherwise disclosed in the Registration Statement or the Prospectus, the Company and its subsidiaries own, or have obtained valid and enforceable licenses for, the inventions, patent applications, patents, trademarks, trade names, service names, copyrights, trade secrets and other intellectual property described in the Registration Statement and the Prospectus as being owned or licensed by them or which are necessary for the conduct of their respective businesses in the manner described in the Registration Statement and the Prospectus (collectively, “</w:t>
      </w:r>
      <w:r>
        <w:rPr>
          <w:rFonts w:ascii="Times New Roman" w:cs="Times New Roman" w:eastAsia="Times New Roman" w:hAnsi="Times New Roman"/>
          <w:sz w:val="21"/>
          <w:szCs w:val="21"/>
          <w:b w:val="1"/>
          <w:bCs w:val="1"/>
          <w:color w:val="auto"/>
        </w:rPr>
        <w:t>Intellectual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Property</w:t>
      </w:r>
      <w:r>
        <w:rPr>
          <w:rFonts w:ascii="Times New Roman" w:cs="Times New Roman" w:eastAsia="Times New Roman" w:hAnsi="Times New Roman"/>
          <w:sz w:val="21"/>
          <w:szCs w:val="21"/>
          <w:color w:val="auto"/>
        </w:rPr>
        <w:t>”) and the conduct of their respective businesses does not and will not infringe, misappropriate or otherwise conflict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material respect with any such rights of others in a manner which, if the subject of an unfavorable decision, ruling or finding, would have a material adverse effect on the Company or its subsidiaries. No material Intellectual Property of the Company has been adjudged by a court of competent jurisdiction to be invalid or unenforceable, in whole or in part, and the Company is unaware of any facts which would form a reasonable basis for any such adjudication. To the Company’s knowledge: (i) there are no third parties who have rights to any Intellectual Property owned by the Company; and (ii) there is no infringement by third parties of any material Intellectual Property, in each case in a manner which would have a material adverse effect on the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Company or its subsidiaries. There is no pending or, to the Company’s knowledge, threatened action, suit, proceeding or claim by others: (A) challenging the Company’s rights in or to any material Intellectual Property, and the Company is unaware of any facts which would form a reasonable basis for any such action, suit, proceeding or claim; (B) challenging the validity, enforceability or scope of any material Intellectual Property owned by the Company,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or the Prospectus as under development, infringe or violate, any patent, trademark, trade name, service name, copyright, trade secret or other proprietary rights of others in a manner which would have a material adverse effect on the Company or its subsidiaries, and the Company is unaware of any facts which would form a reasonable basis for any such action, suit, proceeding or claim. The Company and its subsidiaries have materially complied with the terms of each agreement pursuant to which Intellectual Property has been licensed to the Company or any subsidiary, and all such agreements are in full force and effect. To the Company’s knowledge, there are no material defects in any of the patents or patent applications included in the Intellectual Property. The Company and its subsidiaries have taken reasonable steps to protect, maintain and safeguard their material Intellectual Property, including the execution of appropriate nondisclosure, confidentiality agreements and invention assignment agreements and invention assignments with their employees, and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The duty of candor and good faith as required by the United States Patent and Trademark Office during the prosecution of the United States patents and patent applications included in the material Intellectual Property owned by the Company have been complied with; and in all foreign offices having similar requirements, all such requirements have been complied with.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w:t>
      </w:r>
    </w:p>
    <w:p>
      <w:pPr>
        <w:spacing w:after="0" w:line="177" w:lineRule="exact"/>
        <w:rPr>
          <w:sz w:val="20"/>
          <w:szCs w:val="20"/>
          <w:color w:val="auto"/>
        </w:rPr>
      </w:pPr>
    </w:p>
    <w:p>
      <w:pPr>
        <w:jc w:val="both"/>
        <w:ind w:firstLine="757"/>
        <w:spacing w:after="0" w:line="249" w:lineRule="exact"/>
        <w:tabs>
          <w:tab w:leader="none" w:pos="108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Necessary Permits, etc</w:t>
      </w:r>
      <w:r>
        <w:rPr>
          <w:rFonts w:ascii="Times New Roman" w:cs="Times New Roman" w:eastAsia="Times New Roman" w:hAnsi="Times New Roman"/>
          <w:sz w:val="22"/>
          <w:szCs w:val="22"/>
          <w:color w:val="auto"/>
        </w:rPr>
        <w:t>. Except as otherwise disclosed in the Prospectus, the Company and each subsidiary possess such valid and current certificates, authorizations, licenses, registrations or permits required by state, federal or foreign regulatory agencies or bodies to conduct their respective businesses as currently conducted and as described in the Registration Statement or the Prospectus (“</w:t>
      </w:r>
      <w:r>
        <w:rPr>
          <w:rFonts w:ascii="Times New Roman" w:cs="Times New Roman" w:eastAsia="Times New Roman" w:hAnsi="Times New Roman"/>
          <w:sz w:val="22"/>
          <w:szCs w:val="22"/>
          <w:b w:val="1"/>
          <w:bCs w:val="1"/>
          <w:color w:val="auto"/>
        </w:rPr>
        <w:t>Permits</w:t>
      </w:r>
      <w:r>
        <w:rPr>
          <w:rFonts w:ascii="Times New Roman" w:cs="Times New Roman" w:eastAsia="Times New Roman" w:hAnsi="Times New Roman"/>
          <w:sz w:val="22"/>
          <w:szCs w:val="22"/>
          <w:color w:val="auto"/>
        </w:rPr>
        <w:t>”), except where the failure to so possess would not reasonably be expected to result in a Material Adverse Change. Neither the Company nor any of its subsidiaries is in violation of, or in default under, any of the Permits or has received any notice of proceedings relating to the revocation or modification of,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compliance with, any such certificate, authorization or permit, except where such violation, default, revocation, modifiication or non-compliance would not reasonably be expected to result in a Material Adverse Change.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85" w:lineRule="exact"/>
        <w:rPr>
          <w:sz w:val="20"/>
          <w:szCs w:val="20"/>
          <w:color w:val="auto"/>
        </w:rPr>
      </w:pPr>
    </w:p>
    <w:p>
      <w:pPr>
        <w:jc w:val="both"/>
        <w:ind w:firstLine="757"/>
        <w:spacing w:after="0" w:line="253" w:lineRule="auto"/>
        <w:tabs>
          <w:tab w:leader="none" w:pos="105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Title to Properties</w:t>
      </w:r>
      <w:r>
        <w:rPr>
          <w:rFonts w:ascii="Times New Roman" w:cs="Times New Roman" w:eastAsia="Times New Roman" w:hAnsi="Times New Roman"/>
          <w:sz w:val="21"/>
          <w:szCs w:val="21"/>
          <w:color w:val="auto"/>
        </w:rPr>
        <w:t>. Except as otherwise disclosed in the Prospectus, the Company and its subsidiaries have good and marketable title to all of the real and personal property and other assets reflected as owned in the financial statements referred to</w:t>
      </w:r>
    </w:p>
    <w:p>
      <w:pPr>
        <w:jc w:val="both"/>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 Section‎ 2(n) above (or elsewhere in the Registration Statement or the Prospectus, in each case free and clear of any security interests, mortgages, liens, encumbrances, equities, adverse claims and other defects, except as would not reasonably be expected to result in a Material Adverse Change. The real property, improvements, equipment and personal property held under lease by the Company or of its subsidiary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182" w:lineRule="exact"/>
        <w:rPr>
          <w:rFonts w:ascii="Times New Roman" w:cs="Times New Roman" w:eastAsia="Times New Roman" w:hAnsi="Times New Roman"/>
          <w:sz w:val="21"/>
          <w:szCs w:val="21"/>
          <w:color w:val="auto"/>
        </w:rPr>
      </w:pPr>
    </w:p>
    <w:p>
      <w:pPr>
        <w:jc w:val="both"/>
        <w:ind w:firstLine="757"/>
        <w:spacing w:after="0" w:line="235" w:lineRule="auto"/>
        <w:tabs>
          <w:tab w:leader="none" w:pos="104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Law Compliance</w:t>
      </w:r>
      <w:r>
        <w:rPr>
          <w:rFonts w:ascii="Times New Roman" w:cs="Times New Roman" w:eastAsia="Times New Roman" w:hAnsi="Times New Roman"/>
          <w:sz w:val="22"/>
          <w:szCs w:val="22"/>
          <w:color w:val="auto"/>
        </w:rPr>
        <w:t xml:space="preserve">. The Company and its subsidiaries have filed all necessary material federal, state and foreign income and franchise tax returns or have properly requested extensions thereof and have paid all material taxes required to be paid by any of them and, if due and payable, any related or similar material assessment, fine or penalty levied against any of them except as may be being contested in good faith and by appropriate proceedings. The Company has made adequate charges, accruals and reserves in the applicable financial statements referred to in </w:t>
      </w:r>
      <w:r>
        <w:rPr>
          <w:rFonts w:ascii="Times New Roman" w:cs="Times New Roman" w:eastAsia="Times New Roman" w:hAnsi="Times New Roman"/>
          <w:sz w:val="22"/>
          <w:szCs w:val="22"/>
          <w:u w:val="single" w:color="auto"/>
          <w:color w:val="auto"/>
        </w:rPr>
        <w:t>Section 2(n)</w:t>
      </w:r>
      <w:r>
        <w:rPr>
          <w:rFonts w:ascii="Times New Roman" w:cs="Times New Roman" w:eastAsia="Times New Roman" w:hAnsi="Times New Roman"/>
          <w:sz w:val="22"/>
          <w:szCs w:val="22"/>
          <w:color w:val="auto"/>
        </w:rPr>
        <w:t xml:space="preserve"> above in respect of all material federal, state and foreign income and franchise taxes for all periods as to which the tax liability of the Company or any of its subsidiaries has not been finally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-2017395</wp:posOffset>
            </wp:positionV>
            <wp:extent cx="6826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682625" cy="8255"/>
                    </a:xfrm>
                    <a:prstGeom prst="rect">
                      <a:avLst/>
                    </a:prstGeom>
                    <a:noFill/>
                  </pic:spPr>
                </pic:pic>
              </a:graphicData>
            </a:graphic>
          </wp:anchor>
        </w:drawing>
      </w:r>
    </w:p>
    <w:p>
      <w:pPr>
        <w:spacing w:after="0" w:line="163" w:lineRule="exact"/>
        <w:rPr>
          <w:sz w:val="20"/>
          <w:szCs w:val="20"/>
          <w:color w:val="auto"/>
        </w:rPr>
      </w:pPr>
    </w:p>
    <w:p>
      <w:pPr>
        <w:jc w:val="both"/>
        <w:ind w:firstLine="757"/>
        <w:spacing w:after="0" w:line="249" w:lineRule="auto"/>
        <w:tabs>
          <w:tab w:leader="none" w:pos="113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Not an “Investment Company.”</w:t>
      </w:r>
      <w:r>
        <w:rPr>
          <w:rFonts w:ascii="Times New Roman" w:cs="Times New Roman" w:eastAsia="Times New Roman" w:hAnsi="Times New Roman"/>
          <w:sz w:val="21"/>
          <w:szCs w:val="21"/>
          <w:color w:val="auto"/>
        </w:rPr>
        <w:t xml:space="preserve"> The Company is not, and will not be, either after receipt of payment for the Shares or after the application of the proceeds therefrom as described under “Use of Proceeds” in the Registration Statement or the Prospectus, required to register as an “investment company” under the Investment Company Act of 1940, as amended (the</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“Investment Company Act”)</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1"/>
          <w:szCs w:val="21"/>
          <w:color w:val="auto"/>
        </w:rPr>
      </w:pPr>
    </w:p>
    <w:p>
      <w:pPr>
        <w:jc w:val="both"/>
        <w:ind w:firstLine="757"/>
        <w:spacing w:after="0" w:line="247" w:lineRule="auto"/>
        <w:tabs>
          <w:tab w:leader="none" w:pos="1163"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Except as otherwise disclosed in the Prospectus, 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be expected to result in a Material Adverse Change.</w:t>
      </w:r>
    </w:p>
    <w:p>
      <w:pPr>
        <w:spacing w:after="0" w:line="171" w:lineRule="exact"/>
        <w:rPr>
          <w:rFonts w:ascii="Times New Roman" w:cs="Times New Roman" w:eastAsia="Times New Roman" w:hAnsi="Times New Roman"/>
          <w:sz w:val="21"/>
          <w:szCs w:val="21"/>
          <w:color w:val="auto"/>
        </w:rPr>
      </w:pPr>
    </w:p>
    <w:p>
      <w:pPr>
        <w:jc w:val="both"/>
        <w:ind w:firstLine="757"/>
        <w:spacing w:after="0" w:line="238" w:lineRule="auto"/>
        <w:tabs>
          <w:tab w:leader="none" w:pos="116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Price Stabilization or Manipulation; Compliance with Regulation M</w:t>
      </w:r>
      <w:r>
        <w:rPr>
          <w:rFonts w:ascii="Times New Roman" w:cs="Times New Roman" w:eastAsia="Times New Roman" w:hAnsi="Times New Roman"/>
          <w:sz w:val="22"/>
          <w:szCs w:val="22"/>
          <w:color w:val="auto"/>
        </w:rPr>
        <w:t>. Neither the Company nor any of its subsidiaries has taken, directly or indirectly, any action designed to or that might cause or result in stabilization or manipulation of the price of the Common Shares or of any “reference security” (as defined in Rule 100 of Regulation M under the Exchange Act (</w:t>
      </w:r>
      <w:r>
        <w:rPr>
          <w:rFonts w:ascii="Times New Roman" w:cs="Times New Roman" w:eastAsia="Times New Roman" w:hAnsi="Times New Roman"/>
          <w:sz w:val="22"/>
          <w:szCs w:val="22"/>
          <w:b w:val="1"/>
          <w:bCs w:val="1"/>
          <w:color w:val="auto"/>
        </w:rPr>
        <w:t>“Regulation M”</w:t>
      </w:r>
      <w:r>
        <w:rPr>
          <w:rFonts w:ascii="Times New Roman" w:cs="Times New Roman" w:eastAsia="Times New Roman" w:hAnsi="Times New Roman"/>
          <w:sz w:val="22"/>
          <w:szCs w:val="22"/>
          <w:color w:val="auto"/>
        </w:rPr>
        <w:t>)) with respect to the Common Shares, whether to facilitate the sale or resale of the Shares or otherwise, and has taken no action which would directly or indirectly violate Regulation M.</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85" w:lineRule="exact"/>
        <w:rPr>
          <w:sz w:val="20"/>
          <w:szCs w:val="20"/>
          <w:color w:val="auto"/>
        </w:rPr>
      </w:pPr>
    </w:p>
    <w:p>
      <w:pPr>
        <w:jc w:val="both"/>
        <w:ind w:right="20" w:firstLine="757"/>
        <w:spacing w:after="0" w:line="244" w:lineRule="auto"/>
        <w:tabs>
          <w:tab w:leader="none" w:pos="121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Related Party Transactions</w:t>
      </w:r>
      <w:r>
        <w:rPr>
          <w:rFonts w:ascii="Times New Roman" w:cs="Times New Roman" w:eastAsia="Times New Roman" w:hAnsi="Times New Roman"/>
          <w:sz w:val="22"/>
          <w:szCs w:val="22"/>
          <w:color w:val="auto"/>
        </w:rPr>
        <w:t>. There are no business relationships or related-party transactions involving the Company or any of its subsidiaries or any other person required to be described in the Registration Statement or the Prospectus which have not been described as required.</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3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FINRA Matters</w:t>
      </w:r>
      <w:r>
        <w:rPr>
          <w:rFonts w:ascii="Times New Roman" w:cs="Times New Roman" w:eastAsia="Times New Roman" w:hAnsi="Times New Roman"/>
          <w:sz w:val="22"/>
          <w:szCs w:val="22"/>
          <w:color w:val="auto"/>
        </w:rPr>
        <w:t>. All of the information provided to the Agent or to counsel for the Agent by the Company and to the Company’s knowledge, its counsel, its officers and directors and the holders of any securities (debt or equity) or options to acquire any securities of the Company in connection with the offering of the Shares is true, complete, correct and compliant in all material respects with Financial Industry Regulatory Authority, Inc.’s (“</w:t>
      </w:r>
      <w:r>
        <w:rPr>
          <w:rFonts w:ascii="Times New Roman" w:cs="Times New Roman" w:eastAsia="Times New Roman" w:hAnsi="Times New Roman"/>
          <w:sz w:val="22"/>
          <w:szCs w:val="22"/>
          <w:b w:val="1"/>
          <w:bCs w:val="1"/>
          <w:color w:val="auto"/>
        </w:rPr>
        <w:t>FINRA</w:t>
      </w:r>
      <w:r>
        <w:rPr>
          <w:rFonts w:ascii="Times New Roman" w:cs="Times New Roman" w:eastAsia="Times New Roman" w:hAnsi="Times New Roman"/>
          <w:sz w:val="22"/>
          <w:szCs w:val="22"/>
          <w:color w:val="auto"/>
        </w:rPr>
        <w:t>”) rules and any letters, filings or other supplemental information provided to FINRA pursuant to FINRA Rules or NASD Conduct Rules is true, complete and correct in all material respects.</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12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Unlawful Contributions or Other Payments</w:t>
      </w:r>
      <w:r>
        <w:rPr>
          <w:rFonts w:ascii="Times New Roman" w:cs="Times New Roman" w:eastAsia="Times New Roman" w:hAnsi="Times New Roman"/>
          <w:sz w:val="22"/>
          <w:szCs w:val="22"/>
          <w:color w:val="auto"/>
        </w:rPr>
        <w:t>. Except as otherwise disclosed in the Prospectus, neither the Company nor any of its subsidiaries nor, to the best of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and the Prospectus.</w:t>
      </w:r>
    </w:p>
    <w:p>
      <w:pPr>
        <w:spacing w:after="0" w:line="180" w:lineRule="exact"/>
        <w:rPr>
          <w:rFonts w:ascii="Times New Roman" w:cs="Times New Roman" w:eastAsia="Times New Roman" w:hAnsi="Times New Roman"/>
          <w:sz w:val="22"/>
          <w:szCs w:val="22"/>
          <w:color w:val="auto"/>
        </w:rPr>
      </w:pPr>
    </w:p>
    <w:p>
      <w:pPr>
        <w:jc w:val="both"/>
        <w:ind w:firstLine="757"/>
        <w:spacing w:after="0" w:line="232" w:lineRule="auto"/>
        <w:tabs>
          <w:tab w:leader="none" w:pos="116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Environmental Laws</w:t>
      </w:r>
      <w:r>
        <w:rPr>
          <w:rFonts w:ascii="Times New Roman" w:cs="Times New Roman" w:eastAsia="Times New Roman" w:hAnsi="Times New Roman"/>
          <w:sz w:val="22"/>
          <w:szCs w:val="22"/>
          <w:color w:val="auto"/>
        </w:rPr>
        <w:t>. Except as described in the Prospectus and except as could not be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cs="Times New Roman" w:eastAsia="Times New Roman" w:hAnsi="Times New Roman"/>
          <w:sz w:val="22"/>
          <w:szCs w:val="22"/>
          <w:b w:val="1"/>
          <w:bCs w:val="1"/>
          <w:color w:val="auto"/>
        </w:rPr>
        <w:t>Hazardous Materials</w:t>
      </w:r>
      <w:r>
        <w:rPr>
          <w:rFonts w:ascii="Times New Roman" w:cs="Times New Roman" w:eastAsia="Times New Roman" w:hAnsi="Times New Roman"/>
          <w:sz w:val="22"/>
          <w:szCs w:val="22"/>
          <w:color w:val="auto"/>
        </w:rPr>
        <w:t>”) or to the manufacture, processing, distribution, use, treatment, storage, disposal, transport or handling of Hazardous Materials (collectively, “</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(ii) the Company and its subsidiaries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85" w:lineRule="exact"/>
        <w:rPr>
          <w:sz w:val="20"/>
          <w:szCs w:val="20"/>
          <w:color w:val="auto"/>
        </w:rPr>
      </w:pPr>
    </w:p>
    <w:p>
      <w:pPr>
        <w:jc w:val="both"/>
        <w:ind w:firstLine="757"/>
        <w:spacing w:after="0" w:line="232" w:lineRule="auto"/>
        <w:tabs>
          <w:tab w:leader="none" w:pos="117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 Compliance</w:t>
      </w:r>
      <w:r>
        <w:rPr>
          <w:rFonts w:ascii="Times New Roman" w:cs="Times New Roman" w:eastAsia="Times New Roman" w:hAnsi="Times New Roman"/>
          <w:sz w:val="22"/>
          <w:szCs w:val="22"/>
          <w:color w:val="auto"/>
        </w:rPr>
        <w:t>. Except as otherwise disclosed in the Prospectus, the Company and its subsidiaries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established or maintained by the Company, its subsidiaries or their “ERISA Affiliates” (as defined below) are in compliance in all material respects with ERISA. “</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the Company or any of its subsidiaries, any member of any group of organizations described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Sections 414(b), (c), (m) or (o) of the Internal Revenue Code of 1986, as amended, and the regulations and published interpretations thereunder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191" w:lineRule="exact"/>
        <w:rPr>
          <w:rFonts w:ascii="Times New Roman" w:cs="Times New Roman" w:eastAsia="Times New Roman" w:hAnsi="Times New Roman"/>
          <w:sz w:val="22"/>
          <w:szCs w:val="22"/>
          <w:color w:val="auto"/>
        </w:rPr>
      </w:pPr>
    </w:p>
    <w:p>
      <w:pPr>
        <w:jc w:val="both"/>
        <w:ind w:firstLine="757"/>
        <w:spacing w:after="0" w:line="244" w:lineRule="auto"/>
        <w:tabs>
          <w:tab w:leader="none" w:pos="106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Except as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0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Outstanding Loans or Other Extensions of Credit</w:t>
      </w:r>
      <w:r>
        <w:rPr>
          <w:rFonts w:ascii="Times New Roman" w:cs="Times New Roman" w:eastAsia="Times New Roman" w:hAnsi="Times New Roman"/>
          <w:sz w:val="22"/>
          <w:szCs w:val="22"/>
          <w:color w:val="auto"/>
        </w:rPr>
        <w:t>. The Company does not have any outstanding extension of credit of the Company that are prohibited under the Sarbanes-Oxley Act .</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7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Company and its subsidiaries have been and are in compliance with all applicable laws, rules and regulations, except where failure to be so in compliance would not reasonably be expected, individually or in the aggregate, to result in a Material Adverse Change.</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0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Restrictions</w:t>
      </w:r>
      <w:r>
        <w:rPr>
          <w:rFonts w:ascii="Times New Roman" w:cs="Times New Roman" w:eastAsia="Times New Roman" w:hAnsi="Times New Roman"/>
          <w:sz w:val="22"/>
          <w:szCs w:val="22"/>
          <w:color w:val="auto"/>
        </w:rPr>
        <w:t>. Except as disclosed in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28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 and Anti-Bribery Laws.</w:t>
      </w:r>
      <w:r>
        <w:rPr>
          <w:rFonts w:ascii="Times New Roman" w:cs="Times New Roman" w:eastAsia="Times New Roman" w:hAnsi="Times New Roman"/>
          <w:sz w:val="22"/>
          <w:szCs w:val="22"/>
          <w:color w:val="auto"/>
        </w:rPr>
        <w:t xml:space="preserve"> Neither the Company nor any of its subsidiaries nor any director, officer, or employee of the 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 w:cs="Times New Roman" w:eastAsia="Times New Roman" w:hAnsi="Times New Roman"/>
          <w:sz w:val="22"/>
          <w:szCs w:val="22"/>
          <w:b w:val="1"/>
          <w:bCs w:val="1"/>
          <w:color w:val="auto"/>
        </w:rPr>
        <w:t>FCPA</w:t>
      </w:r>
      <w:r>
        <w:rPr>
          <w:rFonts w:ascii="Times New Roman" w:cs="Times New Roman" w:eastAsia="Times New Roman" w:hAnsi="Times New Roman"/>
          <w:sz w:val="22"/>
          <w:szCs w:val="22"/>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continued compliance therewith.</w:t>
      </w:r>
    </w:p>
    <w:p>
      <w:pPr>
        <w:spacing w:after="0" w:line="183" w:lineRule="exact"/>
        <w:rPr>
          <w:sz w:val="20"/>
          <w:szCs w:val="20"/>
          <w:color w:val="auto"/>
        </w:rPr>
      </w:pPr>
    </w:p>
    <w:p>
      <w:pPr>
        <w:jc w:val="both"/>
        <w:ind w:firstLine="757"/>
        <w:spacing w:after="0" w:line="235" w:lineRule="auto"/>
        <w:tabs>
          <w:tab w:leader="none" w:pos="116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Money Laundering Laws</w:t>
      </w:r>
      <w:r>
        <w:rPr>
          <w:rFonts w:ascii="Times New Roman" w:cs="Times New Roman" w:eastAsia="Times New Roman" w:hAnsi="Times New Roman"/>
          <w:sz w:val="22"/>
          <w:szCs w:val="22"/>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22"/>
          <w:szCs w:val="22"/>
          <w:b w:val="1"/>
          <w:bCs w:val="1"/>
          <w:color w:val="auto"/>
        </w:rPr>
        <w:t>Money Laundering Laws</w:t>
      </w:r>
      <w:r>
        <w:rPr>
          <w:rFonts w:ascii="Times New Roman" w:cs="Times New Roman" w:eastAsia="Times New Roman" w:hAnsi="Times New Roman"/>
          <w:sz w:val="22"/>
          <w:szCs w:val="22"/>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63"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xml:space="preserve"> Neither the Company nor any of its subsidiaries, directors, officers, or employees, nor, to the knowledge of the Company, any agent, affiliate or other person acting on behalf of the Company or any of its subsidiaries is currently the subject or the target of any U.S. sanctions administered by the Office of Foreign Assets Control of the U.S. Department of the Treasury (“</w:t>
      </w:r>
      <w:r>
        <w:rPr>
          <w:rFonts w:ascii="Times New Roman" w:cs="Times New Roman" w:eastAsia="Times New Roman" w:hAnsi="Times New Roman"/>
          <w:sz w:val="21"/>
          <w:szCs w:val="21"/>
          <w:b w:val="1"/>
          <w:bCs w:val="1"/>
          <w:color w:val="auto"/>
        </w:rPr>
        <w:t>OFAC</w:t>
      </w:r>
      <w:r>
        <w:rPr>
          <w:rFonts w:ascii="Times New Roman" w:cs="Times New Roman" w:eastAsia="Times New Roman" w:hAnsi="Times New Roman"/>
          <w:sz w:val="21"/>
          <w:szCs w:val="21"/>
          <w:color w:val="auto"/>
        </w:rPr>
        <w:t>”) or the U.S. Department of State, the United Nations Security Council, the European Union, His Majesty’s Treasury of the United Kingdom, or other relevant sanctions authority (collectively, “</w:t>
      </w:r>
      <w:r>
        <w:rPr>
          <w:rFonts w:ascii="Times New Roman" w:cs="Times New Roman" w:eastAsia="Times New Roman" w:hAnsi="Times New Roman"/>
          <w:sz w:val="21"/>
          <w:szCs w:val="21"/>
          <w:b w:val="1"/>
          <w:bCs w:val="1"/>
          <w:color w:val="auto"/>
        </w:rPr>
        <w:t>Sanctions</w:t>
      </w:r>
      <w:r>
        <w:rPr>
          <w:rFonts w:ascii="Times New Roman" w:cs="Times New Roman" w:eastAsia="Times New Roman" w:hAnsi="Times New Roman"/>
          <w:sz w:val="21"/>
          <w:szCs w:val="21"/>
          <w:color w:val="auto"/>
        </w:rPr>
        <w:t>”); nor is the Company or any of its subsidiaries located, organized or resident in a country or territory that is the subject or the target of Sanctions, including, without limitation, the so-called Donetsk People’s Republic, the so-called Luhansk People’s Republic, the Crimea region and the non-government controlled areas of the Zaporizhzhia and Kherson Regions of Ukraine (or any other Covered Region of Ukraine identified pursuant to Executive Order 14065), Cuba, Iran, North Korea, and Syria;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ten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85" w:lineRule="exact"/>
        <w:rPr>
          <w:sz w:val="20"/>
          <w:szCs w:val="20"/>
          <w:color w:val="auto"/>
        </w:rPr>
      </w:pPr>
    </w:p>
    <w:p>
      <w:pPr>
        <w:jc w:val="both"/>
        <w:ind w:firstLine="757"/>
        <w:spacing w:after="0" w:line="255" w:lineRule="auto"/>
        <w:tabs>
          <w:tab w:leader="none" w:pos="1203"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Export Compliance</w:t>
      </w:r>
      <w:r>
        <w:rPr>
          <w:rFonts w:ascii="Times New Roman" w:cs="Times New Roman" w:eastAsia="Times New Roman" w:hAnsi="Times New Roman"/>
          <w:sz w:val="21"/>
          <w:szCs w:val="21"/>
          <w:color w:val="auto"/>
        </w:rPr>
        <w:t>. The Company and each of its subsidiaries has not, nor has any director, officer, agent, employee or other Person acting on behalf of the Company or any of its subsidiaries violated or failed to comply with any applicable law related to the export or reexport of goods (including hardware, software and technology), services and know-how except in such cases as would not reasonably be expected, individually or in the aggregate, to have a Material Adverse Change.</w:t>
      </w:r>
    </w:p>
    <w:p>
      <w:pPr>
        <w:spacing w:after="0" w:line="161" w:lineRule="exact"/>
        <w:rPr>
          <w:rFonts w:ascii="Times New Roman" w:cs="Times New Roman" w:eastAsia="Times New Roman" w:hAnsi="Times New Roman"/>
          <w:sz w:val="21"/>
          <w:szCs w:val="21"/>
          <w:color w:val="auto"/>
        </w:rPr>
      </w:pPr>
    </w:p>
    <w:p>
      <w:pPr>
        <w:ind w:firstLine="757"/>
        <w:spacing w:after="0" w:line="258" w:lineRule="auto"/>
        <w:tabs>
          <w:tab w:leader="none" w:pos="119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Sarbanes-Oxley</w:t>
      </w:r>
      <w:r>
        <w:rPr>
          <w:rFonts w:ascii="Times New Roman" w:cs="Times New Roman" w:eastAsia="Times New Roman" w:hAnsi="Times New Roman"/>
          <w:sz w:val="22"/>
          <w:szCs w:val="22"/>
          <w:color w:val="auto"/>
        </w:rPr>
        <w:t>. The Company is in compliance, in all material respects, with all applicable provisions of the Sarbanes-Oxley Act and the rules and regulations promulgated thereunder.</w:t>
      </w:r>
    </w:p>
    <w:p>
      <w:pPr>
        <w:spacing w:after="0" w:line="158" w:lineRule="exact"/>
        <w:rPr>
          <w:rFonts w:ascii="Times New Roman" w:cs="Times New Roman" w:eastAsia="Times New Roman" w:hAnsi="Times New Roman"/>
          <w:sz w:val="22"/>
          <w:szCs w:val="22"/>
          <w:color w:val="auto"/>
        </w:rPr>
      </w:pPr>
    </w:p>
    <w:p>
      <w:pPr>
        <w:jc w:val="both"/>
        <w:ind w:firstLine="757"/>
        <w:spacing w:after="0" w:line="238" w:lineRule="auto"/>
        <w:tabs>
          <w:tab w:leader="none" w:pos="1104"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Transfer Taxes, Etc</w:t>
      </w:r>
      <w:r>
        <w:rPr>
          <w:rFonts w:ascii="Times New Roman" w:cs="Times New Roman" w:eastAsia="Times New Roman" w:hAnsi="Times New Roman"/>
          <w:sz w:val="22"/>
          <w:szCs w:val="22"/>
          <w:color w:val="auto"/>
        </w:rPr>
        <w:t>. No stamp or other issuance or transfer taxes or duties and no capital gains, income, withholding or other taxes are payable by the Agent (other than taxes imposed on the Agent in connection with the Agent’s performances of services pursuant to payments received from the Company under this Agreement) in the United States or any political subdivision or taxing authority thereof or therein in connection with the execution, delivery or performance of this Agreement by the Company or the sale and delivery by the Company of the Shares.</w:t>
      </w:r>
    </w:p>
    <w:p>
      <w:pPr>
        <w:spacing w:after="0" w:line="176" w:lineRule="exact"/>
        <w:rPr>
          <w:rFonts w:ascii="Times New Roman" w:cs="Times New Roman" w:eastAsia="Times New Roman" w:hAnsi="Times New Roman"/>
          <w:sz w:val="22"/>
          <w:szCs w:val="22"/>
          <w:color w:val="auto"/>
        </w:rPr>
      </w:pPr>
    </w:p>
    <w:p>
      <w:pPr>
        <w:jc w:val="both"/>
        <w:ind w:firstLine="757"/>
        <w:spacing w:after="0" w:line="243" w:lineRule="auto"/>
        <w:tabs>
          <w:tab w:leader="none" w:pos="1128"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Cybersecurity</w:t>
      </w:r>
      <w:r>
        <w:rPr>
          <w:rFonts w:ascii="Times New Roman" w:cs="Times New Roman" w:eastAsia="Times New Roman" w:hAnsi="Times New Roman"/>
          <w:sz w:val="21"/>
          <w:szCs w:val="21"/>
          <w:color w:val="auto"/>
        </w:rPr>
        <w:t>. Except as would not, individually or in the aggregate, reasonably be expected to have a Material Adverse Change, (i)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21"/>
          <w:szCs w:val="21"/>
          <w:b w:val="1"/>
          <w:bCs w:val="1"/>
          <w:color w:val="auto"/>
        </w:rPr>
        <w:t>IT Systems</w:t>
      </w:r>
      <w:r>
        <w:rPr>
          <w:rFonts w:ascii="Times New Roman" w:cs="Times New Roman" w:eastAsia="Times New Roman" w:hAnsi="Times New Roman"/>
          <w:sz w:val="21"/>
          <w:szCs w:val="21"/>
          <w:color w:val="auto"/>
        </w:rPr>
        <w:t>”) are adequate in capacity and operation for, and operate and perform as required in connection with the operation of the business of the Company and its subsidiaries as currently conducted, free and clear of all material Trojan horses, time bombs, malware and other malicious code; and (ii) the Company and its subsidiaries have implemented and maintained commercially reasonable physical, technical and administrative controls, policies, procedures, and safeguards designed to maintain and protect their material confidential information and the integrity, continuous operation, redundancy and security of all IT Systems and confidential, sensitive, or regulated data, including “Personal Data,” used in connection with their businesses. “</w:t>
      </w:r>
      <w:r>
        <w:rPr>
          <w:rFonts w:ascii="Times New Roman" w:cs="Times New Roman" w:eastAsia="Times New Roman" w:hAnsi="Times New Roman"/>
          <w:sz w:val="21"/>
          <w:szCs w:val="21"/>
          <w:b w:val="1"/>
          <w:bCs w:val="1"/>
          <w:color w:val="auto"/>
        </w:rPr>
        <w:t>Personal Data</w:t>
      </w:r>
      <w:r>
        <w:rPr>
          <w:rFonts w:ascii="Times New Roman" w:cs="Times New Roman" w:eastAsia="Times New Roman" w:hAnsi="Times New Roman"/>
          <w:sz w:val="21"/>
          <w:szCs w:val="21"/>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w:t>
      </w:r>
    </w:p>
    <w:p>
      <w:pPr>
        <w:spacing w:after="0" w:line="6" w:lineRule="exact"/>
        <w:rPr>
          <w:rFonts w:ascii="Times New Roman" w:cs="Times New Roman" w:eastAsia="Times New Roman" w:hAnsi="Times New Roman"/>
          <w:sz w:val="21"/>
          <w:szCs w:val="21"/>
          <w:color w:val="auto"/>
        </w:rPr>
      </w:pPr>
    </w:p>
    <w:p>
      <w:pPr>
        <w:jc w:val="both"/>
        <w:ind w:firstLine="8"/>
        <w:spacing w:after="0" w:line="243" w:lineRule="auto"/>
        <w:tabs>
          <w:tab w:leader="none" w:pos="387"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“personal data” as defined by GDPR;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21"/>
          <w:szCs w:val="21"/>
          <w:b w:val="1"/>
          <w:bCs w:val="1"/>
          <w:color w:val="auto"/>
        </w:rPr>
        <w:t>HIPAA”</w:t>
      </w:r>
      <w:r>
        <w:rPr>
          <w:rFonts w:ascii="Times New Roman" w:cs="Times New Roman" w:eastAsia="Times New Roman" w:hAnsi="Times New Roman"/>
          <w:sz w:val="21"/>
          <w:szCs w:val="21"/>
          <w:color w:val="auto"/>
        </w:rPr>
        <w:t>); and (v) any other piece of information that allows the identification of such natural person, or his or her family, or permits the collection or analysis of any data related to an identified person’s health or sexual orientation. Except as would not, individually or in the aggregate, reasonably be expected to have a Material Adverse Change,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Except as would not, individually or in the aggregate, reasonably be expected to have a Material Adverse Change, the Company and its subsidiaries are presently in compliance with all applicable laws or statutes and</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all applicable judgments, orders, rules and regulations of any court or arbitrator or governmental or regulatory authority, and all of the Company’s and its subsidiaries’ internal policies and contractual obligations relating to the privacy and security of IT Systems and Personal Data and to the protection of such IT Systems and Personal Data from unauthorized use, access, misappropriation or modification.</w:t>
      </w:r>
    </w:p>
    <w:p>
      <w:pPr>
        <w:spacing w:after="0" w:line="180" w:lineRule="exact"/>
        <w:rPr>
          <w:sz w:val="20"/>
          <w:szCs w:val="20"/>
          <w:color w:val="auto"/>
        </w:rPr>
      </w:pPr>
    </w:p>
    <w:p>
      <w:pPr>
        <w:jc w:val="both"/>
        <w:ind w:firstLine="757"/>
        <w:spacing w:after="0" w:line="243" w:lineRule="auto"/>
        <w:tabs>
          <w:tab w:leader="none" w:pos="1067"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Data Privacy Laws</w:t>
      </w:r>
      <w:r>
        <w:rPr>
          <w:rFonts w:ascii="Times New Roman" w:cs="Times New Roman" w:eastAsia="Times New Roman" w:hAnsi="Times New Roman"/>
          <w:sz w:val="21"/>
          <w:szCs w:val="21"/>
          <w:color w:val="auto"/>
        </w:rPr>
        <w:t>. Except as would not, individually or in the aggregate, reasonably be expected to have a Material Adverse Change, (i) the Company and its subsidiaries are, and at all prior times were, in compliance with all applicable state and federal data privacy and security laws and regulations, including without limitation HIPAA and the European Union General Data Protection Regulation (EU 2016/679), as applicable (collectively, the “</w:t>
      </w:r>
      <w:r>
        <w:rPr>
          <w:rFonts w:ascii="Times New Roman" w:cs="Times New Roman" w:eastAsia="Times New Roman" w:hAnsi="Times New Roman"/>
          <w:sz w:val="21"/>
          <w:szCs w:val="21"/>
          <w:b w:val="1"/>
          <w:bCs w:val="1"/>
          <w:color w:val="auto"/>
        </w:rPr>
        <w:t>Privacy Laws</w:t>
      </w:r>
      <w:r>
        <w:rPr>
          <w:rFonts w:ascii="Times New Roman" w:cs="Times New Roman" w:eastAsia="Times New Roman" w:hAnsi="Times New Roman"/>
          <w:sz w:val="21"/>
          <w:szCs w:val="21"/>
          <w:color w:val="auto"/>
        </w:rPr>
        <w:t>”); (ii) the Company and its subsidiaries have in place, comply with, and take appropriate steps reasonably designed to ensure compliance with their policies and procedures relating to data privacy and security and the collection, storage, use, disclosure, handling, and analysis of Personal Data (the “</w:t>
      </w:r>
      <w:r>
        <w:rPr>
          <w:rFonts w:ascii="Times New Roman" w:cs="Times New Roman" w:eastAsia="Times New Roman" w:hAnsi="Times New Roman"/>
          <w:sz w:val="21"/>
          <w:szCs w:val="21"/>
          <w:b w:val="1"/>
          <w:bCs w:val="1"/>
          <w:color w:val="auto"/>
        </w:rPr>
        <w:t>Policies</w:t>
      </w:r>
      <w:r>
        <w:rPr>
          <w:rFonts w:ascii="Times New Roman" w:cs="Times New Roman" w:eastAsia="Times New Roman" w:hAnsi="Times New Roman"/>
          <w:sz w:val="21"/>
          <w:szCs w:val="21"/>
          <w:color w:val="auto"/>
        </w:rPr>
        <w:t>”); (iii) the Company and its subsidiaries have at all times made all disclosures to users or customers required by applicable Privacy Laws, and none of such disclosures made or contained in any Policy have, to the knowledge of the Company, been inaccurate or in violation of any applicable Privacy Laws; and (iv) the Company (A) has not received notice of any actual or potential liability of the Company or its subsidiaries under, or actual or potential violation of, any of the Privacy Laws, and has no knowledge of any event or condition that would reasonably be expected to result in any such notice; (B) is not currently conducting or paying for, in whole or in part, any investigation, remediation, or other corrective action pursuant to any order, decree, or agreement by or with any court or arbitrator or governmental or regulatory authority under any Privacy Law; or</w:t>
      </w:r>
    </w:p>
    <w:p>
      <w:pPr>
        <w:spacing w:after="0" w:line="4" w:lineRule="exact"/>
        <w:rPr>
          <w:rFonts w:ascii="Times New Roman" w:cs="Times New Roman" w:eastAsia="Times New Roman" w:hAnsi="Times New Roman"/>
          <w:sz w:val="21"/>
          <w:szCs w:val="21"/>
          <w:color w:val="auto"/>
        </w:rPr>
      </w:pPr>
    </w:p>
    <w:p>
      <w:pPr>
        <w:ind w:firstLine="8"/>
        <w:spacing w:after="0" w:line="237" w:lineRule="auto"/>
        <w:tabs>
          <w:tab w:leader="none" w:pos="34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 party to any order, decree, or agreement by or with any court or arbitrator or governmental or regulatory authority that imposes any obligation or liability under any Privacy Law.</w:t>
      </w:r>
    </w:p>
    <w:p>
      <w:pPr>
        <w:spacing w:after="0" w:line="178" w:lineRule="exact"/>
        <w:rPr>
          <w:rFonts w:ascii="Times New Roman" w:cs="Times New Roman" w:eastAsia="Times New Roman" w:hAnsi="Times New Roman"/>
          <w:sz w:val="22"/>
          <w:szCs w:val="22"/>
          <w:color w:val="auto"/>
        </w:rPr>
      </w:pPr>
    </w:p>
    <w:p>
      <w:pPr>
        <w:jc w:val="both"/>
        <w:ind w:firstLine="757"/>
        <w:spacing w:after="0" w:line="234" w:lineRule="auto"/>
        <w:tabs>
          <w:tab w:leader="none" w:pos="119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Open Source Software</w:t>
      </w:r>
      <w:r>
        <w:rPr>
          <w:rFonts w:ascii="Times New Roman" w:cs="Times New Roman" w:eastAsia="Times New Roman" w:hAnsi="Times New Roman"/>
          <w:sz w:val="22"/>
          <w:szCs w:val="22"/>
          <w:color w:val="auto"/>
        </w:rPr>
        <w:t>. (i)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22"/>
          <w:szCs w:val="22"/>
          <w:b w:val="1"/>
          <w:bCs w:val="1"/>
          <w:color w:val="auto"/>
        </w:rPr>
        <w:t>Open Source Software</w:t>
      </w:r>
      <w:r>
        <w:rPr>
          <w:rFonts w:ascii="Times New Roman" w:cs="Times New Roman" w:eastAsia="Times New Roman" w:hAnsi="Times New Roman"/>
          <w:sz w:val="22"/>
          <w:szCs w:val="22"/>
          <w:color w:val="auto"/>
        </w:rPr>
        <w:t>”) in material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material to the conduct of their businesses as currently conducted by them or (B) any software code or other technology owned by the Company or any of its subsidiaries material to the conduct of their businesses as currently conducted by them to be (1) disclosed or distributed in source code form, (2) licensed for the purpose of making derivative works or (3) redistributed at no charge.</w:t>
      </w:r>
    </w:p>
    <w:p>
      <w:pPr>
        <w:spacing w:after="0" w:line="179" w:lineRule="exact"/>
        <w:rPr>
          <w:rFonts w:ascii="Times New Roman" w:cs="Times New Roman" w:eastAsia="Times New Roman" w:hAnsi="Times New Roman"/>
          <w:sz w:val="22"/>
          <w:szCs w:val="22"/>
          <w:color w:val="auto"/>
        </w:rPr>
      </w:pPr>
    </w:p>
    <w:p>
      <w:pPr>
        <w:ind w:right="20" w:firstLine="757"/>
        <w:spacing w:after="0" w:line="258" w:lineRule="auto"/>
        <w:tabs>
          <w:tab w:leader="none" w:pos="1176"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Underwriting Agreements</w:t>
      </w:r>
      <w:r>
        <w:rPr>
          <w:rFonts w:ascii="Times New Roman" w:cs="Times New Roman" w:eastAsia="Times New Roman" w:hAnsi="Times New Roman"/>
          <w:sz w:val="22"/>
          <w:szCs w:val="22"/>
          <w:color w:val="auto"/>
        </w:rPr>
        <w:t>. The Company is not a party to any agreement with an agent or underwriter for any other “at the market” or continuous equity transaction.</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27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Forward-Looking Statements</w:t>
      </w:r>
      <w:r>
        <w:rPr>
          <w:rFonts w:ascii="Times New Roman" w:cs="Times New Roman" w:eastAsia="Times New Roman" w:hAnsi="Times New Roman"/>
          <w:sz w:val="22"/>
          <w:szCs w:val="22"/>
          <w:color w:val="auto"/>
        </w:rPr>
        <w:t>. Each financial or operational projection or other “forward-looking statement” (as defined by Section 27A of the Securities Act or Section 21E of the Exchange Act) contained in the Registration Statement or the Prospectus (i) was so included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that was false or misleading with the knowledge of a director or executive officer of the Company that it was false or misleading.</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Company acknowledges that the Agent and, for purposes of the opinions to be delivered pursuant to Section‎ 4(p) hereof, counsel to the Company and counsel to the Agent, will rely upon the accuracy and truthfulness of the foregoing representations and hereby consents to such reliance.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-343535</wp:posOffset>
            </wp:positionV>
            <wp:extent cx="69151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69151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ISSUANCE AND SALE OF COMMON SHARES</w:t>
      </w:r>
    </w:p>
    <w:p>
      <w:pPr>
        <w:spacing w:after="0" w:line="210" w:lineRule="exact"/>
        <w:rPr>
          <w:sz w:val="20"/>
          <w:szCs w:val="20"/>
          <w:color w:val="auto"/>
        </w:rPr>
      </w:pPr>
    </w:p>
    <w:p>
      <w:pPr>
        <w:jc w:val="both"/>
        <w:ind w:firstLine="757"/>
        <w:spacing w:after="0" w:line="238" w:lineRule="auto"/>
        <w:tabs>
          <w:tab w:leader="none" w:pos="104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of Securities</w:t>
      </w:r>
      <w:r>
        <w:rPr>
          <w:rFonts w:ascii="Times New Roman" w:cs="Times New Roman" w:eastAsia="Times New Roman" w:hAnsi="Times New Roman"/>
          <w:sz w:val="22"/>
          <w:szCs w:val="22"/>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76" w:lineRule="exact"/>
        <w:rPr>
          <w:rFonts w:ascii="Times New Roman" w:cs="Times New Roman" w:eastAsia="Times New Roman" w:hAnsi="Times New Roman"/>
          <w:sz w:val="22"/>
          <w:szCs w:val="22"/>
          <w:color w:val="auto"/>
        </w:rPr>
      </w:pPr>
    </w:p>
    <w:p>
      <w:pPr>
        <w:ind w:left="1060" w:hanging="303"/>
        <w:spacing w:after="0"/>
        <w:tabs>
          <w:tab w:leader="none" w:pos="10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Issuances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520" w:hanging="266"/>
        <w:spacing w:after="0"/>
        <w:tabs>
          <w:tab w:leader="none" w:pos="252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Notice</w:t>
      </w:r>
      <w:r>
        <w:rPr>
          <w:rFonts w:ascii="Times New Roman" w:cs="Times New Roman" w:eastAsia="Times New Roman" w:hAnsi="Times New Roman"/>
          <w:sz w:val="22"/>
          <w:szCs w:val="22"/>
          <w:color w:val="auto"/>
        </w:rPr>
        <w:t>. Upon the terms and subject to the conditions set forth herein, on any Trading Day</w:t>
      </w:r>
    </w:p>
    <w:p>
      <w:pPr>
        <w:spacing w:after="0" w:line="14" w:lineRule="exact"/>
        <w:rPr>
          <w:rFonts w:ascii="Times New Roman" w:cs="Times New Roman" w:eastAsia="Times New Roman" w:hAnsi="Times New Roman"/>
          <w:sz w:val="22"/>
          <w:szCs w:val="22"/>
          <w:color w:val="auto"/>
        </w:rPr>
      </w:pPr>
    </w:p>
    <w:p>
      <w:pPr>
        <w:jc w:val="both"/>
        <w:ind w:left="760"/>
        <w:spacing w:after="0" w:line="246"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Agency Period on which the conditions set forth in Section‎ 5(a) and Section‎ 5(b) shall have been satisfied, the Company may exercise its right to request an issuance of Shares by delivering to the Agent an Issuance Notice; provided, however, that (A) in no event may the Company deliver an Issuance Notice to the extent that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79" w:lineRule="exact"/>
        <w:rPr>
          <w:rFonts w:ascii="Times New Roman" w:cs="Times New Roman" w:eastAsia="Times New Roman" w:hAnsi="Times New Roman"/>
          <w:sz w:val="22"/>
          <w:szCs w:val="22"/>
          <w:color w:val="auto"/>
        </w:rPr>
      </w:pPr>
    </w:p>
    <w:p>
      <w:pPr>
        <w:jc w:val="both"/>
        <w:ind w:left="760" w:firstLine="1494"/>
        <w:spacing w:after="0" w:line="261" w:lineRule="auto"/>
        <w:tabs>
          <w:tab w:leader="none" w:pos="2589"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Agent Efforts</w:t>
      </w:r>
      <w:r>
        <w:rPr>
          <w:rFonts w:ascii="Times New Roman" w:cs="Times New Roman" w:eastAsia="Times New Roman" w:hAnsi="Times New Roman"/>
          <w:sz w:val="21"/>
          <w:szCs w:val="21"/>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-2042160</wp:posOffset>
            </wp:positionV>
            <wp:extent cx="160718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1607185" cy="8890"/>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80" w:lineRule="exact"/>
        <w:rPr>
          <w:sz w:val="20"/>
          <w:szCs w:val="20"/>
          <w:color w:val="auto"/>
        </w:rPr>
      </w:pPr>
    </w:p>
    <w:p>
      <w:pPr>
        <w:jc w:val="both"/>
        <w:ind w:firstLine="1494"/>
        <w:spacing w:after="0" w:line="235" w:lineRule="auto"/>
        <w:tabs>
          <w:tab w:leader="none" w:pos="191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Offer and Sale</w:t>
      </w:r>
      <w:r>
        <w:rPr>
          <w:rFonts w:ascii="Times New Roman" w:cs="Times New Roman" w:eastAsia="Times New Roman" w:hAnsi="Times New Roman"/>
          <w:sz w:val="22"/>
          <w:szCs w:val="22"/>
          <w:color w:val="auto"/>
        </w:rPr>
        <w:t>. The Shares may be offered and sold (A) in privately negotiated transactions with the consent of the Company; (B) 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183" w:lineRule="exact"/>
        <w:rPr>
          <w:rFonts w:ascii="Times New Roman" w:cs="Times New Roman" w:eastAsia="Times New Roman" w:hAnsi="Times New Roman"/>
          <w:sz w:val="22"/>
          <w:szCs w:val="22"/>
          <w:color w:val="auto"/>
        </w:rPr>
      </w:pPr>
    </w:p>
    <w:p>
      <w:pPr>
        <w:jc w:val="both"/>
        <w:ind w:firstLine="1494"/>
        <w:spacing w:after="0" w:line="239" w:lineRule="auto"/>
        <w:tabs>
          <w:tab w:leader="none" w:pos="187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Confirmation to the Company</w:t>
      </w:r>
      <w:r>
        <w:rPr>
          <w:rFonts w:ascii="Times New Roman" w:cs="Times New Roman" w:eastAsia="Times New Roman" w:hAnsi="Times New Roman"/>
          <w:sz w:val="22"/>
          <w:szCs w:val="22"/>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80" w:lineRule="exact"/>
        <w:rPr>
          <w:rFonts w:ascii="Times New Roman" w:cs="Times New Roman" w:eastAsia="Times New Roman" w:hAnsi="Times New Roman"/>
          <w:sz w:val="22"/>
          <w:szCs w:val="22"/>
          <w:color w:val="auto"/>
        </w:rPr>
      </w:pPr>
    </w:p>
    <w:p>
      <w:pPr>
        <w:ind w:left="1820" w:hanging="326"/>
        <w:spacing w:after="0"/>
        <w:tabs>
          <w:tab w:leader="none" w:pos="18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Each issuance of Shares will be settled on the applicable Settlement Date for such</w:t>
      </w:r>
    </w:p>
    <w:p>
      <w:pPr>
        <w:spacing w:after="0" w:line="14" w:lineRule="exact"/>
        <w:rPr>
          <w:rFonts w:ascii="Times New Roman" w:cs="Times New Roman" w:eastAsia="Times New Roman" w:hAnsi="Times New Roman"/>
          <w:sz w:val="22"/>
          <w:szCs w:val="22"/>
          <w:color w:val="auto"/>
        </w:rPr>
      </w:pPr>
    </w:p>
    <w:p>
      <w:pPr>
        <w:jc w:val="both"/>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issuance of Shares and, subject to the provisions of Section‎ 5,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by the parties at each relevant time Shares are sold pursuant to this Agreement (each, a “</w:t>
      </w:r>
      <w:r>
        <w:rPr>
          <w:rFonts w:ascii="Times New Roman" w:cs="Times New Roman" w:eastAsia="Times New Roman" w:hAnsi="Times New Roman"/>
          <w:sz w:val="21"/>
          <w:szCs w:val="21"/>
          <w:b w:val="1"/>
          <w:bCs w:val="1"/>
          <w:color w:val="auto"/>
        </w:rPr>
        <w:t>Time of Sale</w:t>
      </w:r>
      <w:r>
        <w:rPr>
          <w:rFonts w:ascii="Times New Roman" w:cs="Times New Roman" w:eastAsia="Times New Roman" w:hAnsi="Times New Roman"/>
          <w:sz w:val="21"/>
          <w:szCs w:val="21"/>
          <w:color w:val="auto"/>
        </w:rPr>
        <w:t>”).</w:t>
      </w:r>
    </w:p>
    <w:p>
      <w:pPr>
        <w:spacing w:after="0" w:line="180" w:lineRule="exact"/>
        <w:rPr>
          <w:rFonts w:ascii="Times New Roman" w:cs="Times New Roman" w:eastAsia="Times New Roman" w:hAnsi="Times New Roman"/>
          <w:sz w:val="22"/>
          <w:szCs w:val="22"/>
          <w:color w:val="auto"/>
        </w:rPr>
      </w:pPr>
    </w:p>
    <w:p>
      <w:pPr>
        <w:jc w:val="both"/>
        <w:ind w:firstLine="1494"/>
        <w:spacing w:after="0" w:line="245" w:lineRule="auto"/>
        <w:tabs>
          <w:tab w:leader="none" w:pos="189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Suspension or Termination of Sales</w:t>
      </w:r>
      <w:r>
        <w:rPr>
          <w:rFonts w:ascii="Times New Roman" w:cs="Times New Roman" w:eastAsia="Times New Roman" w:hAnsi="Times New Roman"/>
          <w:sz w:val="21"/>
          <w:szCs w:val="21"/>
          <w:color w:val="auto"/>
        </w:rPr>
        <w:t>.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w:t>
      </w:r>
    </w:p>
    <w:p>
      <w:pPr>
        <w:spacing w:after="0" w:line="2" w:lineRule="exact"/>
        <w:rPr>
          <w:rFonts w:ascii="Times New Roman" w:cs="Times New Roman" w:eastAsia="Times New Roman" w:hAnsi="Times New Roman"/>
          <w:sz w:val="21"/>
          <w:szCs w:val="21"/>
          <w:color w:val="auto"/>
        </w:rPr>
      </w:pPr>
    </w:p>
    <w:p>
      <w:pPr>
        <w:jc w:val="both"/>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comply with Section‎ 3(b)(v) with respect to such Shares; and (C) if the Company defaults in its obligation to deliver Shares on a Settlement Date, the Company agrees that it will hold the Agent harmless against any loss, claim, damage or expense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-2637790</wp:posOffset>
            </wp:positionV>
            <wp:extent cx="51435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747395</wp:posOffset>
            </wp:positionH>
            <wp:positionV relativeFrom="paragraph">
              <wp:posOffset>-340360</wp:posOffset>
            </wp:positionV>
            <wp:extent cx="84264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842645" cy="8890"/>
                    </a:xfrm>
                    <a:prstGeom prst="rect">
                      <a:avLst/>
                    </a:prstGeom>
                    <a:noFill/>
                  </pic:spPr>
                </pic:pic>
              </a:graphicData>
            </a:graphic>
          </wp:anchor>
        </w:drawing>
      </w:r>
    </w:p>
    <w:p>
      <w:pPr>
        <w:spacing w:after="0" w:line="34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07" w:name="page108"/>
    <w:bookmarkEnd w:id="107"/>
    <w:p>
      <w:pPr>
        <w:spacing w:after="0" w:line="185" w:lineRule="exact"/>
        <w:rPr>
          <w:sz w:val="20"/>
          <w:szCs w:val="20"/>
          <w:color w:val="auto"/>
        </w:rPr>
      </w:pPr>
    </w:p>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‎Section 3(b)(i).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2301240</wp:posOffset>
            </wp:positionH>
            <wp:positionV relativeFrom="paragraph">
              <wp:posOffset>-29845</wp:posOffset>
            </wp:positionV>
            <wp:extent cx="80391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803910" cy="8255"/>
                    </a:xfrm>
                    <a:prstGeom prst="rect">
                      <a:avLst/>
                    </a:prstGeom>
                    <a:noFill/>
                  </pic:spPr>
                </pic:pic>
              </a:graphicData>
            </a:graphic>
          </wp:anchor>
        </w:drawing>
      </w:r>
    </w:p>
    <w:p>
      <w:pPr>
        <w:spacing w:after="0" w:line="161" w:lineRule="exact"/>
        <w:rPr>
          <w:sz w:val="20"/>
          <w:szCs w:val="20"/>
          <w:color w:val="auto"/>
        </w:rPr>
      </w:pPr>
    </w:p>
    <w:p>
      <w:pPr>
        <w:jc w:val="both"/>
        <w:ind w:left="760" w:firstLine="1494"/>
        <w:spacing w:after="0" w:line="238" w:lineRule="auto"/>
        <w:tabs>
          <w:tab w:leader="none" w:pos="2683"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Placement, Etc</w:t>
      </w:r>
      <w:r>
        <w:rPr>
          <w:rFonts w:ascii="Times New Roman" w:cs="Times New Roman" w:eastAsia="Times New Roman" w:hAnsi="Times New Roman"/>
          <w:sz w:val="22"/>
          <w:szCs w:val="22"/>
          <w:color w:val="auto"/>
        </w:rPr>
        <w:t>.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76"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757"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Non-Public Information</w:t>
      </w:r>
      <w:r>
        <w:rPr>
          <w:rFonts w:ascii="Times New Roman" w:cs="Times New Roman" w:eastAsia="Times New Roman" w:hAnsi="Times New Roman"/>
          <w:sz w:val="22"/>
          <w:szCs w:val="22"/>
          <w:color w:val="auto"/>
        </w:rPr>
        <w:t>.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06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 w:cs="Times New Roman" w:eastAsia="Times New Roman" w:hAnsi="Times New Roman"/>
          <w:sz w:val="22"/>
          <w:szCs w:val="22"/>
          <w:u w:val="single" w:color="auto"/>
          <w:color w:val="auto"/>
        </w:rPr>
        <w:t>Section 3(b)(vi))</w:t>
      </w:r>
      <w:r>
        <w:rPr>
          <w:rFonts w:ascii="Times New Roman" w:cs="Times New Roman" w:eastAsia="Times New Roman" w:hAnsi="Times New Roman"/>
          <w:sz w:val="22"/>
          <w:szCs w:val="22"/>
          <w:color w:val="auto"/>
        </w:rPr>
        <w:t xml:space="preserve"> by the Agent deducting the Selling Commission from the applicable Issuance Amount.</w:t>
      </w:r>
    </w:p>
    <w:p>
      <w:pPr>
        <w:spacing w:after="0" w:line="173" w:lineRule="exact"/>
        <w:rPr>
          <w:rFonts w:ascii="Times New Roman" w:cs="Times New Roman" w:eastAsia="Times New Roman" w:hAnsi="Times New Roman"/>
          <w:sz w:val="22"/>
          <w:szCs w:val="22"/>
          <w:color w:val="auto"/>
        </w:rPr>
      </w:pPr>
    </w:p>
    <w:p>
      <w:pPr>
        <w:jc w:val="both"/>
        <w:ind w:firstLine="757"/>
        <w:spacing w:after="0" w:line="232" w:lineRule="auto"/>
        <w:tabs>
          <w:tab w:leader="none" w:pos="105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 w:cs="Times New Roman" w:eastAsia="Times New Roman" w:hAnsi="Times New Roman"/>
          <w:sz w:val="22"/>
          <w:szCs w:val="22"/>
          <w:b w:val="1"/>
          <w:bCs w:val="1"/>
          <w:color w:val="auto"/>
        </w:rPr>
        <w:t>Blue Sky Survey</w:t>
      </w:r>
      <w:r>
        <w:rPr>
          <w:rFonts w:ascii="Times New Roman" w:cs="Times New Roman" w:eastAsia="Times New Roman" w:hAnsi="Times New Roman"/>
          <w:sz w:val="22"/>
          <w:szCs w:val="22"/>
          <w:color w:val="auto"/>
        </w:rPr>
        <w:t>”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distribution of the Shares; (viii) the filing fees incident to FINRA review, if any; (ix) the costs and expenses of the Company relating to investor presentations on any “road show” previously approved by the Company and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(A) $75,000 in connection with execution of this Agreement; (B) $25,000 in connection with each Triggering Event Date (as defined below) on which the Company is required to provide a certificate pursuant to </w:t>
      </w:r>
      <w:r>
        <w:rPr>
          <w:rFonts w:ascii="Times New Roman" w:cs="Times New Roman" w:eastAsia="Times New Roman" w:hAnsi="Times New Roman"/>
          <w:sz w:val="22"/>
          <w:szCs w:val="22"/>
          <w:u w:val="single" w:color="auto"/>
          <w:color w:val="auto"/>
        </w:rPr>
        <w:t>Section 4(o)(ii)</w:t>
      </w:r>
      <w:r>
        <w:rPr>
          <w:rFonts w:ascii="Times New Roman" w:cs="Times New Roman" w:eastAsia="Times New Roman" w:hAnsi="Times New Roman"/>
          <w:sz w:val="22"/>
          <w:szCs w:val="22"/>
          <w:color w:val="auto"/>
        </w:rPr>
        <w:t xml:space="preserve"> and (C) $15,000 in connection with each Triggering Event Date on which the Company is required to provide a certificate pursuant to </w:t>
      </w:r>
      <w:r>
        <w:rPr>
          <w:rFonts w:ascii="Times New Roman" w:cs="Times New Roman" w:eastAsia="Times New Roman" w:hAnsi="Times New Roman"/>
          <w:sz w:val="22"/>
          <w:szCs w:val="22"/>
          <w:u w:val="single" w:color="auto"/>
          <w:color w:val="auto"/>
        </w:rPr>
        <w:t>Sections 4(o)(i)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 ADDITIONAL COVENANTS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Company covenants and agrees with the Agent as follows, in addition to any other covenants and agreements made elsewhere in this Agreement:</w:t>
      </w:r>
    </w:p>
    <w:p>
      <w:pPr>
        <w:spacing w:after="0" w:line="158" w:lineRule="exact"/>
        <w:rPr>
          <w:sz w:val="20"/>
          <w:szCs w:val="20"/>
          <w:color w:val="auto"/>
        </w:rPr>
      </w:pPr>
    </w:p>
    <w:p>
      <w:pPr>
        <w:jc w:val="both"/>
        <w:ind w:firstLine="757"/>
        <w:spacing w:after="0" w:line="234" w:lineRule="auto"/>
        <w:tabs>
          <w:tab w:leader="none" w:pos="106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Act Compliance</w:t>
      </w:r>
      <w:r>
        <w:rPr>
          <w:rFonts w:ascii="Times New Roman" w:cs="Times New Roman" w:eastAsia="Times New Roman" w:hAnsi="Times New Roman"/>
          <w:sz w:val="22"/>
          <w:szCs w:val="22"/>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Times New Roman" w:cs="Times New Roman" w:eastAsia="Times New Roman" w:hAnsi="Times New Roman"/>
          <w:sz w:val="22"/>
          <w:szCs w:val="22"/>
          <w:b w:val="1"/>
          <w:b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Prospectus Supplement</w:t>
      </w:r>
      <w:r>
        <w:rPr>
          <w:rFonts w:ascii="Times New Roman" w:cs="Times New Roman" w:eastAsia="Times New Roman" w:hAnsi="Times New Roman"/>
          <w:sz w:val="22"/>
          <w:szCs w:val="22"/>
          <w:color w:val="auto"/>
        </w:rPr>
        <w:t>”), such summary information and, at least once a quarter and subject to this Section 4, file such Interim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Prospectus Supplement pursuant to Rule 424(b) under the Securities Act (and within the time periods required by Rule 424(b) and Rule 430B under the Securities Act).</w:t>
      </w:r>
    </w:p>
    <w:p>
      <w:pPr>
        <w:spacing w:after="0" w:line="183" w:lineRule="exact"/>
        <w:rPr>
          <w:rFonts w:ascii="Times New Roman" w:cs="Times New Roman" w:eastAsia="Times New Roman" w:hAnsi="Times New Roman"/>
          <w:sz w:val="22"/>
          <w:szCs w:val="22"/>
          <w:color w:val="auto"/>
        </w:rPr>
      </w:pPr>
    </w:p>
    <w:p>
      <w:pPr>
        <w:jc w:val="both"/>
        <w:ind w:firstLine="757"/>
        <w:spacing w:after="0" w:line="234" w:lineRule="auto"/>
        <w:tabs>
          <w:tab w:leader="none" w:pos="108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Act Compliance</w:t>
      </w:r>
      <w:r>
        <w:rPr>
          <w:rFonts w:ascii="Times New Roman" w:cs="Times New Roman" w:eastAsia="Times New Roman" w:hAnsi="Times New Roman"/>
          <w:sz w:val="22"/>
          <w:szCs w:val="22"/>
          <w:color w:val="auto"/>
        </w:rPr>
        <w:t>. After the date of this Agreement, the Company shall promptly advise the Agent in writing (i) of the receipt of any comments of, or requests for additional or supplemental information from, the Commission related to the sales of Common Shares pursuant to this Agreement; (ii) of the time and date of any filing of any post-effective amendment to the Registration Statement, any Rule 462(b) Registration Statement or any amendment or supplement to the Prospectus or any Free Writing Prospectus related to the sales of Common Shares pursuant to this Agreement;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81" w:lineRule="exact"/>
        <w:rPr>
          <w:sz w:val="20"/>
          <w:szCs w:val="20"/>
          <w:color w:val="auto"/>
        </w:rPr>
      </w:pPr>
    </w:p>
    <w:p>
      <w:pPr>
        <w:jc w:val="both"/>
        <w:ind w:firstLine="757"/>
        <w:spacing w:after="0" w:line="233" w:lineRule="auto"/>
        <w:tabs>
          <w:tab w:leader="none" w:pos="106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and Supplements to the Prospectus and Other Securities Act Matters</w:t>
      </w:r>
      <w:r>
        <w:rPr>
          <w:rFonts w:ascii="Times New Roman" w:cs="Times New Roman" w:eastAsia="Times New Roman" w:hAnsi="Times New Roman"/>
          <w:sz w:val="22"/>
          <w:szCs w:val="22"/>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light of the circumstances when the Prospectus is delivered to a purchaser, not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 Notwithstanding the foregoing, the Company shall not be required to file such amendment or supplement if there is no pending Issuance Notice and the Company believes it is in its best interests not to file such amendment or supplement.</w:t>
      </w:r>
    </w:p>
    <w:p>
      <w:pPr>
        <w:spacing w:after="0" w:line="179" w:lineRule="exact"/>
        <w:rPr>
          <w:rFonts w:ascii="Times New Roman" w:cs="Times New Roman" w:eastAsia="Times New Roman" w:hAnsi="Times New Roman"/>
          <w:sz w:val="22"/>
          <w:szCs w:val="22"/>
          <w:color w:val="auto"/>
        </w:rPr>
      </w:pPr>
    </w:p>
    <w:p>
      <w:pPr>
        <w:jc w:val="both"/>
        <w:ind w:firstLine="757"/>
        <w:spacing w:after="0" w:line="233" w:lineRule="auto"/>
        <w:tabs>
          <w:tab w:leader="none" w:pos="106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Agent’s Review of Proposed Amendments and Supplements</w:t>
      </w:r>
      <w:r>
        <w:rPr>
          <w:rFonts w:ascii="Times New Roman" w:cs="Times New Roman" w:eastAsia="Times New Roman" w:hAnsi="Times New Roman"/>
          <w:sz w:val="22"/>
          <w:szCs w:val="22"/>
          <w:color w:val="auto"/>
        </w:rPr>
        <w:t>. Prior to amending or supplementing the Registration Statement (including any registration statement filed under Rule 462(b) under the Securities Act), but excluding (i) the filing under the Exchange Act of documents incorporated by reference into the Registration Statement that either (A) do not name the Agent and do not relate to the transactions contemplated by this Agreement or (B) do not include disclosure naming the Agent and regarding the transactions contemplated by this Agreement that is limited to disclosure of periodic sales pursuant to this Agreement, and (ii) amendments or supplements that do not name the Agent and do not relate to the transactions contemplated by this Agreement,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which shall not be unreasonably withheld, conditioned or delayed, and to file with the Commission within the applicable period specified in Rule 424(b) under the Securities Act any prospectus required to be filed pursuant to such Rule.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85" w:lineRule="exact"/>
        <w:rPr>
          <w:sz w:val="20"/>
          <w:szCs w:val="20"/>
          <w:color w:val="auto"/>
        </w:rPr>
      </w:pPr>
    </w:p>
    <w:p>
      <w:pPr>
        <w:jc w:val="both"/>
        <w:ind w:firstLine="757"/>
        <w:spacing w:after="0" w:line="255" w:lineRule="auto"/>
        <w:tabs>
          <w:tab w:leader="none" w:pos="1042"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Use of Free Writing Prospectus</w:t>
      </w:r>
      <w:r>
        <w:rPr>
          <w:rFonts w:ascii="Times New Roman" w:cs="Times New Roman" w:eastAsia="Times New Roman" w:hAnsi="Times New Roman"/>
          <w:sz w:val="21"/>
          <w:szCs w:val="21"/>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cs="Times New Roman" w:eastAsia="Times New Roman" w:hAnsi="Times New Roman"/>
          <w:sz w:val="21"/>
          <w:szCs w:val="21"/>
          <w:b w:val="1"/>
          <w:bCs w:val="1"/>
          <w:color w:val="auto"/>
        </w:rPr>
        <w:t>Free Writing Prospectus</w:t>
      </w: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color w:val="auto"/>
        </w:rPr>
      </w:pPr>
    </w:p>
    <w:p>
      <w:pPr>
        <w:jc w:val="both"/>
        <w:ind w:firstLine="757"/>
        <w:spacing w:after="0" w:line="232" w:lineRule="auto"/>
        <w:tabs>
          <w:tab w:leader="none" w:pos="101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Free Writing Prospectuses</w:t>
      </w:r>
      <w:r>
        <w:rPr>
          <w:rFonts w:ascii="Times New Roman" w:cs="Times New Roman" w:eastAsia="Times New Roman" w:hAnsi="Times New Roman"/>
          <w:sz w:val="22"/>
          <w:szCs w:val="22"/>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shall not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shall not be unreasonably withheld, conditioned or delayed.</w:t>
      </w:r>
    </w:p>
    <w:p>
      <w:pPr>
        <w:spacing w:after="0" w:line="185" w:lineRule="exact"/>
        <w:rPr>
          <w:rFonts w:ascii="Times New Roman" w:cs="Times New Roman" w:eastAsia="Times New Roman" w:hAnsi="Times New Roman"/>
          <w:sz w:val="22"/>
          <w:szCs w:val="22"/>
          <w:color w:val="auto"/>
        </w:rPr>
      </w:pPr>
    </w:p>
    <w:p>
      <w:pPr>
        <w:jc w:val="both"/>
        <w:ind w:firstLine="757"/>
        <w:spacing w:after="0" w:line="244" w:lineRule="auto"/>
        <w:tabs>
          <w:tab w:leader="none" w:pos="105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Filing of Agent Free Writing Prospectuses</w:t>
      </w:r>
      <w:r>
        <w:rPr>
          <w:rFonts w:ascii="Times New Roman" w:cs="Times New Roman" w:eastAsia="Times New Roman" w:hAnsi="Times New Roman"/>
          <w:sz w:val="22"/>
          <w:szCs w:val="22"/>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73" w:lineRule="exact"/>
        <w:rPr>
          <w:rFonts w:ascii="Times New Roman" w:cs="Times New Roman" w:eastAsia="Times New Roman" w:hAnsi="Times New Roman"/>
          <w:sz w:val="22"/>
          <w:szCs w:val="22"/>
          <w:color w:val="auto"/>
        </w:rPr>
      </w:pPr>
    </w:p>
    <w:p>
      <w:pPr>
        <w:jc w:val="both"/>
        <w:ind w:firstLine="757"/>
        <w:spacing w:after="0" w:line="235" w:lineRule="auto"/>
        <w:tabs>
          <w:tab w:leader="none" w:pos="108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Copies of Registration Statement and Prospectus</w:t>
      </w:r>
      <w:r>
        <w:rPr>
          <w:rFonts w:ascii="Times New Roman" w:cs="Times New Roman" w:eastAsia="Times New Roman" w:hAnsi="Times New Roman"/>
          <w:sz w:val="22"/>
          <w:szCs w:val="22"/>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80" w:lineRule="exact"/>
        <w:rPr>
          <w:sz w:val="20"/>
          <w:szCs w:val="20"/>
          <w:color w:val="auto"/>
        </w:rPr>
      </w:pPr>
    </w:p>
    <w:p>
      <w:pPr>
        <w:jc w:val="both"/>
        <w:ind w:firstLine="757"/>
        <w:spacing w:after="0" w:line="234" w:lineRule="auto"/>
        <w:tabs>
          <w:tab w:leader="none" w:pos="100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Blue Sky Compliance</w:t>
      </w:r>
      <w:r>
        <w:rPr>
          <w:rFonts w:ascii="Times New Roman" w:cs="Times New Roman" w:eastAsia="Times New Roman" w:hAnsi="Times New Roman"/>
          <w:sz w:val="22"/>
          <w:szCs w:val="22"/>
          <w:color w:val="auto"/>
        </w:rPr>
        <w:t>. The Company shall cooperate with the Agent and counsel for the Agent to qualify or register the Shares for sale under (or obtain exemptions from the application of) the state securities or blue sky laws or Canadian provincial securities laws (or other foreign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reasonably practicable.</w:t>
      </w:r>
    </w:p>
    <w:p>
      <w:pPr>
        <w:spacing w:after="0" w:line="179" w:lineRule="exact"/>
        <w:rPr>
          <w:rFonts w:ascii="Times New Roman" w:cs="Times New Roman" w:eastAsia="Times New Roman" w:hAnsi="Times New Roman"/>
          <w:sz w:val="22"/>
          <w:szCs w:val="22"/>
          <w:color w:val="auto"/>
        </w:rPr>
      </w:pPr>
    </w:p>
    <w:p>
      <w:pPr>
        <w:jc w:val="both"/>
        <w:ind w:firstLine="757"/>
        <w:spacing w:after="0" w:line="239" w:lineRule="auto"/>
        <w:tabs>
          <w:tab w:leader="none" w:pos="10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Statement</w:t>
      </w:r>
      <w:r>
        <w:rPr>
          <w:rFonts w:ascii="Times New Roman" w:cs="Times New Roman" w:eastAsia="Times New Roman" w:hAnsi="Times New Roman"/>
          <w:sz w:val="22"/>
          <w:szCs w:val="22"/>
          <w:color w:val="auto"/>
        </w:rPr>
        <w:t>. As soon as reasonably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06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 Reservation of Shares</w:t>
      </w:r>
      <w:r>
        <w:rPr>
          <w:rFonts w:ascii="Times New Roman" w:cs="Times New Roman" w:eastAsia="Times New Roman" w:hAnsi="Times New Roman"/>
          <w:sz w:val="22"/>
          <w:szCs w:val="22"/>
          <w:color w:val="auto"/>
        </w:rPr>
        <w:t>. (a) The Company will use its reasonable best efforts to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85" w:lineRule="exact"/>
        <w:rPr>
          <w:sz w:val="20"/>
          <w:szCs w:val="20"/>
          <w:color w:val="auto"/>
        </w:rPr>
      </w:pPr>
    </w:p>
    <w:p>
      <w:pPr>
        <w:ind w:left="1020" w:hanging="263"/>
        <w:spacing w:after="0"/>
        <w:tabs>
          <w:tab w:leader="none" w:pos="102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Agent</w:t>
      </w:r>
      <w:r>
        <w:rPr>
          <w:rFonts w:ascii="Times New Roman" w:cs="Times New Roman" w:eastAsia="Times New Roman" w:hAnsi="Times New Roman"/>
          <w:sz w:val="21"/>
          <w:szCs w:val="21"/>
          <w:color w:val="auto"/>
        </w:rPr>
        <w:t>. The Company shall engage and maintain, at its expense, a registrar and transfer agent for the Shares.</w:t>
      </w:r>
    </w:p>
    <w:p>
      <w:pPr>
        <w:spacing w:after="0" w:line="217" w:lineRule="exact"/>
        <w:rPr>
          <w:rFonts w:ascii="Times New Roman" w:cs="Times New Roman" w:eastAsia="Times New Roman" w:hAnsi="Times New Roman"/>
          <w:sz w:val="21"/>
          <w:szCs w:val="21"/>
          <w:color w:val="auto"/>
        </w:rPr>
      </w:pPr>
    </w:p>
    <w:p>
      <w:pPr>
        <w:jc w:val="both"/>
        <w:ind w:firstLine="757"/>
        <w:spacing w:after="0" w:line="239" w:lineRule="auto"/>
        <w:tabs>
          <w:tab w:leader="none" w:pos="112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Diligence</w:t>
      </w:r>
      <w:r>
        <w:rPr>
          <w:rFonts w:ascii="Times New Roman" w:cs="Times New Roman" w:eastAsia="Times New Roman" w:hAnsi="Times New Roman"/>
          <w:sz w:val="22"/>
          <w:szCs w:val="22"/>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or virtually, as the Agent may reasonably request from time to time.</w:t>
      </w:r>
    </w:p>
    <w:p>
      <w:pPr>
        <w:spacing w:after="0" w:line="180" w:lineRule="exact"/>
        <w:rPr>
          <w:rFonts w:ascii="Times New Roman" w:cs="Times New Roman" w:eastAsia="Times New Roman" w:hAnsi="Times New Roman"/>
          <w:sz w:val="22"/>
          <w:szCs w:val="22"/>
          <w:color w:val="auto"/>
        </w:rPr>
      </w:pPr>
    </w:p>
    <w:p>
      <w:pPr>
        <w:jc w:val="both"/>
        <w:ind w:firstLine="757"/>
        <w:spacing w:after="0" w:line="234" w:lineRule="auto"/>
        <w:tabs>
          <w:tab w:leader="none" w:pos="108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Company acknowledges that each delivery of an Issuance Notice and each delivery of Shares on a Settlement Date shall be deemed to be (i) an affirmation to the Agent that the representations and warranties, for the avoidance of doubt, subject to any qualifications made therein, including those relating to materiality or Material Adverse Change,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79" w:lineRule="exact"/>
        <w:rPr>
          <w:rFonts w:ascii="Times New Roman" w:cs="Times New Roman" w:eastAsia="Times New Roman" w:hAnsi="Times New Roman"/>
          <w:sz w:val="22"/>
          <w:szCs w:val="22"/>
          <w:color w:val="auto"/>
        </w:rPr>
      </w:pPr>
    </w:p>
    <w:p>
      <w:pPr>
        <w:ind w:firstLine="757"/>
        <w:spacing w:after="0" w:line="258" w:lineRule="auto"/>
        <w:tabs>
          <w:tab w:leader="none" w:pos="106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Deliverables at Triggering Event Dates; Certificates.</w:t>
      </w:r>
      <w:r>
        <w:rPr>
          <w:rFonts w:ascii="Times New Roman" w:cs="Times New Roman" w:eastAsia="Times New Roman" w:hAnsi="Times New Roman"/>
          <w:sz w:val="22"/>
          <w:szCs w:val="22"/>
          <w:color w:val="auto"/>
        </w:rPr>
        <w:t xml:space="preserve"> The Company agrees that on or prior to the date of the first Issuance Notice and, during the term of this Agreement after the date of the first Issuance Notice, upon:</w:t>
      </w:r>
    </w:p>
    <w:p>
      <w:pPr>
        <w:spacing w:after="0" w:line="158"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558"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603"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with the Commission of an annual report on Form 10-K (including any Form 10-K/A containing amended financial information or a material amendment to the previously filed annual report on Form 10-K of the Company;</w:t>
      </w:r>
    </w:p>
    <w:p>
      <w:pPr>
        <w:spacing w:after="0" w:line="173"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65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with the Commission of a quarterly report on Form 10-Q (including any Form 10-Q/A containing amended financial information or a material amendment to the previously filed quarterly report on Form 10-Q) of the Company; or</w:t>
      </w:r>
    </w:p>
    <w:p>
      <w:pPr>
        <w:spacing w:after="0" w:line="173"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65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with the Commission of a current report on Form 8-K of the Company (i) containing amended financial information (other than information “furnished” pursuant to Item 2.02 or 7.01 of Form 8-K or to provide disclosure pursuant to Item 8.01 of Form 8-K relating to reclassification of certain properties as discontinued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85" w:lineRule="exact"/>
        <w:rPr>
          <w:sz w:val="20"/>
          <w:szCs w:val="20"/>
          <w:color w:val="auto"/>
        </w:rPr>
      </w:pPr>
    </w:p>
    <w:p>
      <w:pPr>
        <w:jc w:val="both"/>
        <w:ind w:left="760"/>
        <w:spacing w:after="0" w:line="232" w:lineRule="auto"/>
        <w:rPr>
          <w:sz w:val="20"/>
          <w:szCs w:val="20"/>
          <w:color w:val="auto"/>
        </w:rPr>
      </w:pPr>
      <w:r>
        <w:rPr>
          <w:rFonts w:ascii="Times New Roman" w:cs="Times New Roman" w:eastAsia="Times New Roman" w:hAnsi="Times New Roman"/>
          <w:sz w:val="22"/>
          <w:szCs w:val="22"/>
          <w:color w:val="auto"/>
        </w:rPr>
        <w:t>operations in accordance with Statement of Financial Accounting Standards No. 144) and/or (ii) disclosing any material transaction requiring the filing of historical or pro forma financial statements under Item 9.01 of Form 8-K and subject to the guidance set forth in Section 2050.3 of the Financial Reporting Manual of the Commission which is material to the offering of securities of the Company in the Agent’s reasonable discretion; (any such event, a “</w:t>
      </w:r>
      <w:r>
        <w:rPr>
          <w:rFonts w:ascii="Times New Roman" w:cs="Times New Roman" w:eastAsia="Times New Roman" w:hAnsi="Times New Roman"/>
          <w:sz w:val="22"/>
          <w:szCs w:val="22"/>
          <w:b w:val="1"/>
          <w:bCs w:val="1"/>
          <w:color w:val="auto"/>
        </w:rPr>
        <w:t>Triggering Event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the Company shall furnish the Agent (but in the case of clause (iv) above only if the Agent reasonably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determines that the information contained in such current report on Form 8-K of the Company is material) with a certificate as of the Triggering Event Date, in the form and substance reasonably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‎Section 5(a)(iii) hereof, and (C) containing any other certification that the Agent shall reasonably request. The requirement to provide a certificate under this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-1416685</wp:posOffset>
            </wp:positionV>
            <wp:extent cx="897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897890" cy="8255"/>
                    </a:xfrm>
                    <a:prstGeom prst="rect">
                      <a:avLst/>
                    </a:prstGeom>
                    <a:noFill/>
                  </pic:spPr>
                </pic:pic>
              </a:graphicData>
            </a:graphic>
          </wp:anchor>
        </w:drawing>
      </w:r>
    </w:p>
    <w:p>
      <w:pPr>
        <w:spacing w:after="0" w:line="164" w:lineRule="exact"/>
        <w:rPr>
          <w:sz w:val="20"/>
          <w:szCs w:val="20"/>
          <w:color w:val="auto"/>
        </w:rPr>
      </w:pPr>
    </w:p>
    <w:p>
      <w:pPr>
        <w:jc w:val="both"/>
        <w:ind w:firstLine="757"/>
        <w:spacing w:after="0" w:line="249" w:lineRule="auto"/>
        <w:tabs>
          <w:tab w:leader="none" w:pos="1068"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Opinions.</w:t>
      </w:r>
      <w:r>
        <w:rPr>
          <w:rFonts w:ascii="Times New Roman" w:cs="Times New Roman" w:eastAsia="Times New Roman" w:hAnsi="Times New Roman"/>
          <w:sz w:val="21"/>
          <w:szCs w:val="21"/>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a negative assurances letter and the written legal opinion of Wilson Sonsini Goodrich</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22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Rosati, P.C., counsel to the Company and Paul Hastings LLP, counsel to the Agent,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81" w:lineRule="exact"/>
        <w:rPr>
          <w:rFonts w:ascii="Times New Roman" w:cs="Times New Roman" w:eastAsia="Times New Roman" w:hAnsi="Times New Roman"/>
          <w:sz w:val="22"/>
          <w:szCs w:val="22"/>
          <w:color w:val="auto"/>
        </w:rPr>
      </w:pPr>
    </w:p>
    <w:p>
      <w:pPr>
        <w:jc w:val="both"/>
        <w:ind w:firstLine="757"/>
        <w:spacing w:after="0" w:line="261" w:lineRule="auto"/>
        <w:tabs>
          <w:tab w:leader="none" w:pos="1055"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Comfort Letter</w:t>
      </w:r>
      <w:r>
        <w:rPr>
          <w:rFonts w:ascii="Times New Roman" w:cs="Times New Roman" w:eastAsia="Times New Roman" w:hAnsi="Times New Roman"/>
          <w:sz w:val="21"/>
          <w:szCs w:val="21"/>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each of KPMG LLP and Ernst &amp; Young LLP, the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independent registered public accounting firms who have audited or reviewed the financial statements included or incorporated by reference in the Registration Statement, to furnish the Agent a comfort letter, dated the date of delivery, in form and substance reasonably satisfactory to the Agent and its counsel, substantially similar to the forms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on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calendar quarter.</w:t>
      </w:r>
    </w:p>
    <w:p>
      <w:pPr>
        <w:spacing w:after="0" w:line="175" w:lineRule="exact"/>
        <w:rPr>
          <w:sz w:val="20"/>
          <w:szCs w:val="20"/>
          <w:color w:val="auto"/>
        </w:rPr>
      </w:pPr>
    </w:p>
    <w:p>
      <w:pPr>
        <w:jc w:val="both"/>
        <w:ind w:firstLine="757"/>
        <w:spacing w:after="0" w:line="235" w:lineRule="auto"/>
        <w:tabs>
          <w:tab w:leader="none" w:pos="103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Secretary’s Certificate</w:t>
      </w:r>
      <w:r>
        <w:rPr>
          <w:rFonts w:ascii="Times New Roman" w:cs="Times New Roman" w:eastAsia="Times New Roman" w:hAnsi="Times New Roman"/>
          <w:sz w:val="22"/>
          <w:szCs w:val="22"/>
          <w:color w:val="auto"/>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031"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Agent’s Own Account; Clients’ Account</w:t>
      </w:r>
      <w:r>
        <w:rPr>
          <w:rFonts w:ascii="Times New Roman" w:cs="Times New Roman" w:eastAsia="Times New Roman" w:hAnsi="Times New Roman"/>
          <w:sz w:val="22"/>
          <w:szCs w:val="22"/>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007"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Limitation</w:t>
      </w:r>
      <w:r>
        <w:rPr>
          <w:rFonts w:ascii="Times New Roman" w:cs="Times New Roman" w:eastAsia="Times New Roman" w:hAnsi="Times New Roman"/>
          <w:sz w:val="22"/>
          <w:szCs w:val="22"/>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068"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Market Activities</w:t>
      </w:r>
      <w:r>
        <w:rPr>
          <w:rFonts w:ascii="Times New Roman" w:cs="Times New Roman" w:eastAsia="Times New Roman" w:hAnsi="Times New Roman"/>
          <w:sz w:val="21"/>
          <w:szCs w:val="21"/>
          <w:color w:val="auto"/>
        </w:rPr>
        <w:t>. The Company has not taken, and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use commercially reasonable efforts to cause each of its Affiliates to, comply with all applicable provisions of Regulation M. If the limitations of Rule 102 of Regulation M (“</w:t>
      </w:r>
      <w:r>
        <w:rPr>
          <w:rFonts w:ascii="Times New Roman" w:cs="Times New Roman" w:eastAsia="Times New Roman" w:hAnsi="Times New Roman"/>
          <w:sz w:val="21"/>
          <w:szCs w:val="21"/>
          <w:b w:val="1"/>
          <w:bCs w:val="1"/>
          <w:color w:val="auto"/>
        </w:rPr>
        <w:t>Rule 102</w:t>
      </w:r>
      <w:r>
        <w:rPr>
          <w:rFonts w:ascii="Times New Roman" w:cs="Times New Roman" w:eastAsia="Times New Roman" w:hAnsi="Times New Roman"/>
          <w:sz w:val="21"/>
          <w:szCs w:val="21"/>
          <w:color w:val="auto"/>
        </w:rPr>
        <w:t>”) do not apply with respect to the Shares or any other reference security pursuant to any exception set forth in Section (d) of Rule 102, then promptly upon notice from the Agent (or, if later, at the time stated in the notice), the Company will, and shall use commercially reasonable efforts to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Rule 102.</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85" w:lineRule="exact"/>
        <w:rPr>
          <w:sz w:val="20"/>
          <w:szCs w:val="20"/>
          <w:color w:val="auto"/>
        </w:rPr>
      </w:pPr>
    </w:p>
    <w:p>
      <w:pPr>
        <w:jc w:val="both"/>
        <w:ind w:firstLine="757"/>
        <w:spacing w:after="0" w:line="243" w:lineRule="auto"/>
        <w:tabs>
          <w:tab w:leader="none" w:pos="1055"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Other Sale</w:t>
      </w:r>
      <w:r>
        <w:rPr>
          <w:rFonts w:ascii="Times New Roman" w:cs="Times New Roman" w:eastAsia="Times New Roman" w:hAnsi="Times New Roman"/>
          <w:sz w:val="21"/>
          <w:szCs w:val="21"/>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or effect a reverse stock split, recapitalization, share consolidation, reclassification or similar transaction affecting the outstanding Common Shares, during the period beginning on the second Trading Day immediately prior to the date on which any Issuance Notice is delivered to the Agent hereunder and ending on the second Trading Day immediately following the Settlement Date with respect to Shares sold pursuant to such Issuance Notice; and will not directly or indirectly enter into any other “at the market” or continuous equity transaction to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offer, issuance or sale of Common Shares, options to purchase Common Shares, restricted stock, restricted stock units or Common Shares issuable upon the exercise of options or vesting and settlement of restricted stock units or other equity awards pursuant to any employee or director share option, incentive or benefit plan, share purchase or ownership plan, long-term incentive plan, dividend reinvestment plan, inducement award or issuance of equity in lieu of cash compensation under the rules of the Principal Market or other compensation plan of, or similar standalone award granted by, the Company or its subsidiaries, as in effect on the date of this Agreement or entered into in the future; (ii) offer, issuance or sale of Common Shares as contingent merger consideration pursuant to the Agreement and Plan of Merger, dated as of April 5, 2021 (as amended by Amendment No. 1, the “Merger Agreement”), by and among the Company and the other parties named therein; (iii) offer, issuance or sale of Common Shares issuable upon exchange, conversion or redemption of securities or the exercise or vesting of warrants, options or other equity awards, including in connection with sell to cover transactions by the holders thereof relating to the foregoing; (iv) issuance, grant or sale of Common Shares or securities convertible into Common Shares as consideration for mergers, acquisitions, other business combinations, joint ventures, strategic alliances and other business transactions (including, without limitation, collaborations or arrangements involving research, development and/or commercialization activities) occurring after the date of this Agreement which are not used primarily for capital raising purposes; provided that in the case of this clause (v), such issuances shall not be greater than 5% of the total outstanding shares of the Company immediately following the issuance of such shares; and (vi) modification of any outstanding options, warrants of any rights to purchase or acquire Common Shares.</w:t>
      </w:r>
    </w:p>
    <w:p>
      <w:pPr>
        <w:spacing w:after="0" w:line="175" w:lineRule="exact"/>
        <w:rPr>
          <w:rFonts w:ascii="Times New Roman" w:cs="Times New Roman" w:eastAsia="Times New Roman" w:hAnsi="Times New Roman"/>
          <w:sz w:val="21"/>
          <w:szCs w:val="21"/>
          <w:color w:val="auto"/>
        </w:rPr>
      </w:pPr>
    </w:p>
    <w:p>
      <w:pPr>
        <w:ind w:right="20" w:firstLine="757"/>
        <w:spacing w:after="0" w:line="258" w:lineRule="auto"/>
        <w:tabs>
          <w:tab w:leader="none" w:pos="114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Emerging Growth Company</w:t>
      </w:r>
      <w:r>
        <w:rPr>
          <w:rFonts w:ascii="Times New Roman" w:cs="Times New Roman" w:eastAsia="Times New Roman" w:hAnsi="Times New Roman"/>
          <w:sz w:val="22"/>
          <w:szCs w:val="22"/>
          <w:color w:val="auto"/>
        </w:rPr>
        <w:t>. The Company will promptly notify the Agent if the Company ceases to be an Emerging Growth Company.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 CONDITIONS TO DELIVERY OF ISSUANCE NOTICES AND TO SETTLEMENT</w:t>
      </w:r>
    </w:p>
    <w:p>
      <w:pPr>
        <w:spacing w:after="0" w:line="210" w:lineRule="exact"/>
        <w:rPr>
          <w:sz w:val="20"/>
          <w:szCs w:val="20"/>
          <w:color w:val="auto"/>
        </w:rPr>
      </w:pPr>
    </w:p>
    <w:p>
      <w:pPr>
        <w:jc w:val="both"/>
        <w:ind w:firstLine="757"/>
        <w:spacing w:after="0" w:line="238" w:lineRule="auto"/>
        <w:tabs>
          <w:tab w:leader="none" w:pos="104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Precedent to the Right of the Company to Deliver an Issuance Notice and the Obligation of the Agent to Sell Shares</w:t>
      </w:r>
      <w:r>
        <w:rPr>
          <w:rFonts w:ascii="Times New Roman" w:cs="Times New Roman" w:eastAsia="Times New Roman" w:hAnsi="Times New Roman"/>
          <w:sz w:val="22"/>
          <w:szCs w:val="22"/>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176" w:lineRule="exact"/>
        <w:rPr>
          <w:rFonts w:ascii="Times New Roman" w:cs="Times New Roman" w:eastAsia="Times New Roman" w:hAnsi="Times New Roman"/>
          <w:sz w:val="22"/>
          <w:szCs w:val="22"/>
          <w:color w:val="auto"/>
        </w:rPr>
      </w:pPr>
    </w:p>
    <w:p>
      <w:pPr>
        <w:jc w:val="both"/>
        <w:ind w:left="760" w:firstLine="1494"/>
        <w:spacing w:after="0" w:line="233" w:lineRule="auto"/>
        <w:tabs>
          <w:tab w:leader="none" w:pos="2529"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Accuracy of the Company’s Representations and Warranties; Performance by the Company</w:t>
      </w:r>
      <w:r>
        <w:rPr>
          <w:rFonts w:ascii="Times New Roman" w:cs="Times New Roman" w:eastAsia="Times New Roman" w:hAnsi="Times New Roman"/>
          <w:sz w:val="22"/>
          <w:szCs w:val="22"/>
          <w:color w:val="auto"/>
        </w:rPr>
        <w:t xml:space="preserve">. The representations and warranties of the Company contained in this Agreement are true and correct as of the date of the Issuance Notice (other than representations and warranties made as of a specific date that shall be true and correct as of such date), and the Company shall have delivered the certificate required to be delivered pursuant to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on or before the date on which delivery of such certificate is required pursuant to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The Company shall have performed, satisfied and complied with all covenants, agreements and conditions required by this Agreement to be performed, satisfied or complied with by the Company at or prior to such date, including, but not limited to, the</w:t>
      </w:r>
    </w:p>
    <w:p>
      <w:pPr>
        <w:spacing w:after="0" w:line="5"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covenants contained in Section‎ 4(p), </w:t>
      </w:r>
      <w:r>
        <w:rPr>
          <w:rFonts w:ascii="Times New Roman" w:cs="Times New Roman" w:eastAsia="Times New Roman" w:hAnsi="Times New Roman"/>
          <w:sz w:val="22"/>
          <w:szCs w:val="22"/>
          <w:u w:val="single" w:color="auto"/>
          <w:color w:val="auto"/>
        </w:rPr>
        <w:t>Section 4(q)</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4(r)</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left="760" w:firstLine="1494"/>
        <w:spacing w:after="0" w:line="236" w:lineRule="auto"/>
        <w:tabs>
          <w:tab w:leader="none" w:pos="2575"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Injunction</w:t>
      </w:r>
      <w:r>
        <w:rPr>
          <w:rFonts w:ascii="Times New Roman" w:cs="Times New Roman" w:eastAsia="Times New Roman" w:hAnsi="Times New Roman"/>
          <w:sz w:val="22"/>
          <w:szCs w:val="22"/>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81" w:lineRule="exact"/>
        <w:rPr>
          <w:rFonts w:ascii="Times New Roman" w:cs="Times New Roman" w:eastAsia="Times New Roman" w:hAnsi="Times New Roman"/>
          <w:sz w:val="22"/>
          <w:szCs w:val="22"/>
          <w:color w:val="auto"/>
        </w:rPr>
      </w:pPr>
    </w:p>
    <w:p>
      <w:pPr>
        <w:jc w:val="both"/>
        <w:ind w:left="760" w:firstLine="1494"/>
        <w:spacing w:after="0" w:line="236" w:lineRule="auto"/>
        <w:tabs>
          <w:tab w:leader="none" w:pos="2703"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Adverse Changes</w:t>
      </w:r>
      <w:r>
        <w:rPr>
          <w:rFonts w:ascii="Times New Roman" w:cs="Times New Roman" w:eastAsia="Times New Roman" w:hAnsi="Times New Roman"/>
          <w:sz w:val="22"/>
          <w:szCs w:val="22"/>
          <w:color w:val="auto"/>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81" w:lineRule="exact"/>
        <w:rPr>
          <w:rFonts w:ascii="Times New Roman" w:cs="Times New Roman" w:eastAsia="Times New Roman" w:hAnsi="Times New Roman"/>
          <w:sz w:val="22"/>
          <w:szCs w:val="22"/>
          <w:color w:val="auto"/>
        </w:rPr>
      </w:pPr>
    </w:p>
    <w:p>
      <w:pPr>
        <w:jc w:val="both"/>
        <w:ind w:left="760" w:firstLine="1494"/>
        <w:spacing w:after="0" w:line="236" w:lineRule="auto"/>
        <w:tabs>
          <w:tab w:leader="none" w:pos="2637"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Suspension of Trading in or Delisting of Common Shares; Other Events</w:t>
      </w:r>
      <w:r>
        <w:rPr>
          <w:rFonts w:ascii="Times New Roman" w:cs="Times New Roman" w:eastAsia="Times New Roman" w:hAnsi="Times New Roman"/>
          <w:sz w:val="22"/>
          <w:szCs w:val="22"/>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-3218815</wp:posOffset>
            </wp:positionV>
            <wp:extent cx="6743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85" w:lineRule="exact"/>
        <w:rPr>
          <w:sz w:val="20"/>
          <w:szCs w:val="20"/>
          <w:color w:val="auto"/>
        </w:rPr>
      </w:pPr>
    </w:p>
    <w:p>
      <w:pPr>
        <w:jc w:val="both"/>
        <w:ind w:left="760"/>
        <w:spacing w:after="0" w:line="234" w:lineRule="auto"/>
        <w:rPr>
          <w:sz w:val="20"/>
          <w:szCs w:val="20"/>
          <w:color w:val="auto"/>
        </w:rPr>
      </w:pPr>
      <w:r>
        <w:rPr>
          <w:rFonts w:ascii="Times New Roman" w:cs="Times New Roman" w:eastAsia="Times New Roman" w:hAnsi="Times New Roman"/>
          <w:sz w:val="22"/>
          <w:szCs w:val="22"/>
          <w:color w:val="auto"/>
        </w:rPr>
        <w:t>of the following: (i) trading or quotation in any of the Company’s securities shall have been suspended or limited by the Commission or by the Principal Market or trading in securities generally on the Principal Market either shall have been suspended or limited, or minimum or maximum prices shall have been generally established on any of such stock exchanges by the Commission or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79" w:lineRule="exact"/>
        <w:rPr>
          <w:sz w:val="20"/>
          <w:szCs w:val="20"/>
          <w:color w:val="auto"/>
        </w:rPr>
      </w:pPr>
    </w:p>
    <w:p>
      <w:pPr>
        <w:jc w:val="both"/>
        <w:ind w:firstLine="757"/>
        <w:spacing w:after="0" w:line="236" w:lineRule="auto"/>
        <w:tabs>
          <w:tab w:leader="none" w:pos="105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Documents Required to be Delivered on each Issuance Notice Date</w:t>
      </w:r>
      <w:r>
        <w:rPr>
          <w:rFonts w:ascii="Times New Roman" w:cs="Times New Roman" w:eastAsia="Times New Roman" w:hAnsi="Times New Roman"/>
          <w:sz w:val="22"/>
          <w:szCs w:val="22"/>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08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Material Omission</w:t>
      </w:r>
      <w:r>
        <w:rPr>
          <w:rFonts w:ascii="Times New Roman" w:cs="Times New Roman" w:eastAsia="Times New Roman" w:hAnsi="Times New Roman"/>
          <w:sz w:val="22"/>
          <w:szCs w:val="22"/>
          <w:color w:val="auto"/>
        </w:rPr>
        <w:t>. The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 INDEMNIFICATION AND CONTRIBUTION</w:t>
      </w:r>
    </w:p>
    <w:p>
      <w:pPr>
        <w:spacing w:after="0" w:line="210" w:lineRule="exact"/>
        <w:rPr>
          <w:sz w:val="20"/>
          <w:szCs w:val="20"/>
          <w:color w:val="auto"/>
        </w:rPr>
      </w:pPr>
    </w:p>
    <w:p>
      <w:pPr>
        <w:jc w:val="both"/>
        <w:ind w:firstLine="757"/>
        <w:spacing w:after="0" w:line="233" w:lineRule="auto"/>
        <w:tabs>
          <w:tab w:leader="none" w:pos="106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of the Agent</w:t>
      </w:r>
      <w:r>
        <w:rPr>
          <w:rFonts w:ascii="Times New Roman" w:cs="Times New Roman" w:eastAsia="Times New Roman" w:hAnsi="Times New Roman"/>
          <w:sz w:val="22"/>
          <w:szCs w:val="22"/>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made, not misleading; or (iii) any act or failure to act or any alleged act or failure to act by the Agent in connection with, or relating in any manner to, the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the Agent through its bad faith or willful misconduct, and to reimburse the Agent and each such officer, employee and controlling person for any and all reasonable and documented expenses (including the reasonable and documented fees and disbursements of counsel chosen by the Agent) as such documented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ninth paragraph under the section “Plan of Distribution” in the Prospectus (the “</w:t>
      </w:r>
      <w:r>
        <w:rPr>
          <w:rFonts w:ascii="Times New Roman" w:cs="Times New Roman" w:eastAsia="Times New Roman" w:hAnsi="Times New Roman"/>
          <w:sz w:val="22"/>
          <w:szCs w:val="22"/>
          <w:b w:val="1"/>
          <w:bCs w:val="1"/>
          <w:color w:val="auto"/>
        </w:rPr>
        <w:t>Agent Information</w:t>
      </w:r>
      <w:r>
        <w:rPr>
          <w:rFonts w:ascii="Times New Roman" w:cs="Times New Roman" w:eastAsia="Times New Roman" w:hAnsi="Times New Roman"/>
          <w:sz w:val="22"/>
          <w:szCs w:val="22"/>
          <w:color w:val="auto"/>
        </w:rPr>
        <w:t>”). The indemnity agreement set forth in this ‎Section 6(a) shall be in addition to any liabilities that the Company may otherwise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66675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666750" cy="8890"/>
                    </a:xfrm>
                    <a:prstGeom prst="rect">
                      <a:avLst/>
                    </a:prstGeom>
                    <a:noFill/>
                  </pic:spPr>
                </pic:pic>
              </a:graphicData>
            </a:graphic>
          </wp:anchor>
        </w:drawing>
      </w:r>
    </w:p>
    <w:p>
      <w:pPr>
        <w:spacing w:after="0" w:line="170" w:lineRule="exact"/>
        <w:rPr>
          <w:sz w:val="20"/>
          <w:szCs w:val="20"/>
          <w:color w:val="auto"/>
        </w:rPr>
      </w:pPr>
    </w:p>
    <w:p>
      <w:pPr>
        <w:jc w:val="both"/>
        <w:ind w:firstLine="757"/>
        <w:spacing w:after="0" w:line="232" w:lineRule="auto"/>
        <w:tabs>
          <w:tab w:leader="none" w:pos="106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of the Company, its Directors and Officers</w:t>
      </w:r>
      <w:r>
        <w:rPr>
          <w:rFonts w:ascii="Times New Roman" w:cs="Times New Roman" w:eastAsia="Times New Roman" w:hAnsi="Times New Roman"/>
          <w:sz w:val="22"/>
          <w:szCs w:val="22"/>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Company and each such director, officer and controlling person for any and all reasonable and documented expenses (including the reasonable and documented fees and disbursements of counsel chosen by the Company) as such expenses are reasonably incurred by the Company or such officer, director or controlling person in connection with investigating, defending, settling, compromising or paying any such loss, claim, damage,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liability, expense or action;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the Agent Information. The indemnity agreement set forth in this Section 6(b) shall be in addition to any liabilities that the Agent may otherwise have.</w:t>
      </w:r>
    </w:p>
    <w:p>
      <w:pPr>
        <w:spacing w:after="0" w:line="176" w:lineRule="exact"/>
        <w:rPr>
          <w:sz w:val="20"/>
          <w:szCs w:val="20"/>
          <w:color w:val="auto"/>
        </w:rPr>
      </w:pPr>
    </w:p>
    <w:p>
      <w:pPr>
        <w:ind w:left="1100" w:hanging="343"/>
        <w:spacing w:after="0"/>
        <w:tabs>
          <w:tab w:leader="none" w:pos="11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Notifications and Other Indemnification Procedures</w:t>
      </w:r>
      <w:r>
        <w:rPr>
          <w:rFonts w:ascii="Times New Roman" w:cs="Times New Roman" w:eastAsia="Times New Roman" w:hAnsi="Times New Roman"/>
          <w:sz w:val="22"/>
          <w:szCs w:val="22"/>
          <w:color w:val="auto"/>
        </w:rPr>
        <w:t>.  Promptly after receipt by an indemnified party under this</w:t>
      </w:r>
    </w:p>
    <w:p>
      <w:pPr>
        <w:spacing w:after="0" w:line="14" w:lineRule="exact"/>
        <w:rPr>
          <w:rFonts w:ascii="Times New Roman" w:cs="Times New Roman" w:eastAsia="Times New Roman" w:hAnsi="Times New Roman"/>
          <w:sz w:val="22"/>
          <w:szCs w:val="22"/>
          <w:color w:val="auto"/>
        </w:rPr>
      </w:pP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 of notice of the commencement of any action, such indemnified party will, if a claim in respect thereof is to be made</w:t>
      </w:r>
    </w:p>
    <w:p>
      <w:pPr>
        <w:jc w:val="both"/>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against an indemnifying party under this Section‎ 6, notify the indemnifying party in writing of the commencement thereof, but the omission so to notify the indemnifying party will not relieve it from any liability which it may have to any indemnified party</w:t>
      </w:r>
    </w:p>
    <w:p>
      <w:pPr>
        <w:spacing w:after="0" w:line="1" w:lineRule="exact"/>
        <w:rPr>
          <w:rFonts w:ascii="Times New Roman" w:cs="Times New Roman" w:eastAsia="Times New Roman" w:hAnsi="Times New Roman"/>
          <w:sz w:val="22"/>
          <w:szCs w:val="22"/>
          <w:color w:val="auto"/>
        </w:rPr>
      </w:pPr>
    </w:p>
    <w:p>
      <w:pPr>
        <w:jc w:val="both"/>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for contribution or otherwise than under the indemnity agreement contained in this Section‎ 6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w:t>
      </w:r>
    </w:p>
    <w:p>
      <w:pPr>
        <w:spacing w:after="0" w:line="6" w:lineRule="exact"/>
        <w:rPr>
          <w:rFonts w:ascii="Times New Roman" w:cs="Times New Roman" w:eastAsia="Times New Roman" w:hAnsi="Times New Roman"/>
          <w:sz w:val="22"/>
          <w:szCs w:val="22"/>
          <w:color w:val="auto"/>
        </w:rPr>
      </w:pPr>
    </w:p>
    <w:p>
      <w:pPr>
        <w:jc w:val="both"/>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indemnified party under this Section‎ 6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 (in the</w:t>
      </w:r>
    </w:p>
    <w:p>
      <w:pPr>
        <w:spacing w:after="0" w:line="2" w:lineRule="exact"/>
        <w:rPr>
          <w:rFonts w:ascii="Times New Roman" w:cs="Times New Roman" w:eastAsia="Times New Roman" w:hAnsi="Times New Roman"/>
          <w:sz w:val="22"/>
          <w:szCs w:val="22"/>
          <w:color w:val="auto"/>
        </w:rPr>
      </w:pPr>
    </w:p>
    <w:p>
      <w:pPr>
        <w:jc w:val="both"/>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case of counsel for the indemnified parties referred to in Section‎ 6(a) above), (ii) the indemnifying party shall not have employed counsel resasonably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-3888740</wp:posOffset>
            </wp:positionV>
            <wp:extent cx="51435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3">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-3734435</wp:posOffset>
            </wp:positionV>
            <wp:extent cx="52260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4">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-3425825</wp:posOffset>
            </wp:positionV>
            <wp:extent cx="51435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5">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1691640</wp:posOffset>
            </wp:positionH>
            <wp:positionV relativeFrom="paragraph">
              <wp:posOffset>-1419860</wp:posOffset>
            </wp:positionV>
            <wp:extent cx="53149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3137535</wp:posOffset>
            </wp:positionH>
            <wp:positionV relativeFrom="paragraph">
              <wp:posOffset>-648335</wp:posOffset>
            </wp:positionV>
            <wp:extent cx="66675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666750" cy="8255"/>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5" w:lineRule="exact"/>
        <w:rPr>
          <w:sz w:val="20"/>
          <w:szCs w:val="20"/>
          <w:color w:val="auto"/>
        </w:rPr>
      </w:pPr>
    </w:p>
    <w:p>
      <w:pPr>
        <w:jc w:val="both"/>
        <w:ind w:firstLine="757"/>
        <w:spacing w:after="0" w:line="247" w:lineRule="auto"/>
        <w:tabs>
          <w:tab w:leader="none" w:pos="1068"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Settlements</w:t>
      </w:r>
      <w:r>
        <w:rPr>
          <w:rFonts w:ascii="Times New Roman" w:cs="Times New Roman" w:eastAsia="Times New Roman" w:hAnsi="Times New Roman"/>
          <w:sz w:val="21"/>
          <w:szCs w:val="21"/>
          <w:color w:val="auto"/>
        </w:rPr>
        <w:t>. The indemnifying party under this Section‎ 6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w:t>
      </w:r>
    </w:p>
    <w:p>
      <w:pPr>
        <w:spacing w:after="0" w:line="1" w:lineRule="exact"/>
        <w:rPr>
          <w:rFonts w:ascii="Times New Roman" w:cs="Times New Roman" w:eastAsia="Times New Roman" w:hAnsi="Times New Roman"/>
          <w:sz w:val="21"/>
          <w:szCs w:val="21"/>
          <w:color w:val="auto"/>
        </w:rPr>
      </w:pPr>
    </w:p>
    <w:p>
      <w:pPr>
        <w:jc w:val="both"/>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indemnifying party to reimburse the indemnified party for fees and expenses of counsel as contemplated by Section‎ 6(c) hereof, the indemnifying party agrees that it shall be liable for any settlement of any proceeding effected without its written consent if (i) such settlement is entered into more than sixty (60) calendar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78" w:lineRule="exact"/>
        <w:rPr>
          <w:rFonts w:ascii="Times New Roman" w:cs="Times New Roman" w:eastAsia="Times New Roman" w:hAnsi="Times New Roman"/>
          <w:sz w:val="21"/>
          <w:szCs w:val="21"/>
          <w:color w:val="auto"/>
        </w:rPr>
      </w:pPr>
    </w:p>
    <w:p>
      <w:pPr>
        <w:jc w:val="both"/>
        <w:ind w:firstLine="757"/>
        <w:spacing w:after="0" w:line="232" w:lineRule="auto"/>
        <w:tabs>
          <w:tab w:leader="none" w:pos="105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 If the indemnification provided for in this Section‎ 6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Selling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-4636135</wp:posOffset>
            </wp:positionV>
            <wp:extent cx="52260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-2493010</wp:posOffset>
            </wp:positionV>
            <wp:extent cx="53149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7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amount paid or payable by a party as a result of the losses, claims, damages, liabilities and expenses referred to above shall be deemed to include, subject to the limitations set forth in </w:t>
      </w:r>
      <w:r>
        <w:rPr>
          <w:rFonts w:ascii="Times New Roman" w:cs="Times New Roman" w:eastAsia="Times New Roman" w:hAnsi="Times New Roman"/>
          <w:sz w:val="22"/>
          <w:szCs w:val="22"/>
          <w:u w:val="single" w:color="auto"/>
          <w:color w:val="auto"/>
        </w:rPr>
        <w:t>Section 6(c)</w:t>
      </w:r>
      <w:r>
        <w:rPr>
          <w:rFonts w:ascii="Times New Roman" w:cs="Times New Roman" w:eastAsia="Times New Roman" w:hAnsi="Times New Roman"/>
          <w:sz w:val="22"/>
          <w:szCs w:val="22"/>
          <w:color w:val="auto"/>
        </w:rPr>
        <w:t xml:space="preserve">, any legal or other fees or expenses reasonably incurred by such party in connection with investigating or defending any action or claim. The provisions set forth in </w:t>
      </w:r>
      <w:r>
        <w:rPr>
          <w:rFonts w:ascii="Times New Roman" w:cs="Times New Roman" w:eastAsia="Times New Roman" w:hAnsi="Times New Roman"/>
          <w:sz w:val="22"/>
          <w:szCs w:val="22"/>
          <w:u w:val="single" w:color="auto"/>
          <w:color w:val="auto"/>
        </w:rPr>
        <w:t>Section 6(c)</w:t>
      </w:r>
      <w:r>
        <w:rPr>
          <w:rFonts w:ascii="Times New Roman" w:cs="Times New Roman" w:eastAsia="Times New Roman" w:hAnsi="Times New Roman"/>
          <w:sz w:val="22"/>
          <w:szCs w:val="22"/>
          <w:color w:val="auto"/>
        </w:rPr>
        <w:t xml:space="preserve"> with respect to notice of commencement of any action shall apply if a claim for contribution is to be made under this </w:t>
      </w:r>
      <w:r>
        <w:rPr>
          <w:rFonts w:ascii="Times New Roman" w:cs="Times New Roman" w:eastAsia="Times New Roman" w:hAnsi="Times New Roman"/>
          <w:sz w:val="22"/>
          <w:szCs w:val="22"/>
          <w:u w:val="single" w:color="auto"/>
          <w:color w:val="auto"/>
        </w:rPr>
        <w:t>Section 6(e)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 additional notice shall be required with</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respect to any action for which notice has been given under </w:t>
      </w:r>
      <w:r>
        <w:rPr>
          <w:rFonts w:ascii="Times New Roman" w:cs="Times New Roman" w:eastAsia="Times New Roman" w:hAnsi="Times New Roman"/>
          <w:sz w:val="22"/>
          <w:szCs w:val="22"/>
          <w:u w:val="single" w:color="auto"/>
          <w:color w:val="auto"/>
        </w:rPr>
        <w:t>Section 6(c)</w:t>
      </w:r>
      <w:r>
        <w:rPr>
          <w:rFonts w:ascii="Times New Roman" w:cs="Times New Roman" w:eastAsia="Times New Roman" w:hAnsi="Times New Roman"/>
          <w:sz w:val="22"/>
          <w:szCs w:val="22"/>
          <w:color w:val="auto"/>
        </w:rPr>
        <w:t xml:space="preserve"> for purposes of indemnification.</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The Company and the Agent agree that it would not be just and equitable if contribution pursuant to this </w:t>
      </w:r>
      <w:r>
        <w:rPr>
          <w:rFonts w:ascii="Times New Roman" w:cs="Times New Roman" w:eastAsia="Times New Roman" w:hAnsi="Times New Roman"/>
          <w:sz w:val="22"/>
          <w:szCs w:val="22"/>
          <w:u w:val="single" w:color="auto"/>
          <w:color w:val="auto"/>
        </w:rPr>
        <w:t>Section 6(e)</w:t>
      </w:r>
      <w:r>
        <w:rPr>
          <w:rFonts w:ascii="Times New Roman" w:cs="Times New Roman" w:eastAsia="Times New Roman" w:hAnsi="Times New Roman"/>
          <w:sz w:val="22"/>
          <w:szCs w:val="22"/>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22"/>
          <w:szCs w:val="22"/>
          <w:u w:val="single" w:color="auto"/>
          <w:color w:val="auto"/>
        </w:rPr>
        <w:t>Section 6(e)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Notwithstanding the provisions of this </w:t>
      </w:r>
      <w:r>
        <w:rPr>
          <w:rFonts w:ascii="Times New Roman" w:cs="Times New Roman" w:eastAsia="Times New Roman" w:hAnsi="Times New Roman"/>
          <w:sz w:val="22"/>
          <w:szCs w:val="22"/>
          <w:u w:val="single" w:color="auto"/>
          <w:color w:val="auto"/>
        </w:rPr>
        <w:t>Section 6(e)</w:t>
      </w:r>
      <w:r>
        <w:rPr>
          <w:rFonts w:ascii="Times New Roman" w:cs="Times New Roman" w:eastAsia="Times New Roman" w:hAnsi="Times New Roman"/>
          <w:sz w:val="22"/>
          <w:szCs w:val="22"/>
          <w:color w:val="auto"/>
        </w:rPr>
        <w:t xml:space="preserve">, the Agent shall not be required to contribute any amount in excess of the Selling Commissions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 w:cs="Times New Roman" w:eastAsia="Times New Roman" w:hAnsi="Times New Roman"/>
          <w:sz w:val="22"/>
          <w:szCs w:val="22"/>
          <w:u w:val="single" w:color="auto"/>
          <w:color w:val="auto"/>
        </w:rPr>
        <w:t>Section 6(e)</w:t>
      </w:r>
      <w:r>
        <w:rPr>
          <w:rFonts w:ascii="Times New Roman" w:cs="Times New Roman" w:eastAsia="Times New Roman" w:hAnsi="Times New Roman"/>
          <w:sz w:val="22"/>
          <w:szCs w:val="22"/>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 TERMINATION &amp; SURVIVAL</w:t>
      </w:r>
    </w:p>
    <w:p>
      <w:pPr>
        <w:spacing w:after="0" w:line="210" w:lineRule="exact"/>
        <w:rPr>
          <w:sz w:val="20"/>
          <w:szCs w:val="20"/>
          <w:color w:val="auto"/>
        </w:rPr>
      </w:pPr>
    </w:p>
    <w:p>
      <w:pPr>
        <w:jc w:val="both"/>
        <w:ind w:firstLine="757"/>
        <w:spacing w:after="0" w:line="253" w:lineRule="auto"/>
        <w:tabs>
          <w:tab w:leader="none" w:pos="105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xml:space="preserve">. Subject to the provisions of this Section‎ 7, the term of this Agreement shall continue from the date of this Agreement until the end of the Agency Period, unless earlier terminated by the parties to this Agreement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7</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1"/>
          <w:szCs w:val="21"/>
          <w:color w:val="auto"/>
        </w:rPr>
      </w:pPr>
    </w:p>
    <w:p>
      <w:pPr>
        <w:ind w:left="1060" w:hanging="303"/>
        <w:spacing w:after="0"/>
        <w:tabs>
          <w:tab w:leader="none" w:pos="10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Survival Following Termination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49" w:lineRule="auto"/>
        <w:tabs>
          <w:tab w:leader="none" w:pos="2524"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w:t>
      </w:r>
    </w:p>
    <w:p>
      <w:pPr>
        <w:spacing w:after="0" w:line="1"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remain obligated to comply with Section‎ 3(b)(v) with respect to such Shares and (B) Section‎ 2, Section‎ 6, Section‎ 7 and</w:t>
      </w:r>
    </w:p>
    <w:p>
      <w:pPr>
        <w:spacing w:after="0" w:line="1" w:lineRule="exact"/>
        <w:rPr>
          <w:rFonts w:ascii="Times New Roman" w:cs="Times New Roman" w:eastAsia="Times New Roman" w:hAnsi="Times New Roman"/>
          <w:sz w:val="21"/>
          <w:szCs w:val="21"/>
          <w:color w:val="auto"/>
        </w:rPr>
      </w:pPr>
    </w:p>
    <w:p>
      <w:pPr>
        <w:ind w:left="76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Section‎ 8 shall survive termination of this Agreement. If termination shall occur prior to the Settlement Date for any sale of Shares, such sale shall nevertheless settle in accordance with the terms of this Agreement.</w:t>
      </w:r>
    </w:p>
    <w:p>
      <w:pPr>
        <w:spacing w:after="0" w:line="178" w:lineRule="exact"/>
        <w:rPr>
          <w:rFonts w:ascii="Times New Roman" w:cs="Times New Roman" w:eastAsia="Times New Roman" w:hAnsi="Times New Roman"/>
          <w:sz w:val="21"/>
          <w:szCs w:val="21"/>
          <w:color w:val="auto"/>
        </w:rPr>
      </w:pPr>
    </w:p>
    <w:p>
      <w:pPr>
        <w:jc w:val="both"/>
        <w:ind w:left="760" w:firstLine="1494"/>
        <w:spacing w:after="0" w:line="236" w:lineRule="auto"/>
        <w:tabs>
          <w:tab w:leader="none" w:pos="2612"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survival provision of Section‎ 7(b)(i),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2943860</wp:posOffset>
            </wp:positionH>
            <wp:positionV relativeFrom="paragraph">
              <wp:posOffset>-2755900</wp:posOffset>
            </wp:positionV>
            <wp:extent cx="52260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2322195</wp:posOffset>
            </wp:positionH>
            <wp:positionV relativeFrom="paragraph">
              <wp:posOffset>-1401445</wp:posOffset>
            </wp:positionV>
            <wp:extent cx="8343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834390" cy="8255"/>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-1401445</wp:posOffset>
            </wp:positionV>
            <wp:extent cx="173990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1739900" cy="8255"/>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-1247140</wp:posOffset>
            </wp:positionV>
            <wp:extent cx="52260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-801370</wp:posOffset>
            </wp:positionV>
            <wp:extent cx="82931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6">
                      <a:extLst>
                        <a:ext uri="{28A0092B-C50C-407E-A947-70E740481C1C}"/>
                      </a:extLst>
                    </a:blip>
                    <a:srcRect/>
                    <a:stretch>
                      <a:fillRect/>
                    </a:stretch>
                  </pic:blipFill>
                  <pic:spPr bwMode="auto">
                    <a:xfrm>
                      <a:off x="0" y="0"/>
                      <a:ext cx="829310" cy="8890"/>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8. MISCELLANEOUS</w:t>
      </w:r>
    </w:p>
    <w:p>
      <w:pPr>
        <w:spacing w:after="0" w:line="210" w:lineRule="exact"/>
        <w:rPr>
          <w:sz w:val="20"/>
          <w:szCs w:val="20"/>
          <w:color w:val="auto"/>
        </w:rPr>
      </w:pPr>
    </w:p>
    <w:p>
      <w:pPr>
        <w:jc w:val="both"/>
        <w:ind w:firstLine="757"/>
        <w:spacing w:after="0" w:line="247" w:lineRule="exact"/>
        <w:tabs>
          <w:tab w:leader="none" w:pos="108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Press Releases and Disclosure</w:t>
      </w:r>
      <w:r>
        <w:rPr>
          <w:rFonts w:ascii="Times New Roman" w:cs="Times New Roman" w:eastAsia="Times New Roman" w:hAnsi="Times New Roman"/>
          <w:sz w:val="22"/>
          <w:szCs w:val="22"/>
          <w:color w:val="auto"/>
        </w:rPr>
        <w:t>. The Company may issue a press release describing the material terms of the transactions contemplated hereby as soon as practicable following the date of this Agreement, and may file with the Commission a Current Report on Form 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(with the exception of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82" w:lineRule="exact"/>
        <w:rPr>
          <w:rFonts w:ascii="Times New Roman" w:cs="Times New Roman" w:eastAsia="Times New Roman" w:hAnsi="Times New Roman"/>
          <w:sz w:val="22"/>
          <w:szCs w:val="22"/>
          <w:color w:val="auto"/>
        </w:rPr>
      </w:pPr>
    </w:p>
    <w:p>
      <w:pPr>
        <w:jc w:val="both"/>
        <w:ind w:firstLine="757"/>
        <w:spacing w:after="0" w:line="233" w:lineRule="auto"/>
        <w:tabs>
          <w:tab w:leader="none" w:pos="112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Advisory or Fiduciary Relationship</w:t>
      </w:r>
      <w:r>
        <w:rPr>
          <w:rFonts w:ascii="Times New Roman" w:cs="Times New Roman" w:eastAsia="Times New Roman" w:hAnsi="Times New Roman"/>
          <w:sz w:val="22"/>
          <w:szCs w:val="22"/>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87" w:lineRule="exact"/>
        <w:rPr>
          <w:rFonts w:ascii="Times New Roman" w:cs="Times New Roman" w:eastAsia="Times New Roman" w:hAnsi="Times New Roman"/>
          <w:sz w:val="22"/>
          <w:szCs w:val="22"/>
          <w:color w:val="auto"/>
        </w:rPr>
      </w:pPr>
    </w:p>
    <w:p>
      <w:pPr>
        <w:jc w:val="both"/>
        <w:ind w:firstLine="757"/>
        <w:spacing w:after="0" w:line="235" w:lineRule="auto"/>
        <w:tabs>
          <w:tab w:leader="none" w:pos="108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Research Analyst Independence</w:t>
      </w:r>
      <w:r>
        <w:rPr>
          <w:rFonts w:ascii="Times New Roman" w:cs="Times New Roman" w:eastAsia="Times New Roman" w:hAnsi="Times New Roman"/>
          <w:sz w:val="22"/>
          <w:szCs w:val="22"/>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contemplated by this Agreement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85" w:lineRule="exact"/>
        <w:rPr>
          <w:sz w:val="20"/>
          <w:szCs w:val="20"/>
          <w:color w:val="auto"/>
        </w:rPr>
      </w:pPr>
    </w:p>
    <w:p>
      <w:pPr>
        <w:ind w:right="20" w:firstLine="757"/>
        <w:spacing w:after="0" w:line="258" w:lineRule="auto"/>
        <w:tabs>
          <w:tab w:leader="none" w:pos="106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communications hereunder shall be in writing and shall be mailed, hand delivered, sent via electronic mail (if applicable) or telecopied and confirmed to the parties hereto as follows: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If to the Agent: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Jefferies LLC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520 Madison Avenue</w:t>
      </w:r>
    </w:p>
    <w:p>
      <w:pPr>
        <w:ind w:left="1500"/>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and an additional copy (which shall not constitute notice) to:</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Paul Hastings LLP</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The MetLife Building</w:t>
      </w:r>
    </w:p>
    <w:p>
      <w:pPr>
        <w:ind w:left="1500"/>
        <w:spacing w:after="0" w:line="230" w:lineRule="auto"/>
        <w:rPr>
          <w:sz w:val="20"/>
          <w:szCs w:val="20"/>
          <w:color w:val="auto"/>
        </w:rPr>
      </w:pPr>
      <w:r>
        <w:rPr>
          <w:rFonts w:ascii="Times New Roman" w:cs="Times New Roman" w:eastAsia="Times New Roman" w:hAnsi="Times New Roman"/>
          <w:sz w:val="22"/>
          <w:szCs w:val="22"/>
          <w:color w:val="auto"/>
        </w:rPr>
        <w:t>200 Park Avenue</w:t>
      </w:r>
    </w:p>
    <w:p>
      <w:pPr>
        <w:ind w:left="1500"/>
        <w:spacing w:after="0" w:line="231" w:lineRule="auto"/>
        <w:rPr>
          <w:sz w:val="20"/>
          <w:szCs w:val="20"/>
          <w:color w:val="auto"/>
        </w:rPr>
      </w:pPr>
      <w:r>
        <w:rPr>
          <w:rFonts w:ascii="Times New Roman" w:cs="Times New Roman" w:eastAsia="Times New Roman" w:hAnsi="Times New Roman"/>
          <w:sz w:val="22"/>
          <w:szCs w:val="22"/>
          <w:color w:val="auto"/>
        </w:rPr>
        <w:t>New York, New York 10166</w:t>
      </w:r>
    </w:p>
    <w:p>
      <w:pPr>
        <w:ind w:left="1500"/>
        <w:spacing w:after="0"/>
        <w:rPr>
          <w:sz w:val="20"/>
          <w:szCs w:val="20"/>
          <w:color w:val="auto"/>
        </w:rPr>
      </w:pPr>
      <w:r>
        <w:rPr>
          <w:rFonts w:ascii="Times New Roman" w:cs="Times New Roman" w:eastAsia="Times New Roman" w:hAnsi="Times New Roman"/>
          <w:sz w:val="22"/>
          <w:szCs w:val="22"/>
          <w:color w:val="auto"/>
        </w:rPr>
        <w:t>Attention: Siavosh Salimi and William A. Magioncalda</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Palladyne AI Corp.</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650 South 500 West, Suite 150</w:t>
      </w:r>
    </w:p>
    <w:p>
      <w:pPr>
        <w:ind w:left="1500"/>
        <w:spacing w:after="0" w:line="230" w:lineRule="auto"/>
        <w:rPr>
          <w:sz w:val="20"/>
          <w:szCs w:val="20"/>
          <w:color w:val="auto"/>
        </w:rPr>
      </w:pPr>
      <w:r>
        <w:rPr>
          <w:rFonts w:ascii="Times New Roman" w:cs="Times New Roman" w:eastAsia="Times New Roman" w:hAnsi="Times New Roman"/>
          <w:sz w:val="22"/>
          <w:szCs w:val="22"/>
          <w:color w:val="auto"/>
        </w:rPr>
        <w:t>Salt Lake City, Utah 84101</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Attention: Ben Wolff, Trevor Thatcher and Stephen Sonne</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Wilson Sonsini Goodrich &amp; Rosati, P.C.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701 5th Ave., Suite 5100</w:t>
      </w:r>
    </w:p>
    <w:p>
      <w:pPr>
        <w:ind w:left="1500"/>
        <w:spacing w:after="0" w:line="230" w:lineRule="auto"/>
        <w:rPr>
          <w:sz w:val="20"/>
          <w:szCs w:val="20"/>
          <w:color w:val="auto"/>
        </w:rPr>
      </w:pPr>
      <w:r>
        <w:rPr>
          <w:rFonts w:ascii="Times New Roman" w:cs="Times New Roman" w:eastAsia="Times New Roman" w:hAnsi="Times New Roman"/>
          <w:sz w:val="22"/>
          <w:szCs w:val="22"/>
          <w:color w:val="auto"/>
        </w:rPr>
        <w:t>Seattle, WA 98104-7036</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Attention: Michael Nordtvedt</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Any party hereto may change the address for receipt of communications by giving written notice to the others in accordance with this ‎Section 8(d).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-44450</wp:posOffset>
            </wp:positionV>
            <wp:extent cx="67437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674370" cy="8890"/>
                    </a:xfrm>
                    <a:prstGeom prst="rect">
                      <a:avLst/>
                    </a:prstGeom>
                    <a:noFill/>
                  </pic:spPr>
                </pic:pic>
              </a:graphicData>
            </a:graphic>
          </wp:anchor>
        </w:drawing>
      </w:r>
    </w:p>
    <w:p>
      <w:pPr>
        <w:spacing w:after="0" w:line="138" w:lineRule="exact"/>
        <w:rPr>
          <w:sz w:val="20"/>
          <w:szCs w:val="20"/>
          <w:color w:val="auto"/>
        </w:rPr>
      </w:pPr>
    </w:p>
    <w:p>
      <w:pPr>
        <w:ind w:left="1060" w:hanging="303"/>
        <w:spacing w:after="0"/>
        <w:tabs>
          <w:tab w:leader="none" w:pos="10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will inure to the benefit of and be binding upon the parties hereto, and to the benefit of</w:t>
      </w:r>
    </w:p>
    <w:p>
      <w:pPr>
        <w:spacing w:after="0" w:line="14" w:lineRule="exact"/>
        <w:rPr>
          <w:rFonts w:ascii="Times New Roman" w:cs="Times New Roman" w:eastAsia="Times New Roman" w:hAnsi="Times New Roman"/>
          <w:sz w:val="22"/>
          <w:szCs w:val="22"/>
          <w:color w:val="auto"/>
        </w:rPr>
      </w:pPr>
    </w:p>
    <w:p>
      <w:pPr>
        <w:jc w:val="both"/>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officers and directors and controlling persons referred to in Section‎ 6, and in each case their respective successors, and no other person will have any right or obligation hereunder. The term “successors” shall not include any purchaser of the Shares as such from the Agent merely by reason of such purchase.</w:t>
      </w:r>
    </w:p>
    <w:p>
      <w:pPr>
        <w:spacing w:after="0" w:line="177" w:lineRule="exact"/>
        <w:rPr>
          <w:rFonts w:ascii="Times New Roman" w:cs="Times New Roman" w:eastAsia="Times New Roman" w:hAnsi="Times New Roman"/>
          <w:sz w:val="22"/>
          <w:szCs w:val="22"/>
          <w:color w:val="auto"/>
        </w:rPr>
      </w:pPr>
    </w:p>
    <w:p>
      <w:pPr>
        <w:jc w:val="both"/>
        <w:ind w:firstLine="757"/>
        <w:spacing w:after="0" w:line="255" w:lineRule="auto"/>
        <w:tabs>
          <w:tab w:leader="none" w:pos="103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Partial Unenforceability</w:t>
      </w:r>
      <w:r>
        <w:rPr>
          <w:rFonts w:ascii="Times New Roman" w:cs="Times New Roman" w:eastAsia="Times New Roman" w:hAnsi="Times New Roman"/>
          <w:sz w:val="21"/>
          <w:szCs w:val="21"/>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4131310</wp:posOffset>
            </wp:positionH>
            <wp:positionV relativeFrom="paragraph">
              <wp:posOffset>-1104900</wp:posOffset>
            </wp:positionV>
            <wp:extent cx="51435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85" w:lineRule="exact"/>
        <w:rPr>
          <w:sz w:val="20"/>
          <w:szCs w:val="20"/>
          <w:color w:val="auto"/>
        </w:rPr>
      </w:pPr>
    </w:p>
    <w:p>
      <w:pPr>
        <w:jc w:val="both"/>
        <w:ind w:firstLine="757"/>
        <w:spacing w:after="0" w:line="244" w:lineRule="auto"/>
        <w:tabs>
          <w:tab w:leader="none" w:pos="1082"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Recognition of U.S. Special Resolutions Regimes</w:t>
      </w:r>
      <w:r>
        <w:rPr>
          <w:rFonts w:ascii="Times New Roman" w:cs="Times New Roman" w:eastAsia="Times New Roman" w:hAnsi="Times New Roman"/>
          <w:sz w:val="21"/>
          <w:szCs w:val="21"/>
          <w:color w:val="auto"/>
        </w:rPr>
        <w:t>.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 For purposes of this Agreement, (A) “</w:t>
      </w:r>
      <w:r>
        <w:rPr>
          <w:rFonts w:ascii="Times New Roman" w:cs="Times New Roman" w:eastAsia="Times New Roman" w:hAnsi="Times New Roman"/>
          <w:sz w:val="21"/>
          <w:szCs w:val="21"/>
          <w:b w:val="1"/>
          <w:bCs w:val="1"/>
          <w:color w:val="auto"/>
        </w:rPr>
        <w:t>BHC Act Affiliate</w:t>
      </w:r>
      <w:r>
        <w:rPr>
          <w:rFonts w:ascii="Times New Roman" w:cs="Times New Roman" w:eastAsia="Times New Roman" w:hAnsi="Times New Roman"/>
          <w:sz w:val="21"/>
          <w:szCs w:val="21"/>
          <w:color w:val="auto"/>
        </w:rPr>
        <w:t>” has the meaning assigned to the term “affiliate” in, and shall be interpreted in accordance with, 12 U.S.C. § 1841(k); (B) “</w:t>
      </w:r>
      <w:r>
        <w:rPr>
          <w:rFonts w:ascii="Times New Roman" w:cs="Times New Roman" w:eastAsia="Times New Roman" w:hAnsi="Times New Roman"/>
          <w:sz w:val="21"/>
          <w:szCs w:val="21"/>
          <w:b w:val="1"/>
          <w:bCs w:val="1"/>
          <w:color w:val="auto"/>
        </w:rPr>
        <w:t>Covered Entity</w:t>
      </w:r>
      <w:r>
        <w:rPr>
          <w:rFonts w:ascii="Times New Roman" w:cs="Times New Roman" w:eastAsia="Times New Roman" w:hAnsi="Times New Roman"/>
          <w:sz w:val="21"/>
          <w:szCs w:val="21"/>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cs="Times New Roman" w:eastAsia="Times New Roman" w:hAnsi="Times New Roman"/>
          <w:sz w:val="21"/>
          <w:szCs w:val="21"/>
          <w:b w:val="1"/>
          <w:bCs w:val="1"/>
          <w:color w:val="auto"/>
        </w:rPr>
        <w:t>Default Right</w:t>
      </w:r>
      <w:r>
        <w:rPr>
          <w:rFonts w:ascii="Times New Roman" w:cs="Times New Roman" w:eastAsia="Times New Roman" w:hAnsi="Times New Roman"/>
          <w:sz w:val="21"/>
          <w:szCs w:val="21"/>
          <w:color w:val="auto"/>
        </w:rPr>
        <w:t>” has the meaning assigned to that term in, and shall be interpreted in accordance with, 12 C.F.R. §§ 252.81, 47.2 or 382.1, as applicable; and (D) “</w:t>
      </w:r>
      <w:r>
        <w:rPr>
          <w:rFonts w:ascii="Times New Roman" w:cs="Times New Roman" w:eastAsia="Times New Roman" w:hAnsi="Times New Roman"/>
          <w:sz w:val="21"/>
          <w:szCs w:val="21"/>
          <w:b w:val="1"/>
          <w:bCs w:val="1"/>
          <w:color w:val="auto"/>
        </w:rPr>
        <w:t>U.S. Special Resolution Regime</w:t>
      </w:r>
      <w:r>
        <w:rPr>
          <w:rFonts w:ascii="Times New Roman" w:cs="Times New Roman" w:eastAsia="Times New Roman" w:hAnsi="Times New Roman"/>
          <w:sz w:val="21"/>
          <w:szCs w:val="21"/>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5" w:lineRule="exact"/>
        <w:rPr>
          <w:rFonts w:ascii="Times New Roman" w:cs="Times New Roman" w:eastAsia="Times New Roman" w:hAnsi="Times New Roman"/>
          <w:sz w:val="21"/>
          <w:szCs w:val="21"/>
          <w:color w:val="auto"/>
        </w:rPr>
      </w:pPr>
    </w:p>
    <w:p>
      <w:pPr>
        <w:jc w:val="both"/>
        <w:ind w:firstLine="757"/>
        <w:spacing w:after="0" w:line="233" w:lineRule="auto"/>
        <w:tabs>
          <w:tab w:leader="none" w:pos="105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Provisions</w:t>
      </w:r>
      <w:r>
        <w:rPr>
          <w:rFonts w:ascii="Times New Roman" w:cs="Times New Roman" w:eastAsia="Times New Roman" w:hAnsi="Times New Roman"/>
          <w:sz w:val="22"/>
          <w:szCs w:val="22"/>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Times New Roman" w:cs="Times New Roman" w:eastAsia="Times New Roman" w:hAnsi="Times New Roman"/>
          <w:sz w:val="22"/>
          <w:szCs w:val="22"/>
          <w:b w:val="1"/>
          <w:bCs w:val="1"/>
          <w:color w:val="auto"/>
        </w:rPr>
        <w:t>Related Proceedings</w:t>
      </w:r>
      <w:r>
        <w:rPr>
          <w:rFonts w:ascii="Times New Roman" w:cs="Times New Roman" w:eastAsia="Times New Roman" w:hAnsi="Times New Roman"/>
          <w:sz w:val="22"/>
          <w:szCs w:val="22"/>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22"/>
          <w:szCs w:val="22"/>
          <w:b w:val="1"/>
          <w:bCs w:val="1"/>
          <w:color w:val="auto"/>
        </w:rPr>
        <w:t>Specified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Courts</w:t>
      </w:r>
      <w:r>
        <w:rPr>
          <w:rFonts w:ascii="Times New Roman" w:cs="Times New Roman" w:eastAsia="Times New Roman" w:hAnsi="Times New Roman"/>
          <w:sz w:val="22"/>
          <w:szCs w:val="22"/>
          <w:color w:val="auto"/>
        </w:rPr>
        <w:t>”), and each party irrevocably submits to the exclusive jurisdiction (except for proceedings instituted in regard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enforcement of a judgment of any such court (a “</w:t>
      </w:r>
      <w:r>
        <w:rPr>
          <w:rFonts w:ascii="Times New Roman" w:cs="Times New Roman" w:eastAsia="Times New Roman" w:hAnsi="Times New Roman"/>
          <w:sz w:val="22"/>
          <w:szCs w:val="22"/>
          <w:b w:val="1"/>
          <w:bCs w:val="1"/>
          <w:color w:val="auto"/>
        </w:rPr>
        <w:t>Related Judgment</w:t>
      </w:r>
      <w:r>
        <w:rPr>
          <w:rFonts w:ascii="Times New Roman" w:cs="Times New Roman" w:eastAsia="Times New Roman" w:hAnsi="Times New Roman"/>
          <w:sz w:val="22"/>
          <w:szCs w:val="22"/>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4" w:lineRule="exact"/>
        <w:rPr>
          <w:rFonts w:ascii="Times New Roman" w:cs="Times New Roman" w:eastAsia="Times New Roman" w:hAnsi="Times New Roman"/>
          <w:sz w:val="22"/>
          <w:szCs w:val="22"/>
          <w:color w:val="auto"/>
        </w:rPr>
      </w:pPr>
    </w:p>
    <w:p>
      <w:pPr>
        <w:jc w:val="both"/>
        <w:ind w:firstLine="757"/>
        <w:spacing w:after="0" w:line="235" w:lineRule="auto"/>
        <w:tabs>
          <w:tab w:leader="none" w:pos="100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complying with the U.S. federal ESIGN Act of 2000, e.g., www.docusign.com or www.echosign.com). This Agreement may not be amended or modified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Immediately Follows]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21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2"/>
          <w:szCs w:val="22"/>
          <w:b w:val="1"/>
          <w:bCs w:val="1"/>
          <w:color w:val="auto"/>
        </w:rPr>
        <w:t>PALLADYNE AI CORP.</w:t>
      </w:r>
    </w:p>
    <w:p>
      <w:pPr>
        <w:spacing w:after="0" w:line="29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2"/>
          <w:szCs w:val="22"/>
          <w:color w:val="auto"/>
        </w:rPr>
        <w:t>By:  /s/ Benjamin G. Wolff</w:t>
      </w:r>
    </w:p>
    <w:p>
      <w:pPr>
        <w:spacing w:after="0" w:line="3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Name: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-160020</wp:posOffset>
            </wp:positionV>
            <wp:extent cx="298323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3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foregoing Agreement is hereby confirmed and accepted by the Agent in New York, New York as of the date first above written.</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JEFFERIES LLC</w:t>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  /s/ Michael Magarro</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Name: Michael Magarro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-160020</wp:posOffset>
            </wp:positionV>
            <wp:extent cx="298323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1028065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ISSUANCE NOTICE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Jefferies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 Madison Avenue</w:t>
      </w:r>
    </w:p>
    <w:p>
      <w:pPr>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[__________]</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Reference is made to the Open Market Sale Agreement between Palladyne AI Corp.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Jefferies LLC (the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dated as of November 13, 2024. The Company confirms that all conditions to the delivery of this Issuance Notice are satisfied as of the date hereof.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Delivery of Issuance Notice (determined pursuant to Section‎ 3(b)(i)):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1450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-13970</wp:posOffset>
            </wp:positionV>
            <wp:extent cx="80391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8">
                      <a:extLst>
                        <a:ext uri="{28A0092B-C50C-407E-A947-70E740481C1C}"/>
                      </a:extLst>
                    </a:blip>
                    <a:srcRect/>
                    <a:stretch>
                      <a:fillRect/>
                    </a:stretch>
                  </pic:blipFill>
                  <pic:spPr bwMode="auto">
                    <a:xfrm>
                      <a:off x="0" y="0"/>
                      <a:ext cx="80391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Issuance Amount (equal to the total Sales Price for such Shares):</w:t>
      </w:r>
    </w:p>
    <w:p>
      <w:pPr>
        <w:spacing w:after="0" w:line="23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19685</wp:posOffset>
            </wp:positionV>
            <wp:extent cx="228028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19685</wp:posOffset>
            </wp:positionV>
            <wp:extent cx="228028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0">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19685</wp:posOffset>
            </wp:positionV>
            <wp:extent cx="228028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19685</wp:posOffset>
            </wp:positionV>
            <wp:extent cx="228028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2">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Settlement Date(s) if other than standard T+1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345440</wp:posOffset>
            </wp:positionV>
            <wp:extent cx="228028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Floor Price Limitation (in no event less than $1.00 without the prior written consent of the Agent, which consent may be withheld in the Agent’s sole discretion): $ ____ per share</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19685</wp:posOffset>
            </wp:positionV>
            <wp:extent cx="61976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4">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345440</wp:posOffset>
            </wp:positionV>
            <wp:extent cx="172275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5">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10795</wp:posOffset>
            </wp:positionV>
            <wp:extent cx="25374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8" w:name="page129"/>
    <w:bookmarkEnd w:id="128"/>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Notice Parties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 Wolff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Stephen Sonne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Trevor Thatcher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The Agent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Magarro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Donald Lynaugh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G. Wolff, certify that:</w:t>
      </w:r>
    </w:p>
    <w:p>
      <w:pPr>
        <w:spacing w:after="0" w:line="225" w:lineRule="exact"/>
        <w:rPr>
          <w:sz w:val="20"/>
          <w:szCs w:val="20"/>
          <w:color w:val="auto"/>
        </w:rPr>
      </w:pPr>
    </w:p>
    <w:p>
      <w:pPr>
        <w:ind w:left="520" w:hanging="512"/>
        <w:spacing w:after="0"/>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Palladyne AI Corp.;</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 /s/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Trevor Thatcher, certify that:</w:t>
      </w:r>
    </w:p>
    <w:p>
      <w:pPr>
        <w:spacing w:after="0" w:line="225" w:lineRule="exact"/>
        <w:rPr>
          <w:sz w:val="20"/>
          <w:szCs w:val="20"/>
          <w:color w:val="auto"/>
        </w:rPr>
      </w:pPr>
    </w:p>
    <w:p>
      <w:pPr>
        <w:ind w:left="520" w:hanging="512"/>
        <w:spacing w:after="0"/>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Palladyne AI Corp.;</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 /s/ 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Palladyne AI Corp. (the “Company”) on Form 10-Q for the period ending September 30, 2024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900" w:hanging="359"/>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 /s/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Palladyne AI Corp. (the “Company”) on Form 10-Q for the period ending September 30, 2024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900" w:hanging="359"/>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 /s/ 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3" w:name="page134"/>
    <w:bookmarkEnd w:id="1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1."/>
      <w:numFmt w:val="decimal"/>
      <w:start w:val="1"/>
    </w:lvl>
  </w:abstractNum>
  <w:abstractNum w:abstractNumId="5">
    <w:nsid w:val="6DE91B18"/>
    <w:multiLevelType w:val="hybridMultilevel"/>
    <w:lvl w:ilvl="0">
      <w:lvlJc w:val="left"/>
      <w:lvlText w:val="(%1)"/>
      <w:numFmt w:val="decimal"/>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1."/>
      <w:numFmt w:val="decimal"/>
      <w:start w:val="5"/>
    </w:lvl>
    <w:lvl w:ilvl="1">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1)"/>
      <w:numFmt w:val="lowerRoman"/>
      <w:start w:val="2"/>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lvl w:ilvl="1">
      <w:lvlJc w:val="left"/>
      <w:lvlText w:val="%2"/>
      <w:numFmt w:val="decimal"/>
      <w:start w:val="104"/>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1)"/>
      <w:numFmt w:val="lowerLetter"/>
      <w:start w:val="1"/>
    </w:lvl>
  </w:abstractNum>
  <w:abstractNum w:abstractNumId="21">
    <w:nsid w:val="23F9C13C"/>
    <w:multiLevelType w:val="hybridMultilevel"/>
    <w:lvl w:ilvl="0">
      <w:lvlJc w:val="left"/>
      <w:lvlText w:val="%1"/>
      <w:numFmt w:val="lowerLetter"/>
      <w:start w:val="1"/>
    </w:lvl>
    <w:lvl w:ilvl="1">
      <w:lvlJc w:val="left"/>
      <w:lvlText w:val="(%2)"/>
      <w:numFmt w:val="lowerLetter"/>
      <w:start w:val="2"/>
    </w:lvl>
  </w:abstractNum>
  <w:abstractNum w:abstractNumId="22">
    <w:nsid w:val="649BB77C"/>
    <w:multiLevelType w:val="hybridMultilevel"/>
    <w:lvl w:ilvl="0">
      <w:lvlJc w:val="left"/>
      <w:lvlText w:val="(%1)"/>
      <w:numFmt w:val="lowerLetter"/>
      <w:start w:val="9"/>
    </w:lvl>
    <w:lvl w:ilvl="1">
      <w:lvlJc w:val="left"/>
      <w:lvlText w:val="%2"/>
      <w:numFmt w:val="lowerLetter"/>
      <w:start w:val="1"/>
    </w:lvl>
  </w:abstractNum>
  <w:abstractNum w:abstractNumId="23">
    <w:nsid w:val="275AC794"/>
    <w:multiLevelType w:val="hybridMultilevel"/>
    <w:lvl w:ilvl="0">
      <w:lvlJc w:val="left"/>
      <w:lvlText w:val="(%1)"/>
      <w:numFmt w:val="lowerLetter"/>
      <w:start w:val="1"/>
    </w:lvl>
  </w:abstractNum>
  <w:abstractNum w:abstractNumId="24">
    <w:nsid w:val="39386575"/>
    <w:multiLevelType w:val="hybridMultilevel"/>
    <w:lvl w:ilvl="0">
      <w:lvlJc w:val="left"/>
      <w:lvlText w:val="(%1)"/>
      <w:numFmt w:val="lowerLetter"/>
      <w:start w:val="3"/>
    </w:lvl>
  </w:abstractNum>
  <w:abstractNum w:abstractNumId="25">
    <w:nsid w:val="1CF10FD8"/>
    <w:multiLevelType w:val="hybridMultilevel"/>
    <w:lvl w:ilvl="0">
      <w:lvlJc w:val="left"/>
      <w:lvlText w:val="%1."/>
      <w:numFmt w:val="decimal"/>
      <w:start w:val="3"/>
    </w:lvl>
    <w:lvl w:ilvl="1">
      <w:lvlJc w:val="left"/>
      <w:lvlText w:val="(%2)"/>
      <w:numFmt w:val="lowerLetter"/>
      <w:start w:val="1"/>
    </w:lvl>
  </w:abstractNum>
  <w:abstractNum w:abstractNumId="26">
    <w:nsid w:val="180115BE"/>
    <w:multiLevelType w:val="hybridMultilevel"/>
    <w:lvl w:ilvl="0">
      <w:lvlJc w:val="left"/>
      <w:lvlText w:val="%1."/>
      <w:numFmt w:val="decimal"/>
      <w:start w:val="5"/>
    </w:lvl>
  </w:abstractNum>
  <w:abstractNum w:abstractNumId="27">
    <w:nsid w:val="235BA861"/>
    <w:multiLevelType w:val="hybridMultilevel"/>
    <w:lvl w:ilvl="0">
      <w:lvlJc w:val="left"/>
      <w:lvlText w:val="%1"/>
      <w:numFmt w:val="lowerLetter"/>
      <w:start w:val="1"/>
    </w:lvl>
    <w:lvl w:ilvl="1">
      <w:lvlJc w:val="left"/>
      <w:lvlText w:val="%2."/>
      <w:numFmt w:val="decimal"/>
      <w:start w:val="6"/>
    </w:lvl>
  </w:abstractNum>
  <w:abstractNum w:abstractNumId="28">
    <w:nsid w:val="47398C89"/>
    <w:multiLevelType w:val="hybridMultilevel"/>
    <w:lvl w:ilvl="0">
      <w:lvlJc w:val="left"/>
      <w:lvlText w:val="(%1)"/>
      <w:numFmt w:val="lowerLetter"/>
      <w:start w:val="2"/>
    </w:lvl>
    <w:lvl w:ilvl="1">
      <w:lvlJc w:val="left"/>
      <w:lvlText w:val="%2."/>
      <w:numFmt w:val="decimal"/>
      <w:start w:val="8"/>
    </w:lvl>
  </w:abstractNum>
  <w:abstractNum w:abstractNumId="29">
    <w:nsid w:val="354FE9F9"/>
    <w:multiLevelType w:val="hybridMultilevel"/>
    <w:lvl w:ilvl="0">
      <w:lvlJc w:val="left"/>
      <w:lvlText w:val="(%1)"/>
      <w:numFmt w:val="lowerLetter"/>
      <w:start w:val="1"/>
    </w:lvl>
  </w:abstractNum>
  <w:abstractNum w:abstractNumId="30">
    <w:nsid w:val="15B5AF5C"/>
    <w:multiLevelType w:val="hybridMultilevel"/>
    <w:lvl w:ilvl="0">
      <w:lvlJc w:val="left"/>
      <w:lvlText w:val="(%1)"/>
      <w:numFmt w:val="lowerLetter"/>
      <w:start w:val="2"/>
    </w:lvl>
  </w:abstractNum>
  <w:abstractNum w:abstractNumId="31">
    <w:nsid w:val="741226BB"/>
    <w:multiLevelType w:val="hybridMultilevel"/>
    <w:lvl w:ilvl="0">
      <w:lvlJc w:val="left"/>
      <w:lvlText w:val="(%1)"/>
      <w:numFmt w:val="lowerLetter"/>
      <w:start w:val="1"/>
    </w:lvl>
  </w:abstractNum>
  <w:abstractNum w:abstractNumId="32">
    <w:nsid w:val="D34B6A8"/>
    <w:multiLevelType w:val="hybridMultilevel"/>
    <w:lvl w:ilvl="0">
      <w:lvlJc w:val="left"/>
      <w:lvlText w:val="%1."/>
      <w:numFmt w:val="decimal"/>
      <w:start w:val="9"/>
    </w:lvl>
  </w:abstractNum>
  <w:abstractNum w:abstractNumId="33">
    <w:nsid w:val="10233C99"/>
    <w:multiLevelType w:val="hybridMultilevel"/>
    <w:lvl w:ilvl="0">
      <w:lvlJc w:val="left"/>
      <w:lvlText w:val="(%1)"/>
      <w:numFmt w:val="lowerLetter"/>
      <w:start w:val="1"/>
    </w:lvl>
  </w:abstractNum>
  <w:abstractNum w:abstractNumId="34">
    <w:nsid w:val="3F6AB60F"/>
    <w:multiLevelType w:val="hybridMultilevel"/>
    <w:lvl w:ilvl="0">
      <w:lvlJc w:val="left"/>
      <w:lvlText w:val="%1."/>
      <w:numFmt w:val="decimal"/>
      <w:start w:val="1"/>
    </w:lvl>
  </w:abstractNum>
  <w:abstractNum w:abstractNumId="35">
    <w:nsid w:val="61574095"/>
    <w:multiLevelType w:val="hybridMultilevel"/>
    <w:lvl w:ilvl="0">
      <w:lvlJc w:val="left"/>
      <w:lvlText w:val="%1."/>
      <w:numFmt w:val="decimal"/>
      <w:start w:val="7"/>
    </w:lvl>
  </w:abstractNum>
  <w:abstractNum w:abstractNumId="36">
    <w:nsid w:val="7E0C57B1"/>
    <w:multiLevelType w:val="hybridMultilevel"/>
    <w:lvl w:ilvl="0">
      <w:lvlJc w:val="left"/>
      <w:lvlText w:val="%1."/>
      <w:numFmt w:val="decimal"/>
      <w:start w:val="8"/>
    </w:lvl>
    <w:lvl w:ilvl="1">
      <w:lvlJc w:val="left"/>
      <w:lvlText w:val="(%2)"/>
      <w:numFmt w:val="lowerLetter"/>
      <w:start w:val="1"/>
    </w:lvl>
  </w:abstractNum>
  <w:abstractNum w:abstractNumId="37">
    <w:nsid w:val="77AE35EB"/>
    <w:multiLevelType w:val="hybridMultilevel"/>
    <w:lvl w:ilvl="0">
      <w:lvlJc w:val="left"/>
      <w:lvlText w:val="%1"/>
      <w:numFmt w:val="decimal"/>
      <w:start w:val="1"/>
    </w:lvl>
    <w:lvl w:ilvl="1">
      <w:lvlJc w:val="left"/>
      <w:lvlText w:val="(%2)"/>
      <w:numFmt w:val="lowerLetter"/>
      <w:start w:val="10"/>
    </w:lvl>
  </w:abstractNum>
  <w:abstractNum w:abstractNumId="38">
    <w:nsid w:val="579BE4F1"/>
    <w:multiLevelType w:val="hybridMultilevel"/>
    <w:lvl w:ilvl="0">
      <w:lvlJc w:val="left"/>
      <w:lvlText w:val="%1."/>
      <w:numFmt w:val="decimal"/>
      <w:start w:val="9"/>
    </w:lvl>
    <w:lvl w:ilvl="1">
      <w:lvlJc w:val="left"/>
      <w:lvlText w:val="%2"/>
      <w:numFmt w:val="lowerLetter"/>
      <w:start w:val="1"/>
    </w:lvl>
  </w:abstractNum>
  <w:abstractNum w:abstractNumId="39">
    <w:nsid w:val="310C50B3"/>
    <w:multiLevelType w:val="hybridMultilevel"/>
    <w:lvl w:ilvl="0">
      <w:lvlJc w:val="left"/>
      <w:lvlText w:val="(%1)"/>
      <w:numFmt w:val="lowerLetter"/>
      <w:start w:val="1"/>
    </w:lvl>
  </w:abstractNum>
  <w:abstractNum w:abstractNumId="40">
    <w:nsid w:val="5FF87E05"/>
    <w:multiLevelType w:val="hybridMultilevel"/>
    <w:lvl w:ilvl="0">
      <w:lvlJc w:val="left"/>
      <w:lvlText w:val="(%1)"/>
      <w:numFmt w:val="lowerRoman"/>
      <w:start w:val="10"/>
    </w:lvl>
  </w:abstractNum>
  <w:abstractNum w:abstractNumId="41">
    <w:nsid w:val="2F305DEF"/>
    <w:multiLevelType w:val="hybridMultilevel"/>
    <w:lvl w:ilvl="0">
      <w:lvlJc w:val="left"/>
      <w:lvlText w:val="(%1)"/>
      <w:numFmt w:val="lowerLetter"/>
      <w:start w:val="1"/>
    </w:lvl>
  </w:abstractNum>
  <w:abstractNum w:abstractNumId="42">
    <w:nsid w:val="25A70BF7"/>
    <w:multiLevelType w:val="hybridMultilevel"/>
    <w:lvl w:ilvl="0">
      <w:lvlJc w:val="left"/>
      <w:lvlText w:val="(%1)"/>
      <w:numFmt w:val="lowerLetter"/>
      <w:start w:val="2"/>
    </w:lvl>
  </w:abstractNum>
  <w:abstractNum w:abstractNumId="43">
    <w:nsid w:val="1DBABF00"/>
    <w:multiLevelType w:val="hybridMultilevel"/>
    <w:lvl w:ilvl="0">
      <w:lvlJc w:val="left"/>
      <w:lvlText w:val="(%1)"/>
      <w:numFmt w:val="lowerLetter"/>
      <w:start w:val="3"/>
    </w:lvl>
  </w:abstractNum>
  <w:abstractNum w:abstractNumId="44">
    <w:nsid w:val="4AD084E9"/>
    <w:multiLevelType w:val="hybridMultilevel"/>
    <w:lvl w:ilvl="0">
      <w:lvlJc w:val="left"/>
      <w:lvlText w:val="(%1)"/>
      <w:numFmt w:val="lowerLetter"/>
      <w:start w:val="7"/>
    </w:lvl>
  </w:abstractNum>
  <w:abstractNum w:abstractNumId="45">
    <w:nsid w:val="1F48EAA1"/>
    <w:multiLevelType w:val="hybridMultilevel"/>
    <w:lvl w:ilvl="0">
      <w:lvlJc w:val="left"/>
      <w:lvlText w:val="(%1)"/>
      <w:numFmt w:val="lowerLetter"/>
      <w:start w:val="13"/>
    </w:lvl>
  </w:abstractNum>
  <w:abstractNum w:abstractNumId="46">
    <w:nsid w:val="1381823A"/>
    <w:multiLevelType w:val="hybridMultilevel"/>
    <w:lvl w:ilvl="0">
      <w:lvlJc w:val="left"/>
      <w:lvlText w:val="(%1)"/>
      <w:numFmt w:val="lowerLetter"/>
      <w:start w:val="15"/>
    </w:lvl>
  </w:abstractNum>
  <w:abstractNum w:abstractNumId="47">
    <w:nsid w:val="5DB70AE5"/>
    <w:multiLevelType w:val="hybridMultilevel"/>
    <w:lvl w:ilvl="0">
      <w:lvlJc w:val="left"/>
      <w:lvlText w:val="(%1)"/>
      <w:numFmt w:val="lowerLetter"/>
      <w:start w:val="18"/>
    </w:lvl>
  </w:abstractNum>
  <w:abstractNum w:abstractNumId="48">
    <w:nsid w:val="100F8FCA"/>
    <w:multiLevelType w:val="hybridMultilevel"/>
    <w:lvl w:ilvl="0">
      <w:lvlJc w:val="left"/>
      <w:lvlText w:val="(%1)"/>
      <w:numFmt w:val="lowerLetter"/>
      <w:start w:val="21"/>
    </w:lvl>
  </w:abstractNum>
  <w:abstractNum w:abstractNumId="49">
    <w:nsid w:val="6590700B"/>
    <w:multiLevelType w:val="hybridMultilevel"/>
    <w:lvl w:ilvl="0">
      <w:lvlJc w:val="left"/>
      <w:lvlText w:val="(%1)"/>
      <w:numFmt w:val="lowerRoman"/>
      <w:start w:val="10"/>
    </w:lvl>
  </w:abstractNum>
  <w:abstractNum w:abstractNumId="50">
    <w:nsid w:val="15014ACB"/>
    <w:multiLevelType w:val="hybridMultilevel"/>
    <w:lvl w:ilvl="0">
      <w:lvlJc w:val="left"/>
      <w:lvlText w:val="(%1)"/>
      <w:numFmt w:val="lowerLetter"/>
      <w:start w:val="25"/>
    </w:lvl>
  </w:abstractNum>
  <w:abstractNum w:abstractNumId="51">
    <w:nsid w:val="5F5E7FD0"/>
    <w:multiLevelType w:val="hybridMultilevel"/>
    <w:lvl w:ilvl="0">
      <w:lvlJc w:val="left"/>
      <w:lvlText w:val="(%1)"/>
      <w:numFmt w:val="lowerLetter"/>
      <w:start w:val="27"/>
    </w:lvl>
  </w:abstractNum>
  <w:abstractNum w:abstractNumId="52">
    <w:nsid w:val="98A3148"/>
    <w:multiLevelType w:val="hybridMultilevel"/>
    <w:lvl w:ilvl="0">
      <w:lvlJc w:val="left"/>
      <w:lvlText w:val="(%1)"/>
      <w:numFmt w:val="lowerLetter"/>
      <w:start w:val="30"/>
    </w:lvl>
  </w:abstractNum>
  <w:abstractNum w:abstractNumId="53">
    <w:nsid w:val="799D0247"/>
    <w:multiLevelType w:val="hybridMultilevel"/>
    <w:lvl w:ilvl="0">
      <w:lvlJc w:val="left"/>
      <w:lvlText w:val="(%1)"/>
      <w:numFmt w:val="lowerLetter"/>
      <w:start w:val="34"/>
    </w:lvl>
  </w:abstractNum>
  <w:abstractNum w:abstractNumId="54">
    <w:nsid w:val="6B94764"/>
    <w:multiLevelType w:val="hybridMultilevel"/>
    <w:lvl w:ilvl="0">
      <w:lvlJc w:val="left"/>
      <w:lvlText w:val="(%1)"/>
      <w:numFmt w:val="lowerLetter"/>
      <w:start w:val="40"/>
    </w:lvl>
  </w:abstractNum>
  <w:abstractNum w:abstractNumId="55">
    <w:nsid w:val="42C296BD"/>
    <w:multiLevelType w:val="hybridMultilevel"/>
    <w:lvl w:ilvl="0">
      <w:lvlJc w:val="left"/>
      <w:lvlText w:val="%1"/>
      <w:numFmt w:val="lowerLetter"/>
      <w:start w:val="1"/>
    </w:lvl>
    <w:lvl w:ilvl="1">
      <w:lvlJc w:val="left"/>
      <w:lvlText w:val="(%2)"/>
      <w:numFmt w:val="lowerLetter"/>
      <w:start w:val="42"/>
    </w:lvl>
  </w:abstractNum>
  <w:abstractNum w:abstractNumId="56">
    <w:nsid w:val="168E121F"/>
    <w:multiLevelType w:val="hybridMultilevel"/>
    <w:lvl w:ilvl="0">
      <w:lvlJc w:val="left"/>
      <w:lvlText w:val="(%1)"/>
      <w:numFmt w:val="lowerLetter"/>
      <w:start w:val="61"/>
    </w:lvl>
    <w:lvl w:ilvl="1">
      <w:lvlJc w:val="left"/>
      <w:lvlText w:val="%2"/>
      <w:numFmt w:val="lowerLetter"/>
      <w:start w:val="1"/>
    </w:lvl>
  </w:abstractNum>
  <w:abstractNum w:abstractNumId="57">
    <w:nsid w:val="1EBA5D23"/>
    <w:multiLevelType w:val="hybridMultilevel"/>
    <w:lvl w:ilvl="0">
      <w:lvlJc w:val="left"/>
      <w:lvlText w:val="%1"/>
      <w:numFmt w:val="upperLetter"/>
      <w:start w:val="1"/>
    </w:lvl>
    <w:lvl w:ilvl="1">
      <w:lvlJc w:val="left"/>
      <w:lvlText w:val="(%2)"/>
      <w:numFmt w:val="lowerLetter"/>
      <w:start w:val="46"/>
    </w:lvl>
  </w:abstractNum>
  <w:abstractNum w:abstractNumId="58">
    <w:nsid w:val="661E3F1E"/>
    <w:multiLevelType w:val="hybridMultilevel"/>
    <w:lvl w:ilvl="0">
      <w:lvlJc w:val="left"/>
      <w:lvlText w:val="(%1)"/>
      <w:numFmt w:val="upperLetter"/>
      <w:start w:val="3"/>
    </w:lvl>
    <w:lvl w:ilvl="1">
      <w:lvlJc w:val="left"/>
      <w:lvlText w:val="(%2)"/>
      <w:numFmt w:val="lowerLetter"/>
      <w:start w:val="47"/>
    </w:lvl>
  </w:abstractNum>
  <w:abstractNum w:abstractNumId="59">
    <w:nsid w:val="5DC79EA8"/>
    <w:multiLevelType w:val="hybridMultilevel"/>
    <w:lvl w:ilvl="0">
      <w:lvlJc w:val="left"/>
      <w:lvlText w:val="(%1)"/>
      <w:numFmt w:val="lowerLetter"/>
      <w:start w:val="1"/>
    </w:lvl>
    <w:lvl w:ilvl="1">
      <w:lvlJc w:val="left"/>
      <w:lvlText w:val="(%2)"/>
      <w:numFmt w:val="lowerRoman"/>
      <w:start w:val="1"/>
    </w:lvl>
  </w:abstractNum>
  <w:abstractNum w:abstractNumId="60">
    <w:nsid w:val="540A471C"/>
    <w:multiLevelType w:val="hybridMultilevel"/>
    <w:lvl w:ilvl="0">
      <w:lvlJc w:val="left"/>
      <w:lvlText w:val="(%1)"/>
      <w:numFmt w:val="lowerRoman"/>
      <w:start w:val="3"/>
    </w:lvl>
  </w:abstractNum>
  <w:abstractNum w:abstractNumId="61">
    <w:nsid w:val="7BD3EE7B"/>
    <w:multiLevelType w:val="hybridMultilevel"/>
    <w:lvl w:ilvl="0">
      <w:lvlJc w:val="left"/>
      <w:lvlText w:val="%1"/>
      <w:numFmt w:val="lowerLetter"/>
      <w:start w:val="1"/>
    </w:lvl>
    <w:lvl w:ilvl="1">
      <w:lvlJc w:val="left"/>
      <w:lvlText w:val="(%2)"/>
      <w:numFmt w:val="lowerRoman"/>
      <w:start w:val="7"/>
    </w:lvl>
  </w:abstractNum>
  <w:abstractNum w:abstractNumId="62">
    <w:nsid w:val="51D9C564"/>
    <w:multiLevelType w:val="hybridMultilevel"/>
    <w:lvl w:ilvl="0">
      <w:lvlJc w:val="left"/>
      <w:lvlText w:val="(%1)"/>
      <w:numFmt w:val="lowerLetter"/>
      <w:start w:val="3"/>
    </w:lvl>
    <w:lvl w:ilvl="1">
      <w:lvlJc w:val="left"/>
      <w:lvlText w:val="%2"/>
      <w:numFmt w:val="lowerRoman"/>
      <w:start w:val="1"/>
    </w:lvl>
  </w:abstractNum>
  <w:abstractNum w:abstractNumId="63">
    <w:nsid w:val="613EFDC5"/>
    <w:multiLevelType w:val="hybridMultilevel"/>
    <w:lvl w:ilvl="0">
      <w:lvlJc w:val="left"/>
      <w:lvlText w:val="(%1)"/>
      <w:numFmt w:val="lowerLetter"/>
      <w:start w:val="1"/>
    </w:lvl>
  </w:abstractNum>
  <w:abstractNum w:abstractNumId="64">
    <w:nsid w:val="BF72B14"/>
    <w:multiLevelType w:val="hybridMultilevel"/>
    <w:lvl w:ilvl="0">
      <w:lvlJc w:val="left"/>
      <w:lvlText w:val="(%1)"/>
      <w:numFmt w:val="lowerLetter"/>
      <w:start w:val="3"/>
    </w:lvl>
  </w:abstractNum>
  <w:abstractNum w:abstractNumId="65">
    <w:nsid w:val="11447B73"/>
    <w:multiLevelType w:val="hybridMultilevel"/>
    <w:lvl w:ilvl="0">
      <w:lvlJc w:val="left"/>
      <w:lvlText w:val="(%1)"/>
      <w:numFmt w:val="lowerLetter"/>
      <w:start w:val="5"/>
    </w:lvl>
  </w:abstractNum>
  <w:abstractNum w:abstractNumId="66">
    <w:nsid w:val="42963E5A"/>
    <w:multiLevelType w:val="hybridMultilevel"/>
    <w:lvl w:ilvl="0">
      <w:lvlJc w:val="left"/>
      <w:lvlText w:val="(%1)"/>
      <w:numFmt w:val="lowerLetter"/>
      <w:start w:val="9"/>
    </w:lvl>
  </w:abstractNum>
  <w:abstractNum w:abstractNumId="67">
    <w:nsid w:val="A0382C5"/>
    <w:multiLevelType w:val="hybridMultilevel"/>
    <w:lvl w:ilvl="0">
      <w:lvlJc w:val="left"/>
      <w:lvlText w:val="(%1)"/>
      <w:numFmt w:val="lowerLetter"/>
      <w:start w:val="12"/>
    </w:lvl>
    <w:lvl w:ilvl="1">
      <w:lvlJc w:val="left"/>
      <w:lvlText w:val="(%2)"/>
      <w:numFmt w:val="lowerRoman"/>
      <w:start w:val="1"/>
    </w:lvl>
  </w:abstractNum>
  <w:abstractNum w:abstractNumId="68">
    <w:nsid w:val="8F2B15E"/>
    <w:multiLevelType w:val="hybridMultilevel"/>
    <w:lvl w:ilvl="0">
      <w:lvlJc w:val="left"/>
      <w:lvlText w:val="&amp;"/>
      <w:numFmt w:val="bullet"/>
      <w:start w:val="1"/>
    </w:lvl>
    <w:lvl w:ilvl="1">
      <w:lvlJc w:val="left"/>
      <w:lvlText w:val="(%2)"/>
      <w:numFmt w:val="lowerLetter"/>
      <w:start w:val="16"/>
    </w:lvl>
  </w:abstractNum>
  <w:abstractNum w:abstractNumId="69">
    <w:nsid w:val="1A32234B"/>
    <w:multiLevelType w:val="hybridMultilevel"/>
    <w:lvl w:ilvl="0">
      <w:lvlJc w:val="left"/>
      <w:lvlText w:val="&amp;"/>
      <w:numFmt w:val="bullet"/>
      <w:start w:val="1"/>
    </w:lvl>
    <w:lvl w:ilvl="1">
      <w:lvlJc w:val="left"/>
      <w:lvlText w:val="(%2)"/>
      <w:numFmt w:val="lowerLetter"/>
      <w:start w:val="17"/>
    </w:lvl>
  </w:abstractNum>
  <w:abstractNum w:abstractNumId="70">
    <w:nsid w:val="3B0FD379"/>
    <w:multiLevelType w:val="hybridMultilevel"/>
    <w:lvl w:ilvl="0">
      <w:lvlJc w:val="left"/>
      <w:lvlText w:val="%1"/>
      <w:numFmt w:val="lowerLetter"/>
      <w:start w:val="1"/>
    </w:lvl>
    <w:lvl w:ilvl="1">
      <w:lvlJc w:val="left"/>
      <w:lvlText w:val="(%2)"/>
      <w:numFmt w:val="lowerLetter"/>
      <w:start w:val="18"/>
    </w:lvl>
  </w:abstractNum>
  <w:abstractNum w:abstractNumId="71">
    <w:nsid w:val="68EB2F63"/>
    <w:multiLevelType w:val="hybridMultilevel"/>
    <w:lvl w:ilvl="0">
      <w:lvlJc w:val="left"/>
      <w:lvlText w:val="(%1)"/>
      <w:numFmt w:val="lowerLetter"/>
      <w:start w:val="4"/>
    </w:lvl>
    <w:lvl w:ilvl="1">
      <w:lvlJc w:val="left"/>
      <w:lvlText w:val="%2"/>
      <w:numFmt w:val="lowerLetter"/>
      <w:start w:val="1"/>
    </w:lvl>
  </w:abstractNum>
  <w:abstractNum w:abstractNumId="72">
    <w:nsid w:val="4962813B"/>
    <w:multiLevelType w:val="hybridMultilevel"/>
    <w:lvl w:ilvl="0">
      <w:lvlJc w:val="left"/>
      <w:lvlText w:val="(%1)"/>
      <w:numFmt w:val="lowerLetter"/>
      <w:start w:val="22"/>
    </w:lvl>
  </w:abstractNum>
  <w:abstractNum w:abstractNumId="73">
    <w:nsid w:val="60B6DF70"/>
    <w:multiLevelType w:val="hybridMultilevel"/>
    <w:lvl w:ilvl="0">
      <w:lvlJc w:val="left"/>
      <w:lvlText w:val="(%1)"/>
      <w:numFmt w:val="lowerLetter"/>
      <w:start w:val="1"/>
    </w:lvl>
    <w:lvl w:ilvl="1">
      <w:lvlJc w:val="left"/>
      <w:lvlText w:val="(%2)"/>
      <w:numFmt w:val="lowerRoman"/>
      <w:start w:val="1"/>
    </w:lvl>
  </w:abstractNum>
  <w:abstractNum w:abstractNumId="74">
    <w:nsid w:val="6A5EE64"/>
    <w:multiLevelType w:val="hybridMultilevel"/>
    <w:lvl w:ilvl="0">
      <w:lvlJc w:val="left"/>
      <w:lvlText w:val="(%1)"/>
      <w:numFmt w:val="lowerLetter"/>
      <w:start w:val="2"/>
    </w:lvl>
  </w:abstractNum>
  <w:abstractNum w:abstractNumId="75">
    <w:nsid w:val="14330624"/>
    <w:multiLevelType w:val="hybridMultilevel"/>
    <w:lvl w:ilvl="0">
      <w:lvlJc w:val="left"/>
      <w:lvlText w:val="(%1)"/>
      <w:numFmt w:val="lowerLetter"/>
      <w:start w:val="1"/>
    </w:lvl>
  </w:abstractNum>
  <w:abstractNum w:abstractNumId="76">
    <w:nsid w:val="7FFFCA11"/>
    <w:multiLevelType w:val="hybridMultilevel"/>
    <w:lvl w:ilvl="0">
      <w:lvlJc w:val="left"/>
      <w:lvlText w:val="(%1)"/>
      <w:numFmt w:val="lowerLetter"/>
      <w:start w:val="2"/>
    </w:lvl>
  </w:abstractNum>
  <w:abstractNum w:abstractNumId="77">
    <w:nsid w:val="1A27709E"/>
    <w:multiLevelType w:val="hybridMultilevel"/>
    <w:lvl w:ilvl="0">
      <w:lvlJc w:val="left"/>
      <w:lvlText w:val="(%1)"/>
      <w:numFmt w:val="lowerLetter"/>
      <w:start w:val="3"/>
    </w:lvl>
  </w:abstractNum>
  <w:abstractNum w:abstractNumId="78">
    <w:nsid w:val="71EA1109"/>
    <w:multiLevelType w:val="hybridMultilevel"/>
    <w:lvl w:ilvl="0">
      <w:lvlJc w:val="left"/>
      <w:lvlText w:val="(%1)"/>
      <w:numFmt w:val="lowerLetter"/>
      <w:start w:val="4"/>
    </w:lvl>
  </w:abstractNum>
  <w:abstractNum w:abstractNumId="79">
    <w:nsid w:val="100F59DC"/>
    <w:multiLevelType w:val="hybridMultilevel"/>
    <w:lvl w:ilvl="0">
      <w:lvlJc w:val="left"/>
      <w:lvlText w:val="(%1)"/>
      <w:numFmt w:val="lowerLetter"/>
      <w:start w:val="1"/>
    </w:lvl>
    <w:lvl w:ilvl="1">
      <w:lvlJc w:val="left"/>
      <w:lvlText w:val="(%2)"/>
      <w:numFmt w:val="lowerRoman"/>
      <w:start w:val="1"/>
    </w:lvl>
  </w:abstractNum>
  <w:abstractNum w:abstractNumId="80">
    <w:nsid w:val="7FB7E0AA"/>
    <w:multiLevelType w:val="hybridMultilevel"/>
    <w:lvl w:ilvl="0">
      <w:lvlJc w:val="left"/>
      <w:lvlText w:val="(%1)"/>
      <w:numFmt w:val="lowerLetter"/>
      <w:start w:val="1"/>
    </w:lvl>
  </w:abstractNum>
  <w:abstractNum w:abstractNumId="81">
    <w:nsid w:val="6EB5BD4"/>
    <w:multiLevelType w:val="hybridMultilevel"/>
    <w:lvl w:ilvl="0">
      <w:lvlJc w:val="left"/>
      <w:lvlText w:val="(%1)"/>
      <w:numFmt w:val="lowerLetter"/>
      <w:start w:val="4"/>
    </w:lvl>
  </w:abstractNum>
  <w:abstractNum w:abstractNumId="82">
    <w:nsid w:val="6F6DD9AC"/>
    <w:multiLevelType w:val="hybridMultilevel"/>
    <w:lvl w:ilvl="0">
      <w:lvlJc w:val="left"/>
      <w:lvlText w:val="(%1)"/>
      <w:numFmt w:val="lowerLetter"/>
      <w:start w:val="5"/>
    </w:lvl>
  </w:abstractNum>
  <w:abstractNum w:abstractNumId="83">
    <w:nsid w:val="94211F2"/>
    <w:multiLevelType w:val="hybridMultilevel"/>
    <w:lvl w:ilvl="0">
      <w:lvlJc w:val="left"/>
      <w:lvlText w:val="(%1)"/>
      <w:numFmt w:val="lowerLetter"/>
      <w:start w:val="7"/>
    </w:lvl>
  </w:abstractNum>
  <w:abstractNum w:abstractNumId="84">
    <w:nsid w:val="885E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jpe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png"/><Relationship Id="rId293" Type="http://schemas.openxmlformats.org/officeDocument/2006/relationships/hyperlink" Target="https://www.sec.gov/Archives/edgar/data/1826681/000156459021049662/strc-ex31_83.htm" TargetMode="External"/><Relationship Id="rId294" Type="http://schemas.openxmlformats.org/officeDocument/2006/relationships/hyperlink" Target="https://www.sec.gov/Archives/edgar/data/1826681/000095017023028943/strc-ex3_1.htm" TargetMode="External"/><Relationship Id="rId295" Type="http://schemas.openxmlformats.org/officeDocument/2006/relationships/hyperlink" Target="https://www.sec.gov/Archives/edgar/data/1826681/000095017024032876/strc-ex3_1.htm" TargetMode="External"/><Relationship Id="rId296" Type="http://schemas.openxmlformats.org/officeDocument/2006/relationships/hyperlink" Target="https://www.sec.gov/Archives/edgar/data/1826681/000095017024032876/strc-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2024-11-13T16:07:45Z</dcterms:created>
  <dcterms:modified xsi:type="dcterms:W3CDTF">2024-11-13T16:07:45Z</dcterms:modified>
</cp:coreProperties>
</file>