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3680" w:right="1600" w:hanging="3659"/>
        <w:spacing w:after="0" w:line="367"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SARCOS TECHNOLOGY AND ROBOTICS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85-2838301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220" w:space="720"/>
            <w:col w:w="3300"/>
          </w:cols>
          <w:pgMar w:left="320" w:top="673" w:right="339" w:bottom="1440" w:gutter="0" w:footer="0" w:header="0"/>
          <w:type w:val="continuous"/>
        </w:sectPr>
      </w:pPr>
    </w:p>
    <w:tbl>
      <w:tblPr>
        <w:tblLayout w:type="fixed"/>
        <w:tblInd w:w="1660" w:type="dxa"/>
        <w:tblCellMar>
          <w:top w:w="0" w:type="dxa"/>
          <w:left w:w="0" w:type="dxa"/>
          <w:bottom w:w="0" w:type="dxa"/>
          <w:right w:w="0" w:type="dxa"/>
        </w:tblCellMar>
      </w:tblPr>
      <w:tr>
        <w:trPr>
          <w:trHeight w:val="207"/>
        </w:trPr>
        <w:tc>
          <w:tcPr>
            <w:tcW w:w="440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650 South 500 West, Suite 150</w:t>
            </w:r>
          </w:p>
        </w:tc>
        <w:tc>
          <w:tcPr>
            <w:tcW w:w="2660" w:type="dxa"/>
            <w:vAlign w:val="bottom"/>
          </w:tcPr>
          <w:p>
            <w:pPr>
              <w:spacing w:after="0"/>
              <w:rPr>
                <w:sz w:val="18"/>
                <w:szCs w:val="18"/>
                <w:color w:val="auto"/>
              </w:rPr>
            </w:pPr>
          </w:p>
        </w:tc>
      </w:tr>
      <w:tr>
        <w:trPr>
          <w:trHeight w:val="232"/>
        </w:trPr>
        <w:tc>
          <w:tcPr>
            <w:tcW w:w="440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Salt Lake City, Utah</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84101</w:t>
            </w:r>
          </w:p>
        </w:tc>
      </w:tr>
      <w:tr>
        <w:trPr>
          <w:trHeight w:val="166"/>
        </w:trPr>
        <w:tc>
          <w:tcPr>
            <w:tcW w:w="4400" w:type="dxa"/>
            <w:vAlign w:val="bottom"/>
          </w:tcPr>
          <w:p>
            <w:pPr>
              <w:jc w:val="center"/>
              <w:ind w:right="199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60" w:type="dxa"/>
            <w:vAlign w:val="bottom"/>
          </w:tcPr>
          <w:p>
            <w:pPr>
              <w:jc w:val="center"/>
              <w:ind w:left="20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927-7296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STRC</w:t>
            </w:r>
          </w:p>
        </w:tc>
        <w:tc>
          <w:tcPr>
            <w:tcW w:w="120" w:type="dxa"/>
            <w:vAlign w:val="bottom"/>
          </w:tcPr>
          <w:p>
            <w:pPr>
              <w:spacing w:after="0"/>
              <w:rPr>
                <w:sz w:val="13"/>
                <w:szCs w:val="13"/>
                <w:color w:val="auto"/>
              </w:rPr>
            </w:pPr>
          </w:p>
        </w:tc>
        <w:tc>
          <w:tcPr>
            <w:tcW w:w="5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r>
        <w:trPr>
          <w:trHeight w:val="210"/>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STRCW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8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77"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29, 2022, the registrant had 154.8 million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gridSpan w:val="3"/>
            <w:vMerge w:val="continue"/>
          </w:tcPr>
          <w:p>
            <w:pPr>
              <w:spacing w:after="0"/>
              <w:rPr>
                <w:sz w:val="13"/>
                <w:szCs w:val="13"/>
                <w:color w:val="auto"/>
              </w:rPr>
            </w:pPr>
          </w:p>
        </w:tc>
        <w:tc>
          <w:tcPr>
            <w:tcW w:w="9300" w:type="dxa"/>
            <w:vAlign w:val="bottom"/>
            <w:gridSpan w:val="22"/>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8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60" w:type="dxa"/>
            <w:vAlign w:val="bottom"/>
            <w:gridSpan w:val="10"/>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Operations and Comprehensive Loss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9"/>
          </w:tcPr>
          <w:p>
            <w:pPr>
              <w:spacing w:after="0"/>
              <w:rPr>
                <w:sz w:val="15"/>
                <w:szCs w:val="15"/>
                <w:color w:val="auto"/>
              </w:rPr>
            </w:pPr>
          </w:p>
        </w:tc>
        <w:tc>
          <w:tcPr>
            <w:tcW w:w="492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10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5"/>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5"/>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5"/>
          </w:tcPr>
          <w:p>
            <w:pPr>
              <w:spacing w:after="0"/>
              <w:rPr>
                <w:sz w:val="15"/>
                <w:szCs w:val="15"/>
                <w:color w:val="auto"/>
              </w:rPr>
            </w:pPr>
          </w:p>
        </w:tc>
        <w:tc>
          <w:tcPr>
            <w:tcW w:w="2020" w:type="dxa"/>
            <w:vAlign w:val="bottom"/>
            <w:gridSpan w:val="5"/>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9"/>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vMerge w:val="restart"/>
          </w:tcPr>
          <w:p>
            <w:pPr>
              <w:spacing w:after="0"/>
              <w:rPr>
                <w:sz w:val="15"/>
                <w:szCs w:val="15"/>
                <w:color w:val="auto"/>
              </w:rPr>
            </w:pPr>
          </w:p>
        </w:tc>
        <w:tc>
          <w:tcPr>
            <w:tcW w:w="4200" w:type="dxa"/>
            <w:vAlign w:val="bottom"/>
            <w:gridSpan w:val="17"/>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vMerge w:val="continue"/>
          </w:tcPr>
          <w:p>
            <w:pPr>
              <w:spacing w:after="0"/>
              <w:rPr>
                <w:sz w:val="24"/>
                <w:szCs w:val="24"/>
                <w:color w:val="auto"/>
              </w:rPr>
            </w:pPr>
          </w:p>
        </w:tc>
        <w:tc>
          <w:tcPr>
            <w:tcW w:w="4200" w:type="dxa"/>
            <w:vAlign w:val="bottom"/>
            <w:gridSpan w:val="17"/>
            <w:vMerge w:val="continue"/>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The following list summarizes the principal risks we face:</w:t>
      </w:r>
    </w:p>
    <w:p>
      <w:pPr>
        <w:spacing w:after="0" w:line="31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expect to incur significant expenses for the foreseeable future.</w:t>
      </w:r>
    </w:p>
    <w:p>
      <w:pPr>
        <w:spacing w:after="0" w:line="14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we may not be able to design, develop, manufacture, market and launch our robotic systems successfully.</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acquisition of RE2, Inc. is subject to numerous risks and uncertainties, including integration risks.</w:t>
      </w:r>
    </w:p>
    <w:p>
      <w:pPr>
        <w:spacing w:after="0" w:line="14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9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production of commercial units of our core products, the Guardian XO, Guardian XT and Sapien 6M, may be delayed beyond our current expectations and therefore initial delivery to customers and receipt of anticipated revenue could be delayed.</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 We have not yet identified all of the suppliers that we are likely to rely on to support any future commercialization of our core products.</w:t>
      </w:r>
    </w:p>
    <w:p>
      <w:pPr>
        <w:spacing w:after="0" w:line="10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limited experience commercializing our products and may not be able to do so efficiently or effectively.</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products represent a new product category, and important assumptions about market demand, pricing, adoption rates and sales cycles for our current and future products may be inaccurate.</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many of our products still under development, we have limited current customers and no binding orders for the upcoming commercial version of our core products, the Guardian XO, Guardian XT and Sapien 6M, and expected customer trials and discussions with respect to those products may not result in binding orders or subscriptions.</w:t>
      </w:r>
    </w:p>
    <w:p>
      <w:pPr>
        <w:spacing w:after="0" w:line="10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successfully market our products, the purchase or subscription, adoption and use of the products may be materially and negatively impacted if the employees of our customers resist the use and adoption of the products.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Robot-as-a-Service (“RaaS”) subscription model has yet to be tested and may fail to gain commercial acceptance.</w:t>
      </w:r>
    </w:p>
    <w:p>
      <w:pPr>
        <w:spacing w:after="0" w:line="14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successful in commercializing our products, our revenue will be concentrated in a limited number of models for the foreseeable future.</w:t>
      </w:r>
    </w:p>
    <w:p>
      <w:pPr>
        <w:spacing w:after="0" w:line="9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0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maintaining or servicing our products at a large scale.</w:t>
      </w:r>
    </w:p>
    <w:p>
      <w:pPr>
        <w:spacing w:after="0" w:line="14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may be subject to risks associated with strategic alliances or acquisitions and may not be able to identify adequate strategic</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relationship opportunities, or form strategic relationships, in the future.</w:t>
      </w: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both"/>
        <w:ind w:left="503" w:right="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0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as a group has limited experience in operating a publicly-traded company.</w:t>
      </w:r>
    </w:p>
    <w:p>
      <w:pPr>
        <w:spacing w:after="0" w:line="144"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impacts from COVID-19 or another pandemic, epidemic or outbreak of an infectious disease may materially and adversely impact our business, prospects, financial condition and operating results.</w:t>
      </w:r>
    </w:p>
    <w:p>
      <w:pPr>
        <w:spacing w:after="0" w:line="94"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the design, development, production and launch of our robotic systems, which could harm our business, prospects, financial condition and operating results.</w:t>
      </w:r>
    </w:p>
    <w:p>
      <w:pPr>
        <w:spacing w:after="0" w:line="94"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ability to build our brands. We may not succeed in continuing to establish, maintain and strengthen our brands, and our brands and reputation could be harmed by negative publicity regarding us or our products.</w:t>
      </w:r>
    </w:p>
    <w:p>
      <w:pPr>
        <w:spacing w:after="0" w:line="94"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contract with a third-party manufacturing partner, we would need to develop our own manufacturing facilities, which may not be feasible and, if feasible, would significantly increase our capital expenditures and operating expenditures, and would significantly delay or inhibit production of our robotic systems.</w:t>
      </w:r>
    </w:p>
    <w:p>
      <w:pPr>
        <w:spacing w:after="0" w:line="10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w:t>
      </w:r>
    </w:p>
    <w:p>
      <w:pPr>
        <w:spacing w:after="0" w:line="144"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product demand and other factors.</w:t>
      </w:r>
    </w:p>
    <w:p>
      <w:pPr>
        <w:spacing w:after="0" w:line="94" w:lineRule="exact"/>
        <w:rPr>
          <w:rFonts w:ascii="Times New Roman" w:cs="Times New Roman" w:eastAsia="Times New Roman" w:hAnsi="Times New Roman"/>
          <w:sz w:val="18"/>
          <w:szCs w:val="18"/>
          <w:color w:val="auto"/>
        </w:rPr>
      </w:pPr>
    </w:p>
    <w:p>
      <w:pPr>
        <w:jc w:val="both"/>
        <w:ind w:left="503" w:right="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01"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94"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or incorporated into our products.</w:t>
      </w:r>
    </w:p>
    <w:p>
      <w:pPr>
        <w:spacing w:after="0" w:line="9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in all countries.</w:t>
      </w:r>
    </w:p>
    <w:p>
      <w:pPr>
        <w:spacing w:after="0" w:line="14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intellectual property infringement claims or misappropriation claims, which may be time consuming and expensive</w:t>
      </w:r>
    </w:p>
    <w:p>
      <w:pPr>
        <w:spacing w:after="0" w:line="25" w:lineRule="exact"/>
        <w:rPr>
          <w:sz w:val="20"/>
          <w:szCs w:val="20"/>
          <w:color w:val="auto"/>
        </w:rPr>
      </w:pPr>
    </w:p>
    <w:p>
      <w:pPr>
        <w:ind w:left="503"/>
        <w:spacing w:after="0"/>
        <w:rPr>
          <w:sz w:val="20"/>
          <w:szCs w:val="20"/>
          <w:color w:val="auto"/>
        </w:rPr>
      </w:pPr>
      <w:r>
        <w:rPr>
          <w:rFonts w:ascii="Times New Roman" w:cs="Times New Roman" w:eastAsia="Times New Roman" w:hAnsi="Times New Roman"/>
          <w:sz w:val="18"/>
          <w:szCs w:val="18"/>
          <w:color w:val="auto"/>
        </w:rPr>
        <w:t>and, if adversely determined, could limit our ability to commercialize our products.</w:t>
      </w:r>
    </w:p>
    <w:p>
      <w:pPr>
        <w:ind w:left="506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7"/>
                <w:szCs w:val="17"/>
                <w:color w:val="auto"/>
              </w:rPr>
            </w:pPr>
          </w:p>
        </w:tc>
      </w:tr>
      <w:tr>
        <w:trPr>
          <w:trHeight w:val="196"/>
        </w:trPr>
        <w:tc>
          <w:tcPr>
            <w:tcW w:w="76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73,259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217,114</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5,512</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100" w:type="dxa"/>
            <w:vAlign w:val="bottom"/>
          </w:tcPr>
          <w:p>
            <w:pPr>
              <w:spacing w:after="0"/>
              <w:rPr>
                <w:sz w:val="17"/>
                <w:szCs w:val="17"/>
                <w:color w:val="auto"/>
              </w:rPr>
            </w:pPr>
          </w:p>
        </w:tc>
      </w:tr>
      <w:tr>
        <w:trPr>
          <w:trHeight w:val="19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164,145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228,331</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20,726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264,010</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235,823</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2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tcBorders>
              <w:bottom w:val="single" w:sz="8" w:color="CFF0FC"/>
            </w:tcBorders>
          </w:tcPr>
          <w:p>
            <w:pPr>
              <w:spacing w:after="0"/>
              <w:rPr>
                <w:sz w:val="17"/>
                <w:szCs w:val="17"/>
                <w:color w:val="auto"/>
              </w:rPr>
            </w:pPr>
          </w:p>
        </w:tc>
      </w:tr>
      <w:tr>
        <w:trPr>
          <w:trHeight w:val="19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tcPr>
          <w:p>
            <w:pPr>
              <w:spacing w:after="0"/>
              <w:rPr>
                <w:sz w:val="17"/>
                <w:szCs w:val="17"/>
                <w:color w:val="auto"/>
              </w:rPr>
            </w:pPr>
          </w:p>
        </w:tc>
      </w:tr>
      <w:tr>
        <w:trPr>
          <w:trHeight w:val="19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17,733</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48"/>
        </w:trPr>
        <w:tc>
          <w:tcPr>
            <w:tcW w:w="766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Common stock, $0.0001 par value, 990,000,000 shares authorized as of June 30, 2022, and December 31, 2021;</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76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152,229,803 and 137,722,658 shares issued and outstanding as of June 30, 2022, and December 31, 2021,</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r>
      <w:tr>
        <w:trPr>
          <w:trHeight w:val="20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434,073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359,439</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7"/>
                <w:szCs w:val="17"/>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(187,811 )</w:t>
            </w:r>
          </w:p>
        </w:tc>
        <w:tc>
          <w:tcPr>
            <w:tcW w:w="12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(145,491 )</w:t>
            </w:r>
          </w:p>
        </w:tc>
      </w:tr>
      <w:tr>
        <w:trPr>
          <w:trHeight w:val="19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246,277</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264,010</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235,823</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-2502535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-1824990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-1165225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3160"/>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680" w:type="dxa"/>
            <w:vAlign w:val="bottom"/>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2420" w:type="dxa"/>
            <w:vAlign w:val="bottom"/>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6"/>
        </w:trPr>
        <w:tc>
          <w:tcPr>
            <w:tcW w:w="4840" w:type="dxa"/>
            <w:vAlign w:val="bottom"/>
          </w:tcPr>
          <w:p>
            <w:pPr>
              <w:ind w:left="280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35,938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100" w:type="dxa"/>
            <w:vAlign w:val="bottom"/>
            <w:shd w:val="clear" w:color="auto" w:fill="CFF0FC"/>
          </w:tcPr>
          <w:p>
            <w:pPr>
              <w:spacing w:after="0"/>
              <w:rPr>
                <w:sz w:val="17"/>
                <w:szCs w:val="17"/>
                <w:color w:val="auto"/>
              </w:rPr>
            </w:pPr>
          </w:p>
        </w:tc>
      </w:tr>
      <w:tr>
        <w:trPr>
          <w:trHeight w:val="203"/>
        </w:trPr>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8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32,021</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8,814</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58,393</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15,801</w:t>
            </w:r>
          </w:p>
        </w:tc>
        <w:tc>
          <w:tcPr>
            <w:tcW w:w="100" w:type="dxa"/>
            <w:vAlign w:val="bottom"/>
            <w:tcBorders>
              <w:top w:val="single" w:sz="8" w:color="CFF0FC"/>
            </w:tcBorders>
          </w:tcPr>
          <w:p>
            <w:pPr>
              <w:spacing w:after="0"/>
              <w:rPr>
                <w:sz w:val="17"/>
                <w:szCs w:val="17"/>
                <w:color w:val="auto"/>
              </w:rPr>
            </w:pPr>
          </w:p>
        </w:tc>
      </w:tr>
      <w:tr>
        <w:trPr>
          <w:trHeight w:val="19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(28,983</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(7,671</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(54,612</w:t>
            </w:r>
          </w:p>
        </w:tc>
        <w:tc>
          <w:tcPr>
            <w:tcW w:w="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(13 )</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tcPr>
          <w:p>
            <w:pPr>
              <w:spacing w:after="0"/>
              <w:rPr>
                <w:sz w:val="17"/>
                <w:szCs w:val="17"/>
                <w:color w:val="auto"/>
              </w:rPr>
            </w:pPr>
          </w:p>
        </w:tc>
      </w:tr>
      <w:tr>
        <w:trPr>
          <w:trHeight w:val="20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(2 )</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7"/>
                <w:szCs w:val="17"/>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(24,724 )</w:t>
            </w:r>
          </w:p>
        </w:tc>
        <w:tc>
          <w:tcPr>
            <w:tcW w:w="2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(5,262 )</w:t>
            </w:r>
          </w:p>
        </w:tc>
        <w:tc>
          <w:tcPr>
            <w:tcW w:w="220" w:type="dxa"/>
            <w:vAlign w:val="bottom"/>
          </w:tcPr>
          <w:p>
            <w:pPr>
              <w:spacing w:after="0"/>
              <w:rPr>
                <w:sz w:val="17"/>
                <w:szCs w:val="17"/>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(43,926 )</w:t>
            </w: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(10,460 )</w:t>
            </w:r>
          </w:p>
        </w:tc>
      </w:tr>
      <w:tr>
        <w:trPr>
          <w:trHeight w:val="196"/>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(23,118 )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(5,263 )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(42,320 )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(10,461 )</w:t>
            </w:r>
          </w:p>
        </w:tc>
      </w:tr>
      <w:tr>
        <w:trPr>
          <w:trHeight w:val="20"/>
        </w:trPr>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9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(0.16 )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(0.05 )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(0.30 )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(0.10 )</w:t>
            </w:r>
          </w:p>
        </w:tc>
      </w:tr>
      <w:tr>
        <w:trPr>
          <w:trHeight w:val="20"/>
        </w:trPr>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9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146,278,898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104,063,972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142,116,194</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104,061,824</w:t>
            </w:r>
          </w:p>
        </w:tc>
        <w:tc>
          <w:tcPr>
            <w:tcW w:w="10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-1807845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-1807845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-1807845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-1019810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-1019810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-1019810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-744855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-744855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-454025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-454025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-454025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-162560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-162560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74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2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Series C</w:t>
            </w:r>
          </w:p>
        </w:tc>
        <w:tc>
          <w:tcPr>
            <w:tcW w:w="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7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Amoun</w:t>
            </w: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Amoun</w:t>
            </w: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5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8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560" w:type="dxa"/>
            <w:vAlign w:val="bottom"/>
            <w:gridSpan w:val="5"/>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40" w:type="dxa"/>
            <w:vAlign w:val="bottom"/>
          </w:tcPr>
          <w:p>
            <w:pPr>
              <w:spacing w:after="0"/>
              <w:rPr>
                <w:sz w:val="13"/>
                <w:szCs w:val="13"/>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95"/>
        </w:trPr>
        <w:tc>
          <w:tcPr>
            <w:tcW w:w="2360" w:type="dxa"/>
            <w:vAlign w:val="bottom"/>
            <w:tcBorders>
              <w:right w:val="single" w:sz="8" w:color="CFF0FC"/>
            </w:tcBorders>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Balance at December 31, 2020</w:t>
            </w:r>
          </w:p>
        </w:tc>
        <w:tc>
          <w:tcPr>
            <w:tcW w:w="500" w:type="dxa"/>
            <w:vAlign w:val="bottom"/>
            <w:tcBorders>
              <w:top w:val="single" w:sz="8" w:color="auto"/>
            </w:tcBorders>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5,421,4</w:t>
            </w: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520" w:type="dxa"/>
            <w:vAlign w:val="bottom"/>
            <w:tcBorders>
              <w:top w:val="single" w:sz="8" w:color="auto"/>
              <w:right w:val="single" w:sz="8" w:color="CFF0FC"/>
            </w:tcBorders>
            <w:gridSpan w:val="2"/>
            <w:shd w:val="clear" w:color="auto" w:fill="CFF0FC"/>
          </w:tcPr>
          <w:p>
            <w:pPr>
              <w:jc w:val="right"/>
              <w:ind w:right="40"/>
              <w:spacing w:after="0" w:line="95" w:lineRule="exact"/>
              <w:rPr>
                <w:sz w:val="20"/>
                <w:szCs w:val="20"/>
                <w:color w:val="auto"/>
              </w:rPr>
            </w:pPr>
            <w:r>
              <w:rPr>
                <w:rFonts w:ascii="Times New Roman" w:cs="Times New Roman" w:eastAsia="Times New Roman" w:hAnsi="Times New Roman"/>
                <w:sz w:val="10"/>
                <w:szCs w:val="10"/>
                <w:color w:val="auto"/>
              </w:rPr>
              <w:t>3,158,3</w:t>
            </w: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3,532,2</w:t>
            </w:r>
          </w:p>
        </w:tc>
        <w:tc>
          <w:tcPr>
            <w:tcW w:w="80" w:type="dxa"/>
            <w:vAlign w:val="bottom"/>
            <w:shd w:val="clear" w:color="auto" w:fill="CFF0FC"/>
          </w:tcPr>
          <w:p>
            <w:pPr>
              <w:spacing w:after="0"/>
              <w:rPr>
                <w:sz w:val="8"/>
                <w:szCs w:val="8"/>
                <w:color w:val="auto"/>
              </w:rPr>
            </w:pPr>
          </w:p>
        </w:tc>
        <w:tc>
          <w:tcPr>
            <w:tcW w:w="240" w:type="dxa"/>
            <w:vAlign w:val="bottom"/>
            <w:tcBorders>
              <w:top w:val="single" w:sz="8" w:color="auto"/>
              <w:lef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tcBorders>
              <w:top w:val="single" w:sz="8" w:color="auto"/>
              <w:right w:val="single" w:sz="8" w:color="CFF0FC"/>
            </w:tcBorders>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171,64</w:t>
            </w:r>
          </w:p>
        </w:tc>
        <w:tc>
          <w:tcPr>
            <w:tcW w:w="10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right w:val="single" w:sz="8" w:color="CFF0FC"/>
            </w:tcBorders>
            <w:shd w:val="clear" w:color="auto" w:fill="CFF0FC"/>
          </w:tcPr>
          <w:p>
            <w:pPr>
              <w:spacing w:after="0"/>
              <w:rPr>
                <w:sz w:val="8"/>
                <w:szCs w:val="8"/>
                <w:color w:val="auto"/>
              </w:rPr>
            </w:pPr>
          </w:p>
        </w:tc>
        <w:tc>
          <w:tcPr>
            <w:tcW w:w="480" w:type="dxa"/>
            <w:vAlign w:val="bottom"/>
            <w:tcBorders>
              <w:top w:val="single" w:sz="8" w:color="auto"/>
            </w:tcBorders>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8,000,0</w:t>
            </w:r>
          </w:p>
        </w:tc>
        <w:tc>
          <w:tcPr>
            <w:tcW w:w="10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right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right w:val="single" w:sz="8" w:color="CFF0FC"/>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60" w:type="dxa"/>
            <w:vAlign w:val="bottom"/>
            <w:tcBorders>
              <w:right w:val="single" w:sz="8" w:color="CFF0FC"/>
            </w:tcBorders>
            <w:shd w:val="clear" w:color="auto" w:fill="CFF0FC"/>
          </w:tcPr>
          <w:p>
            <w:pPr>
              <w:spacing w:after="0"/>
              <w:rPr>
                <w:sz w:val="14"/>
                <w:szCs w:val="14"/>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240" w:type="dxa"/>
            <w:vAlign w:val="bottom"/>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right w:val="single" w:sz="8" w:color="CFF0FC"/>
            </w:tcBorders>
            <w:shd w:val="clear" w:color="auto" w:fill="CFF0FC"/>
          </w:tcPr>
          <w:p>
            <w:pPr>
              <w:spacing w:after="0"/>
              <w:rPr>
                <w:sz w:val="14"/>
                <w:szCs w:val="14"/>
                <w:color w:val="auto"/>
              </w:rPr>
            </w:pPr>
          </w:p>
        </w:tc>
        <w:tc>
          <w:tcPr>
            <w:tcW w:w="5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38</w:t>
            </w:r>
          </w:p>
        </w:tc>
        <w:tc>
          <w:tcPr>
            <w:tcW w:w="220" w:type="dxa"/>
            <w:vAlign w:val="bottom"/>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tcBorders>
              <w:right w:val="single" w:sz="8" w:color="CFF0FC"/>
            </w:tcBorders>
            <w:shd w:val="clear" w:color="auto" w:fill="CFF0FC"/>
          </w:tcPr>
          <w:p>
            <w:pPr>
              <w:spacing w:after="0"/>
              <w:rPr>
                <w:sz w:val="14"/>
                <w:szCs w:val="14"/>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shd w:val="clear" w:color="auto" w:fill="CFF0FC"/>
          </w:tcPr>
          <w:p>
            <w:pPr>
              <w:spacing w:after="0"/>
              <w:rPr>
                <w:sz w:val="14"/>
                <w:szCs w:val="14"/>
                <w:color w:val="auto"/>
              </w:rPr>
            </w:pPr>
          </w:p>
        </w:tc>
        <w:tc>
          <w:tcPr>
            <w:tcW w:w="240" w:type="dxa"/>
            <w:vAlign w:val="bottom"/>
            <w:tcBorders>
              <w:lef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FF0FC"/>
          </w:tcPr>
          <w:p>
            <w:pPr>
              <w:spacing w:after="0"/>
              <w:rPr>
                <w:sz w:val="14"/>
                <w:szCs w:val="14"/>
                <w:color w:val="auto"/>
              </w:rPr>
            </w:pPr>
          </w:p>
        </w:tc>
        <w:tc>
          <w:tcPr>
            <w:tcW w:w="4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96,870</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(63,983 )</w:t>
            </w: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(3 )</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Retroactive application of reverse recapitalization</w:t>
            </w:r>
          </w:p>
        </w:tc>
        <w:tc>
          <w:tcPr>
            <w:tcW w:w="5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(5,421,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right"/>
              <w:ind w:right="40"/>
              <w:spacing w:after="0" w:line="95" w:lineRule="exact"/>
              <w:rPr>
                <w:sz w:val="20"/>
                <w:szCs w:val="20"/>
                <w:color w:val="auto"/>
              </w:rPr>
            </w:pPr>
            <w:r>
              <w:rPr>
                <w:rFonts w:ascii="Times New Roman" w:cs="Times New Roman" w:eastAsia="Times New Roman" w:hAnsi="Times New Roman"/>
                <w:sz w:val="10"/>
                <w:szCs w:val="10"/>
                <w:color w:val="auto"/>
              </w:rPr>
              <w:t>(3,158,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(3,532,</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103,86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(8,000,</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62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446 )</w:t>
            </w:r>
          </w:p>
        </w:tc>
        <w:tc>
          <w:tcPr>
            <w:tcW w:w="120" w:type="dxa"/>
            <w:vAlign w:val="bottom"/>
          </w:tcPr>
          <w:p>
            <w:pPr>
              <w:spacing w:after="0"/>
              <w:rPr>
                <w:sz w:val="13"/>
                <w:szCs w:val="13"/>
                <w:color w:val="auto"/>
              </w:rPr>
            </w:pP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(5 )</w:t>
            </w:r>
          </w:p>
        </w:tc>
        <w:tc>
          <w:tcPr>
            <w:tcW w:w="62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338 )</w:t>
            </w:r>
          </w:p>
        </w:tc>
        <w:tc>
          <w:tcPr>
            <w:tcW w:w="12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(3 )</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w w:val="95"/>
              </w:rPr>
              <w:t>228 )</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001 )</w:t>
            </w:r>
          </w:p>
        </w:tc>
        <w:tc>
          <w:tcPr>
            <w:tcW w:w="240" w:type="dxa"/>
            <w:vAlign w:val="bottom"/>
          </w:tcPr>
          <w:p>
            <w:pPr>
              <w:spacing w:after="0"/>
              <w:rPr>
                <w:sz w:val="13"/>
                <w:szCs w:val="13"/>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4"/>
        </w:trPr>
        <w:tc>
          <w:tcPr>
            <w:tcW w:w="2360" w:type="dxa"/>
            <w:vAlign w:val="bottom"/>
            <w:tcBorders>
              <w:right w:val="single" w:sz="8" w:color="CFF0FC"/>
            </w:tcBorders>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Balance, December 31, 2020, as adjusted</w:t>
            </w:r>
          </w:p>
        </w:tc>
        <w:tc>
          <w:tcPr>
            <w:tcW w:w="38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40" w:type="dxa"/>
            <w:vAlign w:val="bottom"/>
            <w:tcBorders>
              <w:top w:val="single" w:sz="8" w:color="auto"/>
              <w:lef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tcBorders>
              <w:top w:val="single" w:sz="8" w:color="auto"/>
              <w:right w:val="single" w:sz="8" w:color="CFF0FC"/>
            </w:tcBorders>
            <w:gridSpan w:val="2"/>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104,03</w:t>
            </w:r>
          </w:p>
        </w:tc>
        <w:tc>
          <w:tcPr>
            <w:tcW w:w="10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right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right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right w:val="single" w:sz="8" w:color="CFF0FC"/>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6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tcBorders>
              <w:right w:val="single" w:sz="8" w:color="CFF0FC"/>
            </w:tcBorders>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left w:val="single" w:sz="8" w:color="CFF0FC"/>
            </w:tcBorders>
            <w:shd w:val="clear" w:color="auto" w:fill="CFF0FC"/>
          </w:tcPr>
          <w:p>
            <w:pPr>
              <w:spacing w:after="0"/>
              <w:rPr>
                <w:sz w:val="14"/>
                <w:szCs w:val="14"/>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9,354</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96,880</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(63,983 )</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(3 )</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Purchase of non-controlling interest</w:t>
            </w:r>
          </w:p>
        </w:tc>
        <w:tc>
          <w:tcPr>
            <w:tcW w:w="3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(203 )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left="58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(200 )</w:t>
            </w:r>
          </w:p>
        </w:tc>
        <w:tc>
          <w:tcPr>
            <w:tcW w:w="0" w:type="dxa"/>
            <w:vAlign w:val="bottom"/>
          </w:tcPr>
          <w:p>
            <w:pPr>
              <w:spacing w:after="0"/>
              <w:rPr>
                <w:sz w:val="1"/>
                <w:szCs w:val="1"/>
                <w:color w:val="auto"/>
              </w:rPr>
            </w:pPr>
          </w:p>
        </w:tc>
      </w:tr>
      <w:tr>
        <w:trPr>
          <w:trHeight w:val="135"/>
        </w:trPr>
        <w:tc>
          <w:tcPr>
            <w:tcW w:w="23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tcBorders>
              <w:right w:val="single" w:sz="8" w:color="CFF0FC"/>
            </w:tcBorders>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left w:val="single" w:sz="8" w:color="CFF0FC"/>
            </w:tcBorders>
            <w:shd w:val="clear" w:color="auto" w:fill="CFF0FC"/>
          </w:tcPr>
          <w:p>
            <w:pPr>
              <w:spacing w:after="0"/>
              <w:rPr>
                <w:sz w:val="11"/>
                <w:szCs w:val="1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3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24,618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tcBorders>
              <w:right w:val="single" w:sz="8" w:color="CFF0FC"/>
            </w:tcBorders>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left w:val="single" w:sz="8" w:color="CFF0FC"/>
            </w:tcBorders>
            <w:shd w:val="clear" w:color="auto" w:fill="CFF0FC"/>
          </w:tcPr>
          <w:p>
            <w:pPr>
              <w:spacing w:after="0"/>
              <w:rPr>
                <w:sz w:val="11"/>
                <w:szCs w:val="1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(5,198 )</w:t>
            </w: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(5,198 )</w:t>
            </w:r>
          </w:p>
        </w:tc>
        <w:tc>
          <w:tcPr>
            <w:tcW w:w="0" w:type="dxa"/>
            <w:vAlign w:val="bottom"/>
          </w:tcPr>
          <w:p>
            <w:pPr>
              <w:spacing w:after="0"/>
              <w:rPr>
                <w:sz w:val="1"/>
                <w:szCs w:val="1"/>
                <w:color w:val="auto"/>
              </w:rPr>
            </w:pPr>
          </w:p>
        </w:tc>
      </w:tr>
      <w:tr>
        <w:trPr>
          <w:trHeight w:val="88"/>
        </w:trPr>
        <w:tc>
          <w:tcPr>
            <w:tcW w:w="2360" w:type="dxa"/>
            <w:vAlign w:val="bottom"/>
            <w:tcBorders>
              <w:top w:val="single" w:sz="8" w:color="CFF0FC"/>
            </w:tcBorders>
          </w:tcPr>
          <w:p>
            <w:pPr>
              <w:ind w:left="20"/>
              <w:spacing w:after="0" w:line="88" w:lineRule="exact"/>
              <w:rPr>
                <w:sz w:val="20"/>
                <w:szCs w:val="20"/>
                <w:color w:val="auto"/>
              </w:rPr>
            </w:pPr>
            <w:r>
              <w:rPr>
                <w:rFonts w:ascii="Times New Roman" w:cs="Times New Roman" w:eastAsia="Times New Roman" w:hAnsi="Times New Roman"/>
                <w:sz w:val="10"/>
                <w:szCs w:val="10"/>
                <w:color w:val="auto"/>
              </w:rPr>
              <w:t>Balance at March 31, 2021</w:t>
            </w: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480" w:type="dxa"/>
            <w:vAlign w:val="bottom"/>
            <w:tcBorders>
              <w:top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color w:val="auto"/>
              </w:rPr>
              <w:t>104,06</w:t>
            </w:r>
          </w:p>
        </w:tc>
        <w:tc>
          <w:tcPr>
            <w:tcW w:w="10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24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3,972</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96,870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(69,181 )</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60" w:type="dxa"/>
            <w:vAlign w:val="bottom"/>
            <w:tcBorders>
              <w:right w:val="single" w:sz="8" w:color="CFF0FC"/>
            </w:tcBorders>
            <w:shd w:val="clear" w:color="auto" w:fill="CFF0FC"/>
          </w:tcPr>
          <w:p>
            <w:pPr>
              <w:ind w:left="100"/>
              <w:spacing w:after="0" w:line="120" w:lineRule="exact"/>
              <w:rPr>
                <w:sz w:val="20"/>
                <w:szCs w:val="20"/>
                <w:color w:val="auto"/>
              </w:rPr>
            </w:pPr>
            <w:r>
              <w:rPr>
                <w:rFonts w:ascii="Times New Roman" w:cs="Times New Roman" w:eastAsia="Times New Roman" w:hAnsi="Times New Roman"/>
                <w:sz w:val="11"/>
                <w:szCs w:val="11"/>
                <w:color w:val="auto"/>
              </w:rPr>
              <w:t>Stock-based compensation</w:t>
            </w: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520" w:type="dxa"/>
            <w:vAlign w:val="bottom"/>
            <w:tcBorders>
              <w:right w:val="single" w:sz="8" w:color="CFF0FC"/>
            </w:tcBorders>
            <w:gridSpan w:val="2"/>
            <w:shd w:val="clear" w:color="auto" w:fill="CFF0FC"/>
          </w:tcPr>
          <w:p>
            <w:pPr>
              <w:jc w:val="right"/>
              <w:ind w:right="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240" w:type="dxa"/>
            <w:vAlign w:val="bottom"/>
            <w:tcBorders>
              <w:left w:val="single" w:sz="8" w:color="CFF0FC"/>
            </w:tcBorders>
            <w:shd w:val="clear" w:color="auto" w:fill="CFF0FC"/>
          </w:tcPr>
          <w:p>
            <w:pPr>
              <w:spacing w:after="0"/>
              <w:rPr>
                <w:sz w:val="10"/>
                <w:szCs w:val="10"/>
                <w:color w:val="auto"/>
              </w:rPr>
            </w:pPr>
          </w:p>
        </w:tc>
        <w:tc>
          <w:tcPr>
            <w:tcW w:w="20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tcBorders>
              <w:right w:val="single" w:sz="8" w:color="CFF0FC"/>
            </w:tcBorders>
            <w:shd w:val="clear" w:color="auto" w:fill="CFF0FC"/>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219</w:t>
            </w:r>
          </w:p>
        </w:tc>
        <w:tc>
          <w:tcPr>
            <w:tcW w:w="1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219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3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(5,263 )</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(5,263 )</w:t>
            </w:r>
          </w:p>
        </w:tc>
        <w:tc>
          <w:tcPr>
            <w:tcW w:w="0" w:type="dxa"/>
            <w:vAlign w:val="bottom"/>
          </w:tcPr>
          <w:p>
            <w:pPr>
              <w:spacing w:after="0"/>
              <w:rPr>
                <w:sz w:val="1"/>
                <w:szCs w:val="1"/>
                <w:color w:val="auto"/>
              </w:rPr>
            </w:pPr>
          </w:p>
        </w:tc>
      </w:tr>
      <w:tr>
        <w:trPr>
          <w:trHeight w:val="88"/>
        </w:trPr>
        <w:tc>
          <w:tcPr>
            <w:tcW w:w="2360" w:type="dxa"/>
            <w:vAlign w:val="bottom"/>
            <w:tcBorders>
              <w:right w:val="single" w:sz="8" w:color="CFF0FC"/>
            </w:tcBorders>
            <w:shd w:val="clear" w:color="auto" w:fill="CFF0FC"/>
          </w:tcPr>
          <w:p>
            <w:pPr>
              <w:ind w:left="20"/>
              <w:spacing w:after="0" w:line="88" w:lineRule="exact"/>
              <w:rPr>
                <w:sz w:val="20"/>
                <w:szCs w:val="20"/>
                <w:color w:val="auto"/>
              </w:rPr>
            </w:pPr>
            <w:r>
              <w:rPr>
                <w:rFonts w:ascii="Times New Roman" w:cs="Times New Roman" w:eastAsia="Times New Roman" w:hAnsi="Times New Roman"/>
                <w:sz w:val="10"/>
                <w:szCs w:val="10"/>
                <w:color w:val="auto"/>
              </w:rPr>
              <w:t>Balance at June 30, 2021</w:t>
            </w:r>
          </w:p>
        </w:tc>
        <w:tc>
          <w:tcPr>
            <w:tcW w:w="38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260" w:type="dxa"/>
            <w:vAlign w:val="bottom"/>
            <w:tcBorders>
              <w:top w:val="single" w:sz="8" w:color="auto"/>
              <w:right w:val="single" w:sz="8" w:color="CFF0FC"/>
            </w:tcBorders>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auto"/>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spacing w:after="0"/>
              <w:rPr>
                <w:sz w:val="7"/>
                <w:szCs w:val="7"/>
                <w:color w:val="auto"/>
              </w:rPr>
            </w:pPr>
          </w:p>
        </w:tc>
        <w:tc>
          <w:tcPr>
            <w:tcW w:w="180" w:type="dxa"/>
            <w:vAlign w:val="bottom"/>
            <w:tcBorders>
              <w:right w:val="single" w:sz="8" w:color="CFF0FC"/>
            </w:tcBorders>
            <w:shd w:val="clear" w:color="auto" w:fill="CFF0FC"/>
          </w:tcPr>
          <w:p>
            <w:pPr>
              <w:spacing w:after="0"/>
              <w:rPr>
                <w:sz w:val="7"/>
                <w:szCs w:val="7"/>
                <w:color w:val="auto"/>
              </w:rPr>
            </w:pPr>
          </w:p>
        </w:tc>
        <w:tc>
          <w:tcPr>
            <w:tcW w:w="420" w:type="dxa"/>
            <w:vAlign w:val="bottom"/>
            <w:tcBorders>
              <w:top w:val="single" w:sz="8" w:color="auto"/>
              <w:righ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40" w:type="dxa"/>
            <w:vAlign w:val="bottom"/>
            <w:tcBorders>
              <w:top w:val="single" w:sz="8" w:color="auto"/>
              <w:left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80" w:type="dxa"/>
            <w:vAlign w:val="bottom"/>
            <w:tcBorders>
              <w:top w:val="single" w:sz="8" w:color="auto"/>
              <w:right w:val="single" w:sz="8" w:color="CFF0FC"/>
            </w:tcBorders>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104,06</w:t>
            </w:r>
          </w:p>
        </w:tc>
        <w:tc>
          <w:tcPr>
            <w:tcW w:w="100" w:type="dxa"/>
            <w:vAlign w:val="bottom"/>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4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320" w:type="dxa"/>
            <w:vAlign w:val="bottom"/>
            <w:tcBorders>
              <w:top w:val="single" w:sz="8" w:color="auto"/>
              <w:right w:val="single" w:sz="8" w:color="CFF0FC"/>
            </w:tcBorders>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42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40" w:type="dxa"/>
            <w:vAlign w:val="bottom"/>
            <w:tcBorders>
              <w:top w:val="single" w:sz="8" w:color="auto"/>
            </w:tcBorders>
            <w:shd w:val="clear" w:color="auto" w:fill="CFF0FC"/>
          </w:tcPr>
          <w:p>
            <w:pPr>
              <w:spacing w:after="0"/>
              <w:rPr>
                <w:sz w:val="7"/>
                <w:szCs w:val="7"/>
                <w:color w:val="auto"/>
              </w:rPr>
            </w:pPr>
          </w:p>
        </w:tc>
        <w:tc>
          <w:tcPr>
            <w:tcW w:w="18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380" w:type="dxa"/>
            <w:vAlign w:val="bottom"/>
            <w:tcBorders>
              <w:top w:val="single" w:sz="8" w:color="auto"/>
            </w:tcBorders>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600" w:type="dxa"/>
            <w:vAlign w:val="bottom"/>
            <w:tcBorders>
              <w:top w:val="single" w:sz="8" w:color="auto"/>
              <w:right w:val="single" w:sz="8" w:color="CFF0FC"/>
            </w:tcBorders>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20" w:type="dxa"/>
            <w:vAlign w:val="bottom"/>
            <w:tcBorders>
              <w:top w:val="single" w:sz="8" w:color="auto"/>
            </w:tcBorders>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780" w:type="dxa"/>
            <w:vAlign w:val="bottom"/>
            <w:tcBorders>
              <w:top w:val="single" w:sz="8" w:color="auto"/>
              <w:right w:val="single" w:sz="8" w:color="CFF0FC"/>
            </w:tcBorders>
            <w:shd w:val="clear" w:color="auto" w:fill="CFF0FC"/>
          </w:tcPr>
          <w:p>
            <w:pPr>
              <w:spacing w:after="0"/>
              <w:rPr>
                <w:sz w:val="7"/>
                <w:szCs w:val="7"/>
                <w:color w:val="auto"/>
              </w:rPr>
            </w:pPr>
          </w:p>
        </w:tc>
        <w:tc>
          <w:tcPr>
            <w:tcW w:w="100" w:type="dxa"/>
            <w:vAlign w:val="bottom"/>
            <w:tcBorders>
              <w:right w:val="single" w:sz="8" w:color="CFF0FC"/>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58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36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5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5"/>
                <w:szCs w:val="15"/>
                <w:color w:val="auto"/>
              </w:rPr>
            </w:pPr>
          </w:p>
        </w:tc>
        <w:tc>
          <w:tcPr>
            <w:tcW w:w="240" w:type="dxa"/>
            <w:vAlign w:val="bottom"/>
            <w:tcBorders>
              <w:lef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4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3,972</w:t>
            </w:r>
          </w:p>
        </w:tc>
        <w:tc>
          <w:tcPr>
            <w:tcW w:w="10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97,089</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(74,444 )</w:t>
            </w: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5"/>
                <w:szCs w:val="15"/>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4"/>
              </w:rPr>
              <w:t>Convertible Preferred Stock</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24"/>
                <w:szCs w:val="24"/>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74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2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Series C</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Amou</w:t>
            </w: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50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20" w:type="dxa"/>
            <w:vAlign w:val="bottom"/>
            <w:gridSpan w:val="4"/>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58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nt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4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95"/>
        </w:trPr>
        <w:tc>
          <w:tcPr>
            <w:tcW w:w="2360" w:type="dxa"/>
            <w:vAlign w:val="bottom"/>
            <w:tcBorders>
              <w:right w:val="single" w:sz="8" w:color="CFF0FC"/>
            </w:tcBorders>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Balance at December 31, 2021</w:t>
            </w:r>
          </w:p>
        </w:tc>
        <w:tc>
          <w:tcPr>
            <w:tcW w:w="3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420" w:type="dxa"/>
            <w:vAlign w:val="bottom"/>
            <w:tcBorders>
              <w:top w:val="single" w:sz="8" w:color="auto"/>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40" w:type="dxa"/>
            <w:vAlign w:val="bottom"/>
            <w:tcBorders>
              <w:top w:val="single" w:sz="8" w:color="auto"/>
              <w:left w:val="single" w:sz="8" w:color="CFF0FC"/>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tcBorders>
              <w:top w:val="single" w:sz="8" w:color="auto"/>
            </w:tcBorders>
            <w:gridSpan w:val="3"/>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137,722,</w:t>
            </w: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right w:val="single" w:sz="8" w:color="CFF0FC"/>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60" w:type="dxa"/>
            <w:vAlign w:val="bottom"/>
            <w:tcBorders>
              <w:right w:val="single" w:sz="8" w:color="CFF0FC"/>
            </w:tcBorders>
            <w:shd w:val="clear" w:color="auto" w:fill="CFF0FC"/>
          </w:tcPr>
          <w:p>
            <w:pPr>
              <w:spacing w:after="0"/>
              <w:rPr>
                <w:sz w:val="14"/>
                <w:szCs w:val="14"/>
                <w:color w:val="auto"/>
              </w:rPr>
            </w:pPr>
          </w:p>
        </w:tc>
        <w:tc>
          <w:tcPr>
            <w:tcW w:w="50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4"/>
                <w:szCs w:val="14"/>
                <w:color w:val="auto"/>
              </w:rPr>
            </w:pPr>
          </w:p>
        </w:tc>
        <w:tc>
          <w:tcPr>
            <w:tcW w:w="380" w:type="dxa"/>
            <w:vAlign w:val="bottom"/>
            <w:tcBorders>
              <w:right w:val="single" w:sz="8" w:color="CFF0FC"/>
            </w:tcBorders>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658</w:t>
            </w:r>
          </w:p>
        </w:tc>
        <w:tc>
          <w:tcPr>
            <w:tcW w:w="60" w:type="dxa"/>
            <w:vAlign w:val="bottom"/>
            <w:shd w:val="clear" w:color="auto" w:fill="CFF0FC"/>
          </w:tcPr>
          <w:p>
            <w:pPr>
              <w:spacing w:after="0"/>
              <w:rPr>
                <w:sz w:val="14"/>
                <w:szCs w:val="14"/>
                <w:color w:val="auto"/>
              </w:rPr>
            </w:pPr>
          </w:p>
        </w:tc>
        <w:tc>
          <w:tcPr>
            <w:tcW w:w="1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359,439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(145,491 )</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right w:val="single" w:sz="8" w:color="CFF0FC"/>
            </w:tcBorders>
            <w:gridSpan w:val="2"/>
            <w:shd w:val="clear" w:color="auto" w:fill="CFF0FC"/>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213,962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5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10,850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60" w:type="dxa"/>
            <w:vAlign w:val="bottom"/>
            <w:tcBorders>
              <w:right w:val="single" w:sz="8" w:color="CFF0FC"/>
            </w:tcBorders>
            <w:shd w:val="clear" w:color="auto" w:fill="CFF0FC"/>
          </w:tcPr>
          <w:p>
            <w:pPr>
              <w:ind w:left="100"/>
              <w:spacing w:after="0" w:line="95" w:lineRule="exact"/>
              <w:rPr>
                <w:sz w:val="20"/>
                <w:szCs w:val="20"/>
                <w:color w:val="auto"/>
              </w:rPr>
            </w:pPr>
            <w:r>
              <w:rPr>
                <w:rFonts w:ascii="Times New Roman" w:cs="Times New Roman" w:eastAsia="Times New Roman" w:hAnsi="Times New Roman"/>
                <w:sz w:val="10"/>
                <w:szCs w:val="10"/>
                <w:color w:val="auto"/>
              </w:rPr>
              <w:t>Common stock issued upon vesting of restricted</w:t>
            </w:r>
          </w:p>
        </w:tc>
        <w:tc>
          <w:tcPr>
            <w:tcW w:w="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4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40" w:type="dxa"/>
            <w:vAlign w:val="bottom"/>
            <w:tcBorders>
              <w:lef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gridSpan w:val="4"/>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2,013,89</w:t>
            </w: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80" w:type="dxa"/>
            <w:vAlign w:val="bottom"/>
            <w:tcBorders>
              <w:right w:val="single" w:sz="8" w:color="CFF0FC"/>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stock awards and restricted stock units</w:t>
            </w:r>
          </w:p>
        </w:tc>
        <w:tc>
          <w:tcPr>
            <w:tcW w:w="50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tcBorders>
              <w:right w:val="single" w:sz="8" w:color="CFF0FC"/>
            </w:tcBorders>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left w:val="single" w:sz="8" w:color="CFF0FC"/>
            </w:tcBorders>
            <w:shd w:val="clear" w:color="auto" w:fill="CFF0FC"/>
          </w:tcPr>
          <w:p>
            <w:pPr>
              <w:spacing w:after="0"/>
              <w:rPr>
                <w:sz w:val="14"/>
                <w:szCs w:val="14"/>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4"/>
        </w:trPr>
        <w:tc>
          <w:tcPr>
            <w:tcW w:w="236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Shares repurchased for payment of tax</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right"/>
              <w:spacing w:after="0" w:line="95" w:lineRule="exact"/>
              <w:rPr>
                <w:sz w:val="20"/>
                <w:szCs w:val="20"/>
                <w:color w:val="auto"/>
              </w:rPr>
            </w:pPr>
            <w:r>
              <w:rPr>
                <w:rFonts w:ascii="Times New Roman" w:cs="Times New Roman" w:eastAsia="Times New Roman" w:hAnsi="Times New Roman"/>
                <w:sz w:val="10"/>
                <w:szCs w:val="10"/>
                <w:color w:val="auto"/>
              </w:rPr>
              <w:t>(793,88</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withholdings and other</w:t>
            </w:r>
          </w:p>
        </w:tc>
        <w:tc>
          <w:tcPr>
            <w:tcW w:w="5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(5,250 )</w:t>
            </w:r>
          </w:p>
        </w:tc>
        <w:tc>
          <w:tcPr>
            <w:tcW w:w="8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(5,250 )</w:t>
            </w:r>
          </w:p>
        </w:tc>
        <w:tc>
          <w:tcPr>
            <w:tcW w:w="0" w:type="dxa"/>
            <w:vAlign w:val="bottom"/>
          </w:tcPr>
          <w:p>
            <w:pPr>
              <w:spacing w:after="0"/>
              <w:rPr>
                <w:sz w:val="1"/>
                <w:szCs w:val="1"/>
                <w:color w:val="auto"/>
              </w:rPr>
            </w:pPr>
          </w:p>
        </w:tc>
      </w:tr>
      <w:tr>
        <w:trPr>
          <w:trHeight w:val="139"/>
        </w:trPr>
        <w:tc>
          <w:tcPr>
            <w:tcW w:w="23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50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CFF0FC"/>
            </w:tcBorders>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83,582</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5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(19,202 )</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(19,202 )</w:t>
            </w:r>
          </w:p>
        </w:tc>
        <w:tc>
          <w:tcPr>
            <w:tcW w:w="0" w:type="dxa"/>
            <w:vAlign w:val="bottom"/>
          </w:tcPr>
          <w:p>
            <w:pPr>
              <w:spacing w:after="0"/>
              <w:rPr>
                <w:sz w:val="1"/>
                <w:szCs w:val="1"/>
                <w:color w:val="auto"/>
              </w:rPr>
            </w:pPr>
          </w:p>
        </w:tc>
      </w:tr>
      <w:tr>
        <w:trPr>
          <w:trHeight w:val="88"/>
        </w:trPr>
        <w:tc>
          <w:tcPr>
            <w:tcW w:w="2360" w:type="dxa"/>
            <w:vAlign w:val="bottom"/>
            <w:tcBorders>
              <w:right w:val="single" w:sz="8" w:color="CFF0FC"/>
            </w:tcBorders>
            <w:shd w:val="clear" w:color="auto" w:fill="CFF0FC"/>
          </w:tcPr>
          <w:p>
            <w:pPr>
              <w:ind w:left="20"/>
              <w:spacing w:after="0" w:line="88" w:lineRule="exact"/>
              <w:rPr>
                <w:sz w:val="20"/>
                <w:szCs w:val="20"/>
                <w:color w:val="auto"/>
              </w:rPr>
            </w:pPr>
            <w:r>
              <w:rPr>
                <w:rFonts w:ascii="Times New Roman" w:cs="Times New Roman" w:eastAsia="Times New Roman" w:hAnsi="Times New Roman"/>
                <w:sz w:val="10"/>
                <w:szCs w:val="10"/>
                <w:color w:val="auto"/>
              </w:rPr>
              <w:t>Balance at March 31, 2022</w:t>
            </w:r>
          </w:p>
        </w:tc>
        <w:tc>
          <w:tcPr>
            <w:tcW w:w="38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260" w:type="dxa"/>
            <w:vAlign w:val="bottom"/>
            <w:tcBorders>
              <w:top w:val="single" w:sz="8" w:color="auto"/>
              <w:right w:val="single" w:sz="8" w:color="CFF0FC"/>
            </w:tcBorders>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spacing w:after="0"/>
              <w:rPr>
                <w:sz w:val="7"/>
                <w:szCs w:val="7"/>
                <w:color w:val="auto"/>
              </w:rPr>
            </w:pPr>
          </w:p>
        </w:tc>
        <w:tc>
          <w:tcPr>
            <w:tcW w:w="180" w:type="dxa"/>
            <w:vAlign w:val="bottom"/>
            <w:tcBorders>
              <w:right w:val="single" w:sz="8" w:color="CFF0FC"/>
            </w:tcBorders>
            <w:shd w:val="clear" w:color="auto" w:fill="CFF0FC"/>
          </w:tcPr>
          <w:p>
            <w:pPr>
              <w:spacing w:after="0"/>
              <w:rPr>
                <w:sz w:val="7"/>
                <w:szCs w:val="7"/>
                <w:color w:val="auto"/>
              </w:rPr>
            </w:pPr>
          </w:p>
        </w:tc>
        <w:tc>
          <w:tcPr>
            <w:tcW w:w="420" w:type="dxa"/>
            <w:vAlign w:val="bottom"/>
            <w:tcBorders>
              <w:top w:val="single" w:sz="8" w:color="auto"/>
              <w:righ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40" w:type="dxa"/>
            <w:vAlign w:val="bottom"/>
            <w:tcBorders>
              <w:top w:val="single" w:sz="8" w:color="auto"/>
              <w:left w:val="single" w:sz="8" w:color="CFF0FC"/>
            </w:tcBorders>
            <w:shd w:val="clear" w:color="auto" w:fill="CFF0FC"/>
          </w:tcPr>
          <w:p>
            <w:pPr>
              <w:spacing w:after="0"/>
              <w:rPr>
                <w:sz w:val="7"/>
                <w:szCs w:val="7"/>
                <w:color w:val="auto"/>
              </w:rPr>
            </w:pPr>
          </w:p>
        </w:tc>
        <w:tc>
          <w:tcPr>
            <w:tcW w:w="20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tcBorders>
              <w:top w:val="single" w:sz="8" w:color="auto"/>
            </w:tcBorders>
            <w:gridSpan w:val="3"/>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139,026,</w:t>
            </w:r>
          </w:p>
        </w:tc>
        <w:tc>
          <w:tcPr>
            <w:tcW w:w="6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320" w:type="dxa"/>
            <w:vAlign w:val="bottom"/>
            <w:tcBorders>
              <w:top w:val="single" w:sz="8" w:color="auto"/>
              <w:righ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2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40" w:type="dxa"/>
            <w:vAlign w:val="bottom"/>
            <w:tcBorders>
              <w:top w:val="single" w:sz="8" w:color="auto"/>
            </w:tcBorders>
            <w:shd w:val="clear" w:color="auto" w:fill="CFF0FC"/>
          </w:tcPr>
          <w:p>
            <w:pPr>
              <w:spacing w:after="0"/>
              <w:rPr>
                <w:sz w:val="7"/>
                <w:szCs w:val="7"/>
                <w:color w:val="auto"/>
              </w:rPr>
            </w:pPr>
          </w:p>
        </w:tc>
        <w:tc>
          <w:tcPr>
            <w:tcW w:w="18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38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auto"/>
              <w:righ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600" w:type="dxa"/>
            <w:vAlign w:val="bottom"/>
            <w:tcBorders>
              <w:top w:val="single" w:sz="8" w:color="auto"/>
              <w:right w:val="single" w:sz="8" w:color="CFF0FC"/>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0" w:type="dxa"/>
            <w:vAlign w:val="bottom"/>
            <w:tcBorders>
              <w:top w:val="single" w:sz="8" w:color="auto"/>
            </w:tcBorders>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780" w:type="dxa"/>
            <w:vAlign w:val="bottom"/>
            <w:tcBorders>
              <w:top w:val="single" w:sz="8" w:color="auto"/>
              <w:right w:val="single" w:sz="8" w:color="CFF0FC"/>
            </w:tcBorders>
            <w:shd w:val="clear" w:color="auto" w:fill="CFF0FC"/>
          </w:tcPr>
          <w:p>
            <w:pPr>
              <w:spacing w:after="0"/>
              <w:rPr>
                <w:sz w:val="7"/>
                <w:szCs w:val="7"/>
                <w:color w:val="auto"/>
              </w:rPr>
            </w:pPr>
          </w:p>
        </w:tc>
        <w:tc>
          <w:tcPr>
            <w:tcW w:w="100" w:type="dxa"/>
            <w:vAlign w:val="bottom"/>
            <w:tcBorders>
              <w:right w:val="single" w:sz="8" w:color="CFF0FC"/>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58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360" w:type="dxa"/>
            <w:vAlign w:val="bottom"/>
            <w:tcBorders>
              <w:right w:val="single" w:sz="8" w:color="CFF0FC"/>
            </w:tcBorders>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7"/>
                <w:szCs w:val="17"/>
                <w:color w:val="auto"/>
              </w:rPr>
            </w:pPr>
          </w:p>
        </w:tc>
        <w:tc>
          <w:tcPr>
            <w:tcW w:w="24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245</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365,104</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(164,693 )</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right w:val="single" w:sz="8" w:color="CFF0FC"/>
            </w:tcBorders>
            <w:gridSpan w:val="2"/>
            <w:shd w:val="clear" w:color="auto" w:fill="CFF0FC"/>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200,425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360" w:type="dxa"/>
            <w:vAlign w:val="bottom"/>
            <w:tcBorders>
              <w:top w:val="single" w:sz="8" w:color="CFF0FC"/>
            </w:tcBorders>
          </w:tcPr>
          <w:p>
            <w:pPr>
              <w:ind w:left="100"/>
              <w:spacing w:after="0" w:line="120" w:lineRule="exact"/>
              <w:rPr>
                <w:sz w:val="20"/>
                <w:szCs w:val="20"/>
                <w:color w:val="auto"/>
              </w:rPr>
            </w:pPr>
            <w:r>
              <w:rPr>
                <w:rFonts w:ascii="Times New Roman" w:cs="Times New Roman" w:eastAsia="Times New Roman" w:hAnsi="Times New Roman"/>
                <w:sz w:val="11"/>
                <w:szCs w:val="11"/>
                <w:color w:val="auto"/>
              </w:rPr>
              <w:t>Stock-based compensation</w:t>
            </w:r>
          </w:p>
        </w:tc>
        <w:tc>
          <w:tcPr>
            <w:tcW w:w="3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CFF0FC"/>
            </w:tcBorders>
          </w:tcPr>
          <w:p>
            <w:pPr>
              <w:spacing w:after="0"/>
              <w:rPr>
                <w:sz w:val="10"/>
                <w:szCs w:val="10"/>
                <w:color w:val="auto"/>
              </w:rPr>
            </w:pPr>
          </w:p>
        </w:tc>
        <w:tc>
          <w:tcPr>
            <w:tcW w:w="420" w:type="dxa"/>
            <w:vAlign w:val="bottom"/>
            <w:tcBorders>
              <w:top w:val="single" w:sz="8" w:color="auto"/>
            </w:tcBorders>
          </w:tcPr>
          <w:p>
            <w:pPr>
              <w:ind w:lef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right"/>
              <w:ind w:right="2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FF0FC"/>
            </w:tcBorders>
          </w:tcPr>
          <w:p>
            <w:pPr>
              <w:spacing w:after="0"/>
              <w:rPr>
                <w:sz w:val="10"/>
                <w:szCs w:val="10"/>
                <w:color w:val="auto"/>
              </w:rPr>
            </w:pPr>
          </w:p>
        </w:tc>
        <w:tc>
          <w:tcPr>
            <w:tcW w:w="4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40"/>
              <w:spacing w:after="0" w:line="120" w:lineRule="exact"/>
              <w:rPr>
                <w:sz w:val="20"/>
                <w:szCs w:val="20"/>
                <w:color w:val="auto"/>
              </w:rPr>
            </w:pPr>
            <w:r>
              <w:rPr>
                <w:rFonts w:ascii="Times New Roman" w:cs="Times New Roman" w:eastAsia="Times New Roman" w:hAnsi="Times New Roman"/>
                <w:sz w:val="11"/>
                <w:szCs w:val="11"/>
                <w:color w:val="auto"/>
              </w:rPr>
              <w:t>10,270</w:t>
            </w: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left="586"/>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10,270</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60" w:type="dxa"/>
            <w:vAlign w:val="bottom"/>
            <w:tcBorders>
              <w:right w:val="single" w:sz="8" w:color="CFF0FC"/>
            </w:tcBorders>
            <w:shd w:val="clear" w:color="auto" w:fill="CFF0FC"/>
          </w:tcPr>
          <w:p>
            <w:pPr>
              <w:ind w:left="100"/>
              <w:spacing w:after="0" w:line="95" w:lineRule="exact"/>
              <w:rPr>
                <w:sz w:val="20"/>
                <w:szCs w:val="20"/>
                <w:color w:val="auto"/>
              </w:rPr>
            </w:pPr>
            <w:r>
              <w:rPr>
                <w:rFonts w:ascii="Times New Roman" w:cs="Times New Roman" w:eastAsia="Times New Roman" w:hAnsi="Times New Roman"/>
                <w:sz w:val="10"/>
                <w:szCs w:val="10"/>
                <w:color w:val="auto"/>
              </w:rPr>
              <w:t>Common stock issued upon vesting of restricted</w:t>
            </w:r>
          </w:p>
        </w:tc>
        <w:tc>
          <w:tcPr>
            <w:tcW w:w="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4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40" w:type="dxa"/>
            <w:vAlign w:val="bottom"/>
            <w:tcBorders>
              <w:lef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gridSpan w:val="4"/>
            <w:shd w:val="clear" w:color="auto" w:fill="CFF0FC"/>
          </w:tcPr>
          <w:p>
            <w:pPr>
              <w:jc w:val="right"/>
              <w:spacing w:after="0" w:line="95" w:lineRule="exact"/>
              <w:rPr>
                <w:sz w:val="20"/>
                <w:szCs w:val="20"/>
                <w:color w:val="auto"/>
              </w:rPr>
            </w:pPr>
            <w:r>
              <w:rPr>
                <w:rFonts w:ascii="Times New Roman" w:cs="Times New Roman" w:eastAsia="Times New Roman" w:hAnsi="Times New Roman"/>
                <w:sz w:val="10"/>
                <w:szCs w:val="10"/>
                <w:color w:val="auto"/>
              </w:rPr>
              <w:t>1,402,86</w:t>
            </w: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80" w:type="dxa"/>
            <w:vAlign w:val="bottom"/>
            <w:tcBorders>
              <w:right w:val="single" w:sz="8" w:color="CFF0FC"/>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stock awards and restricted stock units</w:t>
            </w:r>
          </w:p>
        </w:tc>
        <w:tc>
          <w:tcPr>
            <w:tcW w:w="50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tcBorders>
              <w:right w:val="single" w:sz="8" w:color="CFF0FC"/>
            </w:tcBorders>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left w:val="single" w:sz="8" w:color="CFF0FC"/>
            </w:tcBorders>
            <w:shd w:val="clear" w:color="auto" w:fill="CFF0FC"/>
          </w:tcPr>
          <w:p>
            <w:pPr>
              <w:spacing w:after="0"/>
              <w:rPr>
                <w:sz w:val="14"/>
                <w:szCs w:val="14"/>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5"/>
        </w:trPr>
        <w:tc>
          <w:tcPr>
            <w:tcW w:w="236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Shares repurchased for payment of tax</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right"/>
              <w:spacing w:after="0" w:line="95" w:lineRule="exact"/>
              <w:rPr>
                <w:sz w:val="20"/>
                <w:szCs w:val="20"/>
                <w:color w:val="auto"/>
              </w:rPr>
            </w:pPr>
            <w:r>
              <w:rPr>
                <w:rFonts w:ascii="Times New Roman" w:cs="Times New Roman" w:eastAsia="Times New Roman" w:hAnsi="Times New Roman"/>
                <w:sz w:val="10"/>
                <w:szCs w:val="10"/>
                <w:color w:val="auto"/>
              </w:rPr>
              <w:t>(464,38</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withholdings and other</w:t>
            </w:r>
          </w:p>
        </w:tc>
        <w:tc>
          <w:tcPr>
            <w:tcW w:w="5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(1,342 )</w:t>
            </w:r>
          </w:p>
        </w:tc>
        <w:tc>
          <w:tcPr>
            <w:tcW w:w="8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(1,342 )</w:t>
            </w:r>
          </w:p>
        </w:tc>
        <w:tc>
          <w:tcPr>
            <w:tcW w:w="0" w:type="dxa"/>
            <w:vAlign w:val="bottom"/>
          </w:tcPr>
          <w:p>
            <w:pPr>
              <w:spacing w:after="0"/>
              <w:rPr>
                <w:sz w:val="1"/>
                <w:szCs w:val="1"/>
                <w:color w:val="auto"/>
              </w:rPr>
            </w:pPr>
          </w:p>
        </w:tc>
      </w:tr>
      <w:tr>
        <w:trPr>
          <w:trHeight w:val="99"/>
        </w:trPr>
        <w:tc>
          <w:tcPr>
            <w:tcW w:w="2360" w:type="dxa"/>
            <w:vAlign w:val="bottom"/>
            <w:tcBorders>
              <w:right w:val="single" w:sz="8" w:color="CFF0FC"/>
            </w:tcBorders>
            <w:shd w:val="clear" w:color="auto" w:fill="CFF0FC"/>
          </w:tcPr>
          <w:p>
            <w:pPr>
              <w:ind w:left="100"/>
              <w:spacing w:after="0" w:line="99" w:lineRule="exact"/>
              <w:rPr>
                <w:sz w:val="20"/>
                <w:szCs w:val="20"/>
                <w:color w:val="auto"/>
              </w:rPr>
            </w:pPr>
            <w:r>
              <w:rPr>
                <w:rFonts w:ascii="Times New Roman" w:cs="Times New Roman" w:eastAsia="Times New Roman" w:hAnsi="Times New Roman"/>
                <w:sz w:val="11"/>
                <w:szCs w:val="11"/>
                <w:color w:val="auto"/>
              </w:rPr>
              <w:t>Exercise of stock options</w:t>
            </w:r>
          </w:p>
        </w:tc>
        <w:tc>
          <w:tcPr>
            <w:tcW w:w="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tcBorders>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4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40" w:type="dxa"/>
            <w:vAlign w:val="bottom"/>
            <w:tcBorders>
              <w:lef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gridSpan w:val="4"/>
            <w:shd w:val="clear" w:color="auto" w:fill="CFF0FC"/>
          </w:tcPr>
          <w:p>
            <w:pPr>
              <w:jc w:val="right"/>
              <w:spacing w:after="0" w:line="99" w:lineRule="exact"/>
              <w:rPr>
                <w:sz w:val="20"/>
                <w:szCs w:val="20"/>
                <w:color w:val="auto"/>
              </w:rPr>
            </w:pPr>
            <w:r>
              <w:rPr>
                <w:rFonts w:ascii="Times New Roman" w:cs="Times New Roman" w:eastAsia="Times New Roman" w:hAnsi="Times New Roman"/>
                <w:sz w:val="11"/>
                <w:szCs w:val="11"/>
                <w:color w:val="auto"/>
              </w:rPr>
              <w:t>1,492,40</w:t>
            </w: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tcBorders>
              <w:right w:val="single" w:sz="8" w:color="CFF0FC"/>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80" w:type="dxa"/>
            <w:vAlign w:val="bottom"/>
            <w:tcBorders>
              <w:right w:val="single" w:sz="8" w:color="CFF0FC"/>
            </w:tcBorders>
            <w:shd w:val="clear" w:color="auto" w:fill="CFF0FC"/>
          </w:tcPr>
          <w:p>
            <w:pPr>
              <w:spacing w:after="0"/>
              <w:rPr>
                <w:sz w:val="8"/>
                <w:szCs w:val="8"/>
                <w:color w:val="auto"/>
              </w:rPr>
            </w:pPr>
          </w:p>
        </w:tc>
        <w:tc>
          <w:tcPr>
            <w:tcW w:w="100" w:type="dxa"/>
            <w:vAlign w:val="bottom"/>
            <w:tcBorders>
              <w:right w:val="single" w:sz="8" w:color="CFF0FC"/>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60" w:type="dxa"/>
            <w:vAlign w:val="bottom"/>
            <w:tcBorders>
              <w:right w:val="single" w:sz="8" w:color="CFF0FC"/>
            </w:tcBorders>
            <w:shd w:val="clear" w:color="auto" w:fill="CFF0FC"/>
          </w:tcPr>
          <w:p>
            <w:pPr>
              <w:spacing w:after="0"/>
              <w:rPr>
                <w:sz w:val="14"/>
                <w:szCs w:val="14"/>
                <w:color w:val="auto"/>
              </w:rPr>
            </w:pPr>
          </w:p>
        </w:tc>
        <w:tc>
          <w:tcPr>
            <w:tcW w:w="50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tcBorders>
              <w:right w:val="single" w:sz="8" w:color="CFF0FC"/>
            </w:tcBorders>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left w:val="single" w:sz="8" w:color="CFF0FC"/>
            </w:tcBorders>
            <w:shd w:val="clear" w:color="auto" w:fill="CFF0FC"/>
          </w:tcPr>
          <w:p>
            <w:pPr>
              <w:spacing w:after="0"/>
              <w:rPr>
                <w:sz w:val="14"/>
                <w:szCs w:val="14"/>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486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100"/>
              <w:spacing w:after="0" w:line="95" w:lineRule="exact"/>
              <w:rPr>
                <w:sz w:val="20"/>
                <w:szCs w:val="20"/>
                <w:color w:val="auto"/>
              </w:rPr>
            </w:pPr>
            <w:r>
              <w:rPr>
                <w:rFonts w:ascii="Times New Roman" w:cs="Times New Roman" w:eastAsia="Times New Roman" w:hAnsi="Times New Roman"/>
                <w:sz w:val="10"/>
                <w:szCs w:val="10"/>
                <w:color w:val="auto"/>
              </w:rPr>
              <w:t>Common stock and assumed equity awards in</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right"/>
              <w:spacing w:after="0" w:line="95" w:lineRule="exact"/>
              <w:rPr>
                <w:sz w:val="20"/>
                <w:szCs w:val="20"/>
                <w:color w:val="auto"/>
              </w:rPr>
            </w:pPr>
            <w:r>
              <w:rPr>
                <w:rFonts w:ascii="Times New Roman" w:cs="Times New Roman" w:eastAsia="Times New Roman" w:hAnsi="Times New Roman"/>
                <w:sz w:val="10"/>
                <w:szCs w:val="10"/>
                <w:color w:val="auto"/>
              </w:rPr>
              <w:t>10,772,6</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connection with a business acquisition</w:t>
            </w:r>
          </w:p>
        </w:tc>
        <w:tc>
          <w:tcPr>
            <w:tcW w:w="5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59,555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3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(23,118 )</w:t>
            </w: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(23,118 )</w:t>
            </w:r>
          </w:p>
        </w:tc>
        <w:tc>
          <w:tcPr>
            <w:tcW w:w="0" w:type="dxa"/>
            <w:vAlign w:val="bottom"/>
          </w:tcPr>
          <w:p>
            <w:pPr>
              <w:spacing w:after="0"/>
              <w:rPr>
                <w:sz w:val="1"/>
                <w:szCs w:val="1"/>
                <w:color w:val="auto"/>
              </w:rPr>
            </w:pPr>
          </w:p>
        </w:tc>
      </w:tr>
      <w:tr>
        <w:trPr>
          <w:trHeight w:val="88"/>
        </w:trPr>
        <w:tc>
          <w:tcPr>
            <w:tcW w:w="2360" w:type="dxa"/>
            <w:vAlign w:val="bottom"/>
            <w:tcBorders>
              <w:top w:val="single" w:sz="8" w:color="CFF0FC"/>
            </w:tcBorders>
          </w:tcPr>
          <w:p>
            <w:pPr>
              <w:ind w:left="20"/>
              <w:spacing w:after="0" w:line="88" w:lineRule="exact"/>
              <w:rPr>
                <w:sz w:val="20"/>
                <w:szCs w:val="20"/>
                <w:color w:val="auto"/>
              </w:rPr>
            </w:pPr>
            <w:r>
              <w:rPr>
                <w:rFonts w:ascii="Times New Roman" w:cs="Times New Roman" w:eastAsia="Times New Roman" w:hAnsi="Times New Roman"/>
                <w:sz w:val="10"/>
                <w:szCs w:val="10"/>
                <w:color w:val="auto"/>
              </w:rPr>
              <w:t>Balance at June 30, 2022</w:t>
            </w: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20" w:type="dxa"/>
            <w:vAlign w:val="bottom"/>
            <w:tcBorders>
              <w:top w:val="single" w:sz="8" w:color="auto"/>
            </w:tcBorders>
            <w:gridSpan w:val="3"/>
          </w:tcPr>
          <w:p>
            <w:pPr>
              <w:jc w:val="right"/>
              <w:spacing w:after="0" w:line="88" w:lineRule="exact"/>
              <w:rPr>
                <w:sz w:val="20"/>
                <w:szCs w:val="20"/>
                <w:color w:val="auto"/>
              </w:rPr>
            </w:pPr>
            <w:r>
              <w:rPr>
                <w:rFonts w:ascii="Times New Roman" w:cs="Times New Roman" w:eastAsia="Times New Roman" w:hAnsi="Times New Roman"/>
                <w:sz w:val="10"/>
                <w:szCs w:val="10"/>
                <w:color w:val="auto"/>
              </w:rPr>
              <w:t>152,229,</w:t>
            </w:r>
          </w:p>
        </w:tc>
        <w:tc>
          <w:tcPr>
            <w:tcW w:w="60" w:type="dxa"/>
            <w:vAlign w:val="bottom"/>
            <w:tcBorders>
              <w:top w:val="single" w:sz="8" w:color="CFF0FC"/>
            </w:tcBorders>
          </w:tcPr>
          <w:p>
            <w:pPr>
              <w:spacing w:after="0"/>
              <w:rPr>
                <w:sz w:val="7"/>
                <w:szCs w:val="7"/>
                <w:color w:val="auto"/>
              </w:rPr>
            </w:pPr>
          </w:p>
        </w:tc>
        <w:tc>
          <w:tcPr>
            <w:tcW w:w="4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Borders>
              <w:top w:val="single" w:sz="8" w:color="CFF0FC"/>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Borders>
              <w:top w:val="single" w:sz="8" w:color="CFF0FC"/>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5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3"/>
                <w:szCs w:val="13"/>
                <w:color w:val="auto"/>
              </w:rPr>
            </w:pPr>
          </w:p>
        </w:tc>
        <w:tc>
          <w:tcPr>
            <w:tcW w:w="3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2"/>
              </w:rPr>
              <w:t>803</w:t>
            </w:r>
          </w:p>
        </w:tc>
        <w:tc>
          <w:tcPr>
            <w:tcW w:w="60" w:type="dxa"/>
            <w:vAlign w:val="bottom"/>
          </w:tcPr>
          <w:p>
            <w:pPr>
              <w:spacing w:after="0"/>
              <w:rPr>
                <w:sz w:val="13"/>
                <w:szCs w:val="13"/>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6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434,073</w:t>
            </w:r>
          </w:p>
        </w:tc>
        <w:tc>
          <w:tcPr>
            <w:tcW w:w="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(187,811 )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center"/>
              <w:ind w:left="486"/>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246,277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-3102610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-3102610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-3102610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-3102610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-3102610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-3102610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-3102610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-3102610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-3102610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-3102610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-3102610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-3102610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-2562860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-2545080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-2562860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-2545080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-2562860</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-2545080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-2562860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-2545080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-2562860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-2545080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-2562860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-2545080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-2562860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-2545080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-2562860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-2545080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-2562860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-2545080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-2562860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-2545080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-2562860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-2545080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-2562860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-2545080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-2562860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-2545080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-2562860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-1045210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-1028065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-1045210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-1028065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-1045210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-1028065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-1045210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-1028065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-1045210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-1028065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-1045210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-1028065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-1045210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-1028065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-1045210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-1028065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-1045210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-1028065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-1045210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-1028065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-1045210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-1028065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-1045210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-1028065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-1045210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-1028065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-196850</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-196850</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-196850</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-196850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-196850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-196850</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-196850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-196850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-196850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-196850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-196850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-196850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-196850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90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6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(42,320 )</w:t>
            </w:r>
          </w:p>
        </w:tc>
        <w:tc>
          <w:tcPr>
            <w:tcW w:w="180" w:type="dxa"/>
            <w:vAlign w:val="bottom"/>
          </w:tcPr>
          <w:p>
            <w:pPr>
              <w:spacing w:after="0"/>
              <w:rPr>
                <w:sz w:val="17"/>
                <w:szCs w:val="17"/>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(10,461 )</w:t>
            </w: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(10,527 )</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980" w:type="dxa"/>
            <w:vAlign w:val="bottom"/>
          </w:tcPr>
          <w:p>
            <w:pPr>
              <w:spacing w:after="0"/>
              <w:rPr>
                <w:sz w:val="17"/>
                <w:szCs w:val="17"/>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(2,394 )</w:t>
            </w: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Unbilled receivable</w:t>
            </w:r>
          </w:p>
        </w:tc>
        <w:tc>
          <w:tcPr>
            <w:tcW w:w="9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(635 )</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(424 )</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(551 )</w:t>
            </w: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transaction costs</w:t>
            </w:r>
          </w:p>
        </w:tc>
        <w:tc>
          <w:tcPr>
            <w:tcW w:w="98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(2,799 )</w:t>
            </w: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(655 )</w:t>
            </w: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9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(1,589 )</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7"/>
                <w:szCs w:val="17"/>
                <w:color w:val="auto"/>
              </w:rPr>
            </w:pPr>
          </w:p>
        </w:tc>
      </w:tr>
      <w:tr>
        <w:trPr>
          <w:trHeight w:val="196"/>
        </w:trPr>
        <w:tc>
          <w:tcPr>
            <w:tcW w:w="76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(27,924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(690 )</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(2,282 )</w:t>
            </w: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of a business, net of cash acquired</w:t>
            </w:r>
          </w:p>
        </w:tc>
        <w:tc>
          <w:tcPr>
            <w:tcW w:w="9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(29,687 )</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(79,507 )</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6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(109,884 )</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(2,282 )</w:t>
            </w:r>
          </w:p>
        </w:tc>
      </w:tr>
      <w:tr>
        <w:trPr>
          <w:trHeight w:val="19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980" w:type="dxa"/>
            <w:vAlign w:val="bottom"/>
          </w:tcPr>
          <w:p>
            <w:pPr>
              <w:spacing w:after="0"/>
              <w:rPr>
                <w:sz w:val="17"/>
                <w:szCs w:val="17"/>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9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(6,596 )</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98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9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196"/>
        </w:trPr>
        <w:tc>
          <w:tcPr>
            <w:tcW w:w="76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w:t>
            </w:r>
          </w:p>
        </w:tc>
        <w:tc>
          <w:tcPr>
            <w:tcW w:w="9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(143,855 )</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(14,124 )</w:t>
            </w:r>
          </w:p>
        </w:tc>
      </w:tr>
      <w:tr>
        <w:trPr>
          <w:trHeight w:val="20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at beginning of period</w:t>
            </w: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217,114</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33,664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and assumed equity awards in connection with a business acquisition</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59,556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at period-end</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 paid by lessor</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-3054985</wp:posOffset>
            </wp:positionV>
            <wp:extent cx="93980" cy="1708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-3054985</wp:posOffset>
            </wp:positionV>
            <wp:extent cx="93980" cy="1708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-2382520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-1477645</wp:posOffset>
            </wp:positionV>
            <wp:extent cx="939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-1477645</wp:posOffset>
            </wp:positionV>
            <wp:extent cx="939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-1062355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CORPORTATION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4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Sarcos Technology and Robotics Corporation (the “Company” or “Sarcos”), designs and produces highly dexterous mobile robotic systems for use in unstructured environments.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condensed consolidated financial statements as of June 30, 2022, are unaudited. The condensed consolidated balance sheet as of December 31, 2021, included herein was derived from the audited consolidated financial statements as of that date. Certain information and note disclosures normally included in financial statements prepared in accordance with GAAP have been condensed or omitted. As such, the information included herein should be read in conjunction with the consolidated financial statements and accompanying notes as of and for the year ended December 31, 2021, included in the Company’s Annual Report on Form 10-K, filed with the SEC on March 29, 2022.</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September 24, 2021 (the “Closing Date”), the Company consummated the business combination (the “Business Combination”) pursuant to the terms of the Agreement and Plan of Merger, dated as of April 5, 2021,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the Company, Merger Sub and Old Sarcos. Pursuant to the terms of the Merger Agreement, the Business Combination between the Company and Old Sarcos was effected through the merger of Merger Sub with and into Old Sarcos, with Old Sarcos continuing as the surviving corporation (the “Merger”) and a wholly-owned subsidiary of the Company. On the Closing Date, the registrant changed its name from Rotor Acquisition Corp. to Sarcos Technology and Robotics Corporation.</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Immediately prior to the effective time of the Merger (the “Effective Time”), all issued and outstanding warrants to purchase shares of Class A common stock of Old Sarcos were net exercised and all issued and outstanding shares of preferred stock of Old Sarcos were converted into common stock of Old Sarcos (collectively, the “Old Sarcos Common Stock”). Pursuant to the terms of the Merger Agreement, at the Effective Time:</w:t>
      </w:r>
    </w:p>
    <w:p>
      <w:pPr>
        <w:spacing w:after="0" w:line="82" w:lineRule="exact"/>
        <w:rPr>
          <w:sz w:val="20"/>
          <w:szCs w:val="20"/>
          <w:color w:val="auto"/>
        </w:rPr>
      </w:pPr>
    </w:p>
    <w:p>
      <w:pPr>
        <w:jc w:val="both"/>
        <w:ind w:left="1020" w:hanging="503"/>
        <w:spacing w:after="0" w:line="24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Old Sarcos Common Stock, after giving effect to the conversion described above, was cancelled and converted into and became (i) the right to receive approximately 5.129222424 shares (the “Exchange Ratio”) of Common Stock of the Company, par value $0.0001 per share (the “Common Stock”), rounded down to the nearest whole share plus (ii) the contingent right to receive a portion of additional shares of Common Stock upon achievement of certain milestones (the “Contingent Merger Consideration”), as described below; and</w:t>
      </w:r>
    </w:p>
    <w:p>
      <w:pPr>
        <w:spacing w:after="0" w:line="7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options, restricted stock units (“RSUs”) and restricted stock award (“RSA”) of Old Sarcos, whether vested or unvested, were assumed by the Company and converted into options, RSUs and RSA of the Company.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each holder of Old Sarcos capital stock (including the Old Sarcos RSA) was entitled to a right to Contingent Merger Consideration at the Closing Date in the form of earn-outs, up to an aggregate of 28,125,000 shares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certain investors (the “PIPE Investors”) purchased from the Company an aggregate of 22,000,000 shares (the “PIPE Shares”) of Common Stock at a price of $10.00 per share, for an aggregate purchase price of $220.0 million (the “PIPE Financing”), in a private placement pursuant to separate subscription agreements (each, a “Subscription Agreement”) entered into effective as of April 5, 2021.</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27, 2021, the Common Stock and warrants of Sarcos Technology and Robotics Corporation (formerly those of Rotor Acquisition Corp.), ceased trading on the New York Stock Exchange and began trading on The Nasdaq Global Market (“Nasdaq”) as “STRC” and “STRCW”, respectively.</w:t>
      </w:r>
    </w:p>
    <w:p>
      <w:pPr>
        <w:spacing w:after="0" w:line="162"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On April 25, 2022, the Company acquired RE2, Inc., (“RE2”) a Pittsburgh, PA based developer of autonomous and teleoperated mobile robotic systems for use in the aviation, construction, defense, energy, and medical industries. The results presented herein include the activity of RE2 from the acquisition date through June 30, 2022. The Company's results do not include RE2’s financial information prior to the acquisition. For further detail see Note 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described in the annual consolidated financial statements for the year ended December 31, 2021 that have had a material impact on the Company’s condensed consolidated financial statements and related notes.</w:t>
      </w:r>
    </w:p>
    <w:p>
      <w:pPr>
        <w:spacing w:after="0" w:line="1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pandemic. Modifications continue to be made to the Company’s normal operations because of the COVID-19 pandemic and the Company continues to monitor its operations and government recommendations. Travel restrictions and capacity limits at customer locations, as well as supply chain disruptions, difficulty hiring and other negative impacts, resulting from the COVID-19 pandemic and other macroeconomic conditions have caused and may continue to cause delays in the assessment and deployment of the Company’s products. Although it is widely expected that the impact of the pandemic will subside over time, the Company cannot predict the future extent or duration of the impact that the COVID-19 pandemic will have on its financial condition and operations. The impact of the COVID-19 pandemic on the Company’s financial performance, product development and release and business generally will depend on future developments, including the duration of the outbreak, the severity of new variants and related governmental advisories and restrictions. If the financial markets, the overall economy, working conditions and supply chain, among other things, continue to be negatively impacted, the Company’s operations and financial results will continue to be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cash equivalents and marketable securities were $152.8 million as of June 30, 2022, compared to $217.1 million as of December 31, 2021. The Company has historically incurred losses and negative cash flows from operations. As of June 30, 2022, the Company also had an accumulated deficit of approximately $187.8 million and working capital of $154.4 million.</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this basis assumes the Company will continue as a going concern, which contemplates the realization of assets and the satisfaction of liabilities and commitments in the normal course of business. The Company’s main sources of liquidity have been cash generated by equity offerings and debt.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research and development services that are fully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270" w:lineRule="exact"/>
        <w:rPr>
          <w:sz w:val="20"/>
          <w:szCs w:val="20"/>
          <w:color w:val="auto"/>
        </w:rPr>
      </w:pPr>
    </w:p>
    <w:p>
      <w:pPr>
        <w:jc w:val="both"/>
        <w:ind w:left="1020" w:hanging="503"/>
        <w:spacing w:after="0" w:line="248" w:lineRule="auto"/>
        <w:tabs>
          <w:tab w:leader="none" w:pos="10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(i)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w:t>
      </w:r>
    </w:p>
    <w:p>
      <w:pPr>
        <w:ind w:left="1020"/>
        <w:spacing w:after="0" w:line="238" w:lineRule="auto"/>
        <w:rPr>
          <w:sz w:val="20"/>
          <w:szCs w:val="20"/>
          <w:color w:val="auto"/>
        </w:rPr>
      </w:pPr>
      <w:r>
        <w:rPr>
          <w:rFonts w:ascii="Times New Roman" w:cs="Times New Roman" w:eastAsia="Times New Roman" w:hAnsi="Times New Roman"/>
          <w:sz w:val="18"/>
          <w:szCs w:val="18"/>
          <w:color w:val="auto"/>
        </w:rPr>
        <w:t>promised consideration. Contract modifications may include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ind w:left="1020"/>
        <w:spacing w:after="0" w:line="282" w:lineRule="auto"/>
        <w:rPr>
          <w:sz w:val="20"/>
          <w:szCs w:val="20"/>
          <w:color w:val="auto"/>
        </w:rPr>
      </w:pPr>
      <w:r>
        <w:rPr>
          <w:rFonts w:ascii="Times New Roman" w:cs="Times New Roman" w:eastAsia="Times New Roman" w:hAnsi="Times New Roman"/>
          <w:sz w:val="18"/>
          <w:szCs w:val="18"/>
          <w:color w:val="auto"/>
        </w:rPr>
        <w:t>changes in scope of work, and/or the period of completion of the project. The Company analyzes contract modifications to determine if they should be accounted for as a modification to an existing contract or a new stand-alone contract.</w:t>
      </w:r>
    </w:p>
    <w:p>
      <w:pPr>
        <w:spacing w:after="0" w:line="241" w:lineRule="exact"/>
        <w:rPr>
          <w:sz w:val="20"/>
          <w:szCs w:val="20"/>
          <w:color w:val="auto"/>
        </w:rPr>
      </w:pPr>
    </w:p>
    <w:p>
      <w:pPr>
        <w:jc w:val="both"/>
        <w:ind w:left="1020" w:hanging="503"/>
        <w:spacing w:after="0" w:line="251"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281" w:lineRule="exact"/>
        <w:rPr>
          <w:rFonts w:ascii="Times New Roman" w:cs="Times New Roman" w:eastAsia="Times New Roman" w:hAnsi="Times New Roman"/>
          <w:sz w:val="18"/>
          <w:szCs w:val="18"/>
          <w:i w:val="1"/>
          <w:iCs w:val="1"/>
          <w:color w:val="auto"/>
        </w:rPr>
      </w:pPr>
    </w:p>
    <w:p>
      <w:pPr>
        <w:jc w:val="both"/>
        <w:ind w:left="1020" w:hanging="503"/>
        <w:spacing w:after="0" w:line="243"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280" w:lineRule="exact"/>
        <w:rPr>
          <w:rFonts w:ascii="Times New Roman" w:cs="Times New Roman" w:eastAsia="Times New Roman" w:hAnsi="Times New Roman"/>
          <w:sz w:val="18"/>
          <w:szCs w:val="18"/>
          <w:i w:val="1"/>
          <w:iCs w:val="1"/>
          <w:color w:val="auto"/>
        </w:rPr>
      </w:pPr>
    </w:p>
    <w:p>
      <w:pPr>
        <w:jc w:val="both"/>
        <w:ind w:left="1020" w:hanging="503"/>
        <w:spacing w:after="0" w:line="244"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based on expected cost plus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279" w:lineRule="exact"/>
        <w:rPr>
          <w:rFonts w:ascii="Times New Roman" w:cs="Times New Roman" w:eastAsia="Times New Roman" w:hAnsi="Times New Roman"/>
          <w:sz w:val="18"/>
          <w:szCs w:val="18"/>
          <w:i w:val="1"/>
          <w:iCs w:val="1"/>
          <w:color w:val="auto"/>
        </w:rPr>
      </w:pPr>
    </w:p>
    <w:p>
      <w:pPr>
        <w:jc w:val="both"/>
        <w:ind w:left="1020" w:hanging="503"/>
        <w:spacing w:after="0" w:line="244" w:lineRule="auto"/>
        <w:tabs>
          <w:tab w:leader="none" w:pos="10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we satisfy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core products. Second, the Company sells its products and related parts and repair services. Research and development services revenue includes revenue arising from different types of contractual arrangements, including cost-type contracts and fixed-price contracts. Product revenue primarily includes sales of the Company’s commercially available products.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technology in the areas of robotics, artificial intelligence and unmanned systems.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recognized for Research and Development Services and Product Revenue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18"/>
                <w:szCs w:val="18"/>
                <w:color w:val="auto"/>
              </w:rPr>
            </w:pPr>
          </w:p>
        </w:tc>
        <w:tc>
          <w:tcPr>
            <w:tcW w:w="26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00" w:type="dxa"/>
            <w:vAlign w:val="bottom"/>
          </w:tcPr>
          <w:p>
            <w:pPr>
              <w:spacing w:after="0"/>
              <w:rPr>
                <w:sz w:val="18"/>
                <w:szCs w:val="18"/>
                <w:color w:val="auto"/>
              </w:rPr>
            </w:pPr>
          </w:p>
        </w:tc>
      </w:tr>
      <w:tr>
        <w:trPr>
          <w:trHeight w:val="20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 Services</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00" w:type="dxa"/>
            <w:vAlign w:val="bottom"/>
            <w:shd w:val="clear" w:color="auto" w:fill="CFF0FC"/>
          </w:tcPr>
          <w:p>
            <w:pPr>
              <w:spacing w:after="0"/>
              <w:rPr>
                <w:sz w:val="17"/>
                <w:szCs w:val="17"/>
                <w:color w:val="auto"/>
              </w:rPr>
            </w:pPr>
          </w:p>
        </w:tc>
      </w:tr>
      <w:tr>
        <w:trPr>
          <w:trHeight w:val="20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7"/>
                <w:szCs w:val="17"/>
                <w:color w:val="auto"/>
              </w:rPr>
            </w:pPr>
          </w:p>
        </w:tc>
      </w:tr>
      <w:tr>
        <w:trPr>
          <w:trHeight w:val="236"/>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condensed consolidated balance sheets.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00" w:type="dxa"/>
            <w:vAlign w:val="bottom"/>
          </w:tcPr>
          <w:p>
            <w:pPr>
              <w:spacing w:after="0"/>
              <w:rPr>
                <w:sz w:val="16"/>
                <w:szCs w:val="16"/>
                <w:color w:val="auto"/>
              </w:rPr>
            </w:pPr>
          </w:p>
        </w:tc>
      </w:tr>
      <w:tr>
        <w:trPr>
          <w:trHeight w:val="175"/>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Accounts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Unbilled</w:t>
            </w:r>
          </w:p>
        </w:tc>
        <w:tc>
          <w:tcPr>
            <w:tcW w:w="220" w:type="dxa"/>
            <w:vAlign w:val="bottom"/>
          </w:tcPr>
          <w:p>
            <w:pPr>
              <w:spacing w:after="0"/>
              <w:rPr>
                <w:sz w:val="15"/>
                <w:szCs w:val="15"/>
                <w:color w:val="auto"/>
              </w:rPr>
            </w:pPr>
          </w:p>
        </w:tc>
        <w:tc>
          <w:tcPr>
            <w:tcW w:w="13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Contract assets</w:t>
            </w:r>
          </w:p>
        </w:tc>
        <w:tc>
          <w:tcPr>
            <w:tcW w:w="11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Contract assets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w w:val="99"/>
              </w:rPr>
              <w:t>revenue</w:t>
            </w:r>
          </w:p>
        </w:tc>
        <w:tc>
          <w:tcPr>
            <w:tcW w:w="100" w:type="dxa"/>
            <w:vAlign w:val="bottom"/>
          </w:tcPr>
          <w:p>
            <w:pPr>
              <w:spacing w:after="0"/>
              <w:rPr>
                <w:sz w:val="15"/>
                <w:szCs w:val="15"/>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00" w:type="dxa"/>
            <w:vAlign w:val="bottom"/>
          </w:tcPr>
          <w:p>
            <w:pPr>
              <w:spacing w:after="0"/>
              <w:rPr>
                <w:sz w:val="18"/>
                <w:szCs w:val="18"/>
                <w:color w:val="auto"/>
              </w:rPr>
            </w:pPr>
          </w:p>
        </w:tc>
      </w:tr>
      <w:tr>
        <w:trPr>
          <w:trHeight w:val="19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December 31, 2021</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7"/>
                <w:szCs w:val="17"/>
                <w:color w:val="auto"/>
              </w:rPr>
            </w:pPr>
          </w:p>
        </w:tc>
      </w:tr>
      <w:tr>
        <w:trPr>
          <w:trHeight w:val="20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net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7"/>
                <w:szCs w:val="17"/>
                <w:color w:val="auto"/>
              </w:rPr>
            </w:pPr>
          </w:p>
        </w:tc>
      </w:tr>
      <w:tr>
        <w:trPr>
          <w:trHeight w:val="23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June 30, 2022</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-24765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recorded its current contract assets, long-term contract assets and current deferred revenue within prepaid expenses and other current assets, other non-current assets and accrued liabilities, respectively. During the three and six months ended June 30, 2022, the Company recognized revenue related to $0.0 million of deferred revenue which existed at December 31, 2021. During the three and six months ended June 30, 2021, the Company recognized revenue related to $0.1 million of deferred revenue which existed at December 31, 2020.</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backlog, or revenue related to remaining performance obligations, of $11.1 million. We expect $9.6 million of this backlog to be recognized during 2022, with the remainder expected to be recognized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Simplifying the Accounting for Income Taxes, which simplifies the accounting for income taxes by removing certain exceptions to the previous guidance, and improving the consistent application of and simplification of other areas of the guidance. The Company adopted this ASU on January 1, 2022, using a prospective approach. The adoption of ASU 2019-12 did not have a material impact on the Company's condensed consolidated financial statements and related disclosures.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regarding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amendments in this guidance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consolidated financial statements. The amendments require a modified retrospective approach with optional practical expedients. In July 2018, the FASB issued ASU 2018-11, </w:t>
      </w:r>
      <w:r>
        <w:rPr>
          <w:rFonts w:ascii="Times New Roman" w:cs="Times New Roman" w:eastAsia="Times New Roman" w:hAnsi="Times New Roman"/>
          <w:sz w:val="18"/>
          <w:szCs w:val="18"/>
          <w:i w:val="1"/>
          <w:iCs w:val="1"/>
          <w:color w:val="auto"/>
        </w:rPr>
        <w:t>Leases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842): Targeted Improvements</w:t>
      </w:r>
      <w:r>
        <w:rPr>
          <w:rFonts w:ascii="Times New Roman" w:cs="Times New Roman" w:eastAsia="Times New Roman" w:hAnsi="Times New Roman"/>
          <w:sz w:val="18"/>
          <w:szCs w:val="18"/>
          <w:color w:val="auto"/>
        </w:rPr>
        <w:t>. ASU 2018-11 provides entities another option for transition, allowing entities to not apply the new standard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comparative periods they present in their consolidated financial statements in the year of adoption. In June 2020, the FASB Issued ASU 2020-05,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18"/>
          <w:szCs w:val="18"/>
          <w:i w:val="1"/>
          <w:iCs w:val="1"/>
          <w:color w:val="auto"/>
        </w:rPr>
        <w:t xml:space="preserve"> and Leases (Topic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Effective Dates for Certain Entities</w:t>
      </w:r>
      <w:r>
        <w:rPr>
          <w:rFonts w:ascii="Times New Roman" w:cs="Times New Roman" w:eastAsia="Times New Roman" w:hAnsi="Times New Roman"/>
          <w:sz w:val="18"/>
          <w:szCs w:val="18"/>
          <w:color w:val="auto"/>
        </w:rPr>
        <w:t>. The update defers the initial effective date of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2016-02 by one year for private companies and private not-for-profits. For these entities, the effective date is for fiscal years beginning after December 15, 2021, and interim periods within fiscal years beginning after December 15, 2022. The Company will present the impact of the new guidance in its annual statements as of December 31, 2022 and its interim statements thereafter. The Company is currently in the process of evaluating the impact adopting ASC 842 will have on its condensed consolidated financial statements and related disclosures.</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The new standard requires financial assets measured at amortized cost to be presented at the net amount expected to be collected, through an allowance for credit losses that is deducted from the amortized cost basis. The standard will be effective for the Company beginning January 1, 2023, with early application permitted. The Company does not expect adoption of this new guidance to have a material impact on its results of operations, financial condition and financial statement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198"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35"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 $19,960 at cost</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19,984</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19,984</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Commercial Paper, $29,923 at cost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29,953</w:t>
            </w: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securities, $59,629 at cost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59,639</w:t>
            </w:r>
          </w:p>
        </w:tc>
        <w:tc>
          <w:tcPr>
            <w:tcW w:w="100" w:type="dxa"/>
            <w:vAlign w:val="bottom"/>
          </w:tcPr>
          <w:p>
            <w:pPr>
              <w:spacing w:after="0"/>
              <w:rPr>
                <w:sz w:val="17"/>
                <w:szCs w:val="17"/>
                <w:color w:val="auto"/>
              </w:rPr>
            </w:pPr>
          </w:p>
        </w:tc>
      </w:tr>
      <w:tr>
        <w:trPr>
          <w:trHeight w:val="203"/>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Commercial Paper, $19,853 at cost</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19,868</w:t>
            </w: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129,444</w:t>
            </w:r>
          </w:p>
        </w:tc>
        <w:tc>
          <w:tcPr>
            <w:tcW w:w="10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10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0"/>
        </w:trPr>
        <w:tc>
          <w:tcPr>
            <w:tcW w:w="5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4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100" w:type="dxa"/>
            <w:vAlign w:val="bottom"/>
          </w:tcPr>
          <w:p>
            <w:pPr>
              <w:spacing w:after="0"/>
              <w:rPr>
                <w:sz w:val="17"/>
                <w:szCs w:val="17"/>
                <w:color w:val="auto"/>
              </w:rPr>
            </w:pPr>
          </w:p>
        </w:tc>
      </w:tr>
      <w:tr>
        <w:trPr>
          <w:trHeight w:val="23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gridSpan w:val="2"/>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-1542415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-1542415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-1542415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-848360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-831215</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-848360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-831215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-848360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-831215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carrying amounts of accounts payable and accrued expenses approximate their fair values because of the relatively short periods until they are required to be settled.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from the opening balances to the closing balances for Level 3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 transferred out of Level 3</w:t>
            </w:r>
          </w:p>
        </w:tc>
        <w:tc>
          <w:tcPr>
            <w:tcW w:w="74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(13,701 )</w:t>
            </w:r>
          </w:p>
        </w:tc>
      </w:tr>
      <w:tr>
        <w:trPr>
          <w:trHeight w:val="236"/>
        </w:trPr>
        <w:tc>
          <w:tcPr>
            <w:tcW w:w="92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74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in which a change in valuation technique or methodology occurs. During the first quarter of 2022 the trading price of the Public Warrants was used to value the Private Placement Warrants, and a third-party valuation was no longer deemed necessary resulting in the estimated fair value of the Private Placement Warrants being transferred from a Level 3 fair value measurement to a Level 2 fair value measurement.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19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r>
      <w:tr>
        <w:trPr>
          <w:trHeight w:val="20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 net</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inventories,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-161925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inventory reserves of $0.3 million as of June 30, 2022 and December 31, 2021.</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19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prepaid expense</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r>
      <w:tr>
        <w:trPr>
          <w:trHeight w:val="236"/>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5,512</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leased computer equipment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1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(1,830 )</w:t>
            </w:r>
          </w:p>
        </w:tc>
        <w:tc>
          <w:tcPr>
            <w:tcW w:w="1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(1,236 )</w:t>
            </w:r>
          </w:p>
        </w:tc>
      </w:tr>
      <w:tr>
        <w:trPr>
          <w:trHeight w:val="196"/>
        </w:trPr>
        <w:tc>
          <w:tcPr>
            <w:tcW w:w="7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7,775</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00" w:type="dxa"/>
            <w:vAlign w:val="bottom"/>
            <w:tcBorders>
              <w:top w:val="single" w:sz="8" w:color="CFF0FC"/>
            </w:tcBorders>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-427990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-162560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expenses were $0.3 million and $0.1 million, for the three months ended June 30, 2022 and 2021, respectively. Depreciation expenses were $0.6 million and $0.2 million, for the six months ended June 30, 2022 and 2021,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and related costs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and professional services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Legal accrual</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19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leases and other</w:t>
            </w:r>
          </w:p>
        </w:tc>
        <w:tc>
          <w:tcPr>
            <w:tcW w:w="36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rent</w:t>
            </w:r>
          </w:p>
        </w:tc>
        <w:tc>
          <w:tcPr>
            <w:tcW w:w="3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00" w:type="dxa"/>
            <w:vAlign w:val="bottom"/>
          </w:tcPr>
          <w:p>
            <w:pPr>
              <w:spacing w:after="0"/>
              <w:rPr>
                <w:sz w:val="17"/>
                <w:szCs w:val="17"/>
                <w:color w:val="auto"/>
              </w:rPr>
            </w:pPr>
          </w:p>
        </w:tc>
      </w:tr>
      <w:tr>
        <w:trPr>
          <w:trHeight w:val="236"/>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36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13"/>
        </w:trPr>
        <w:tc>
          <w:tcPr>
            <w:tcW w:w="3940" w:type="dxa"/>
            <w:vAlign w:val="bottom"/>
          </w:tcPr>
          <w:p>
            <w:pPr>
              <w:spacing w:after="0"/>
              <w:rPr>
                <w:sz w:val="24"/>
                <w:szCs w:val="24"/>
                <w:color w:val="auto"/>
              </w:rPr>
            </w:pPr>
          </w:p>
        </w:tc>
        <w:tc>
          <w:tcPr>
            <w:tcW w:w="36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-376555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-359410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April 25, 2022, the Company acquired RE2, Inc. a Pittsburgh, PA based developer of autonomous and teleoperated mobile robotic systems for use in the aviation, construction, defense, energy and medical industries. This acquisition significantly increased our engineering team and added additional products and target markets to the Company’s total addressable market. The aggregate consideration transferred was $90.2 million, of which $30.7 million was paid in cash, $44.1 million was comprised of 9,372,674 shares of common stock and $15.4 million was comprised of assumed options to purchase 3,877,039 shares of common stock. Additionally, 1,400,000 shares of common stock were issued with a fair value of $6.6 million at the time of grant. These shares are subject to risk of forfeiture which lapses in full four years after the acquisition date. These shares were excluded from the consideration transferred and will be recorded as stock-based compensation expense.</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purchase consideration was allocated to the net tangible and intangible assets and liabilities based on their fair values on the acquisition date and the excess was recorded as goodwill. The values assigned to the assets acquired and liabilities assumed are based on preliminary estimates of fair value available as of the issuance date of these consolidated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 As of June 30, 2022, the primary areas that remain preliminary relate to the valuation of certain intangible items and various tax implications resulting from the acquisition.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preliminary purchase consideration allocation recorded in the Company’s consolidated balance sheet as of the acquisition date: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3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21,300</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70,861</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7"/>
                <w:szCs w:val="17"/>
                <w:color w:val="auto"/>
              </w:rPr>
            </w:pPr>
          </w:p>
        </w:tc>
      </w:tr>
      <w:tr>
        <w:trPr>
          <w:trHeight w:val="202"/>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7"/>
                <w:szCs w:val="17"/>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(822 )</w:t>
            </w:r>
          </w:p>
        </w:tc>
      </w:tr>
      <w:tr>
        <w:trPr>
          <w:trHeight w:val="20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3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(2,334 )</w:t>
            </w:r>
          </w:p>
        </w:tc>
      </w:tr>
      <w:tr>
        <w:trPr>
          <w:trHeight w:val="203"/>
        </w:trPr>
        <w:tc>
          <w:tcPr>
            <w:tcW w:w="9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80" w:type="dxa"/>
            <w:vAlign w:val="bottom"/>
          </w:tcPr>
          <w:p>
            <w:pPr>
              <w:spacing w:after="0"/>
              <w:rPr>
                <w:sz w:val="17"/>
                <w:szCs w:val="17"/>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(4,374 )</w:t>
            </w:r>
          </w:p>
        </w:tc>
      </w:tr>
      <w:tr>
        <w:trPr>
          <w:trHeight w:val="236"/>
        </w:trPr>
        <w:tc>
          <w:tcPr>
            <w:tcW w:w="9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acquisition consideration</w:t>
            </w: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90,224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80" w:type="dxa"/>
            <w:vAlign w:val="bottom"/>
          </w:tcPr>
          <w:p>
            <w:pPr>
              <w:spacing w:after="0"/>
              <w:rPr>
                <w:sz w:val="18"/>
                <w:szCs w:val="18"/>
                <w:color w:val="auto"/>
              </w:rPr>
            </w:pPr>
          </w:p>
        </w:tc>
        <w:tc>
          <w:tcPr>
            <w:tcW w:w="1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00" w:type="dxa"/>
            <w:vAlign w:val="bottom"/>
          </w:tcPr>
          <w:p>
            <w:pPr>
              <w:spacing w:after="0"/>
              <w:rPr>
                <w:sz w:val="18"/>
                <w:szCs w:val="18"/>
                <w:color w:val="auto"/>
              </w:rPr>
            </w:pPr>
          </w:p>
        </w:tc>
      </w:tr>
      <w:tr>
        <w:trPr>
          <w:trHeight w:val="19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name and trademarks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r>
      <w:tr>
        <w:trPr>
          <w:trHeight w:val="203"/>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10,700</w:t>
            </w:r>
          </w:p>
        </w:tc>
        <w:tc>
          <w:tcPr>
            <w:tcW w:w="2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intangible assets</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21,300</w:t>
            </w: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-162560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and synergies expected to be achieved from the integration of RE2. Goodwill is not deductible for tax purposes.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operations of RE2 from the date of acquisition have been included in the Company’s consolidated financial statements. Pro forma revenue and results of operations have not been presented because the historical results of RE2 are not material to the Company’s consolidated financial statements in any period presented.</w:t>
      </w:r>
    </w:p>
    <w:p>
      <w:pPr>
        <w:spacing w:after="0" w:line="152" w:lineRule="exact"/>
        <w:rPr>
          <w:sz w:val="20"/>
          <w:szCs w:val="20"/>
          <w:color w:val="auto"/>
        </w:rPr>
      </w:pPr>
    </w:p>
    <w:p>
      <w:pPr>
        <w:ind w:right="8660" w:firstLine="8"/>
        <w:spacing w:after="0" w:line="487"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Goodwill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six months ended June 30, 2022 was as follows: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8"/>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00" w:type="dxa"/>
            <w:vAlign w:val="bottom"/>
          </w:tcPr>
          <w:p>
            <w:pPr>
              <w:spacing w:after="0"/>
              <w:rPr>
                <w:sz w:val="18"/>
                <w:szCs w:val="18"/>
                <w:color w:val="auto"/>
              </w:rPr>
            </w:pPr>
          </w:p>
        </w:tc>
      </w:tr>
      <w:tr>
        <w:trPr>
          <w:trHeight w:val="19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9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70,861</w:t>
            </w:r>
          </w:p>
        </w:tc>
        <w:tc>
          <w:tcPr>
            <w:tcW w:w="100" w:type="dxa"/>
            <w:vAlign w:val="bottom"/>
          </w:tcPr>
          <w:p>
            <w:pPr>
              <w:spacing w:after="0"/>
              <w:rPr>
                <w:sz w:val="17"/>
                <w:szCs w:val="17"/>
                <w:color w:val="auto"/>
              </w:rPr>
            </w:pPr>
          </w:p>
        </w:tc>
      </w:tr>
      <w:tr>
        <w:trPr>
          <w:trHeight w:val="236"/>
        </w:trPr>
        <w:tc>
          <w:tcPr>
            <w:tcW w:w="9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70,861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impairment of goodwill recorded during the six months ended June 30, 2022 and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Intangible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net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45"/>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00" w:type="dxa"/>
            <w:vAlign w:val="bottom"/>
          </w:tcPr>
          <w:p>
            <w:pPr>
              <w:spacing w:after="0"/>
              <w:rPr>
                <w:sz w:val="12"/>
                <w:szCs w:val="12"/>
                <w:color w:val="auto"/>
              </w:rPr>
            </w:pPr>
          </w:p>
        </w:tc>
      </w:tr>
      <w:tr>
        <w:trPr>
          <w:trHeight w:val="176"/>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100" w:type="dxa"/>
            <w:vAlign w:val="bottom"/>
          </w:tcPr>
          <w:p>
            <w:pPr>
              <w:spacing w:after="0"/>
              <w:rPr>
                <w:sz w:val="15"/>
                <w:szCs w:val="15"/>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Gross Carry Amount</w:t>
            </w:r>
          </w:p>
        </w:tc>
        <w:tc>
          <w:tcPr>
            <w:tcW w:w="34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Net Carry Amount</w:t>
            </w:r>
          </w:p>
        </w:tc>
        <w:tc>
          <w:tcPr>
            <w:tcW w:w="32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8"/>
                <w:szCs w:val="18"/>
                <w:color w:val="auto"/>
              </w:rPr>
            </w:pPr>
          </w:p>
        </w:tc>
      </w:tr>
      <w:tr>
        <w:trPr>
          <w:trHeight w:val="19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name and trademarks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32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17"/>
                <w:szCs w:val="17"/>
                <w:color w:val="auto"/>
              </w:rPr>
            </w:pP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r>
      <w:tr>
        <w:trPr>
          <w:trHeight w:val="203"/>
        </w:trPr>
        <w:tc>
          <w:tcPr>
            <w:tcW w:w="3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10,700</w:t>
            </w:r>
          </w:p>
        </w:tc>
        <w:tc>
          <w:tcPr>
            <w:tcW w:w="3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10,477</w:t>
            </w:r>
          </w:p>
        </w:tc>
        <w:tc>
          <w:tcPr>
            <w:tcW w:w="2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21,300</w:t>
            </w:r>
          </w:p>
        </w:tc>
        <w:tc>
          <w:tcPr>
            <w:tcW w:w="1780" w:type="dxa"/>
            <w:vAlign w:val="bottom"/>
            <w:gridSpan w:val="2"/>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20,726</w:t>
            </w: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-162560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-162560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-162560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Company recorded $0.6 million of amortization expense during the three and six months ended June 30, 2022, which was recorded as intangible amortization expense in the condensed consolidated statement of operations. There was no amortization expense during the three and six months ended June 30, 2021. There was no impairment of intangible assets recorded for the six months ended June 30, 2022 and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future amortization expense related to acquired intangible assets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100" w:type="dxa"/>
            <w:vAlign w:val="bottom"/>
          </w:tcPr>
          <w:p>
            <w:pPr>
              <w:spacing w:after="0"/>
              <w:rPr>
                <w:sz w:val="18"/>
                <w:szCs w:val="18"/>
                <w:color w:val="auto"/>
              </w:rPr>
            </w:pPr>
          </w:p>
        </w:tc>
      </w:tr>
      <w:tr>
        <w:trPr>
          <w:trHeight w:val="19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7"/>
                <w:szCs w:val="17"/>
                <w:color w:val="auto"/>
              </w:rPr>
            </w:pPr>
          </w:p>
        </w:tc>
      </w:tr>
      <w:tr>
        <w:trPr>
          <w:trHeight w:val="203"/>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7"/>
                <w:szCs w:val="17"/>
                <w:color w:val="auto"/>
              </w:rPr>
            </w:pPr>
          </w:p>
        </w:tc>
      </w:tr>
      <w:tr>
        <w:trPr>
          <w:trHeight w:val="203"/>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5,984</w:t>
            </w:r>
          </w:p>
        </w:tc>
        <w:tc>
          <w:tcPr>
            <w:tcW w:w="100" w:type="dxa"/>
            <w:vAlign w:val="bottom"/>
          </w:tcPr>
          <w:p>
            <w:pPr>
              <w:spacing w:after="0"/>
              <w:rPr>
                <w:sz w:val="17"/>
                <w:szCs w:val="17"/>
                <w:color w:val="auto"/>
              </w:rPr>
            </w:pPr>
          </w:p>
        </w:tc>
      </w:tr>
      <w:tr>
        <w:trPr>
          <w:trHeight w:val="236"/>
        </w:trPr>
        <w:tc>
          <w:tcPr>
            <w:tcW w:w="8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20,726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Payable</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Old Sarcos received two unsecured loans under the Paycheck Protection Program (“PPP”) administered by the Small Business Administration, pursuant to the Coronavirus Aid, Relief, and Economic Security Act. The first loan, with a principal amount of $2.4 million, was received in April 2020, and the second loan, with a principal amount of $2.0 million, was received in March 2021. These PPP loans had an interest rate of 1.00% per year. The first PPP loan of $2.4 million was forgiven during June 2021, and the second PPP loan of $2.0 million was forgiven during November 2021. As of June 30, 2022, the Company did not have any outstanding debt.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Reverse Recapitalization</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Business Combination was accounted for as a reverse recapitalization, rather than a business combination, for financial accounting and reporting purposes. Accordingly, Old Sarcos was deemed the accounting acquirer (and legal acquiree) and Rotor was treated as the accounting acquiree (and legal acquirer). Under this method of accounting, the reverse recapitalization was treated as the equivalent of Old Sarcos issuing stock for the net assets of Rotor, accompanied by a recapitalization. The net assets of Rotor are stated at historical cost, with no goodwill or other intangible assets recorded. The consolidated assets, liabilities and results of operations prior to the Merger are those of Old Sarcos. The shares, and corresponding capital amounts and earnings per share available for common stockholders, prior to the Merger have been retroactively restated as shares reflecting the Exchange Ratio.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holder of Old Sarcos capital stock (including the Old Sarcos RSA) is entitled to a right to Contingent Merger Consideration following the closing of the Business Combination in the form of earn-outs, up to an aggregate of 28,125,000 shares of Common Stock. The earn-outs will become payable as follows:</w:t>
      </w:r>
    </w:p>
    <w:p>
      <w:pPr>
        <w:spacing w:after="0" w:line="61" w:lineRule="exact"/>
        <w:rPr>
          <w:sz w:val="20"/>
          <w:szCs w:val="20"/>
          <w:color w:val="auto"/>
        </w:rPr>
      </w:pPr>
    </w:p>
    <w:p>
      <w:pPr>
        <w:jc w:val="both"/>
        <w:ind w:left="10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14,062,500 shares of Common Stock of the Company in the aggregate if the closing share price of a share of Common Stock of the Company is equal to or exceeds $15.00 for 20 trading days in any 30 consecutive trading day period at any time during the period beginning on the first anniversary of the Closing Date and ending on the fourth anniversary of the Closing Date.</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14,062,500 shares of Common Stock of the Company if the closing share price of a share of Common Stock of the Company is equal to or exceeds $20.00 for 20 trading days in any 30 consecutive trading day period at any time during the period beginning on the first anniversary of the Closing Date and ending on the fifth anniversary of the Closing Date.</w:t>
      </w:r>
    </w:p>
    <w:p>
      <w:pPr>
        <w:spacing w:after="0" w:line="17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Earn-Out Shares issuable to holders of Old Sarcos capital stock are accounted for as equity-linked instruments and recorded in additional paid-in capital, and the Earn-Out Shares issuable to holders of Old Sarcos capital stock subject to restricted stock awards are accounted for as share-based compensation. The earn-out shares are treated as equity-linked instruments as opposed to shares outstanding, and as such are not included in shares outstanding on the Company’s condensed consolidated balance sheets.</w:t>
      </w:r>
    </w:p>
    <w:p>
      <w:pPr>
        <w:spacing w:after="0" w:line="17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Immediately following the Business Combination, the Company had 137,589,275 shares issued and outstanding of Common Stock. The following table presents the number of shares of the Company’s Common Stock outstanding immediately following the the Business Combination: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2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 Shares</w:t>
            </w:r>
          </w:p>
        </w:tc>
      </w:tr>
      <w:tr>
        <w:trPr>
          <w:trHeight w:val="202"/>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Rotor Class A Common Stock, outstanding prior to the Business Combination</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27,600,000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Rotor Class B Common Stock, outstanding prior to the Business Combination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6,405,960</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Class A common stock issued to PIPE Investors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22,000,000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redemption of Rotor Common Stock</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(23,479,970 )</w:t>
            </w:r>
          </w:p>
        </w:tc>
      </w:tr>
      <w:tr>
        <w:trPr>
          <w:trHeight w:val="19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shares from the Business Combination and PIPE financing</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32,525,990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Recapitalization of Old Sarcos common stock into Class A common stock</w:t>
            </w:r>
            <w:r>
              <w:rPr>
                <w:rFonts w:ascii="Times New Roman" w:cs="Times New Roman" w:eastAsia="Times New Roman" w:hAnsi="Times New Roman"/>
                <w:sz w:val="21"/>
                <w:szCs w:val="21"/>
                <w:color w:val="auto"/>
                <w:vertAlign w:val="superscript"/>
              </w:rPr>
              <w:t>(1)</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105,063,285</w:t>
            </w:r>
          </w:p>
        </w:tc>
        <w:tc>
          <w:tcPr>
            <w:tcW w:w="10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immediately after the Business Combination</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137,589,275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left="600" w:hanging="218"/>
        <w:spacing w:after="0" w:line="254" w:lineRule="auto"/>
        <w:tabs>
          <w:tab w:leader="none" w:pos="563" w:val="left"/>
        </w:tabs>
        <w:numPr>
          <w:ilvl w:val="1"/>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number of Old Sarcos shares was determined from the 21,483,286 shares of Old Sarcos Common Stock warrants, Common Stock and Preferred Stock outstanding immediately prior to the closing of the Business Combination, which are presented net of the Common and Preferred Stock redeemed, converted at the Exchange Ratio of 5.129222424. This excludes a restricted stock award for 5,129,222 shares that was unvested as of the date of the Business Combination. All fractional shares were rounded down.</w:t>
      </w:r>
    </w:p>
    <w:p>
      <w:pPr>
        <w:spacing w:after="0" w:line="171"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31, 2020, Old Sarcos issued 250,000 Class A Common Stock warrants to one of the Series C Preferred Stock investors, at an exercise price of $11.3243 per share with an expiration date of January 31, 2030. Immediately prior to the Effective Time, all of the issued and outstanding warrants to purchase 250,000 shares of Class A Stock of Old Sarcos warrants were net exercised and then upon the Closing were exchanged for shares of the Company’s Common Stock in an amount determined by application of the Exchange Ratio, as discussed in Note 1.</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share of Class A Common Stock and one half of one warrant (the “Public Warrants”). Simultaneously with the closing of the IPO, Rotor consummated the sale of 7,270,000 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share of the Company's Common Stock at a price of $11.50 per share,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Warrants only for a whole number of shares of the Company's Common Stock. The Warrants will expire five years after the completion of the Business Combination, or September 24, 2026, at 5:00 p.m., New York City time, or earlier upon redemption or liquidation.</w:t>
      </w:r>
    </w:p>
    <w:p>
      <w:pPr>
        <w:spacing w:after="0" w:line="1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the Company's Common Stock Equals or Exceeds $18.00. </w:t>
      </w:r>
      <w:r>
        <w:rPr>
          <w:rFonts w:ascii="Times New Roman" w:cs="Times New Roman" w:eastAsia="Times New Roman" w:hAnsi="Times New Roman"/>
          <w:sz w:val="18"/>
          <w:szCs w:val="18"/>
          <w:color w:val="auto"/>
        </w:rPr>
        <w:t>Once the Warrants become exercisable,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call the Warrants for redemption:</w:t>
      </w:r>
    </w:p>
    <w:p>
      <w:pPr>
        <w:spacing w:after="0" w:line="16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Warrants become exercisable and ending three business days before the Company sends the notice of redemption to the Warrant holders (which is referred to as the “Reference Value”) equals or exceeds $18.00 per share (as adjusted for stock splits, stock dividends, reorganizations, recapitalizations and the like).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Our Common Stock Equals or Exceeds $10.00. </w:t>
      </w:r>
      <w:r>
        <w:rPr>
          <w:rFonts w:ascii="Times New Roman" w:cs="Times New Roman" w:eastAsia="Times New Roman" w:hAnsi="Times New Roman"/>
          <w:sz w:val="18"/>
          <w:szCs w:val="18"/>
          <w:color w:val="auto"/>
        </w:rPr>
        <w:t>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 (except as described herein with respect to the Private Placement Warrants if the Company does not utilize this redemption provision):</w:t>
      </w:r>
    </w:p>
    <w:p>
      <w:pPr>
        <w:spacing w:after="0" w:line="149"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spacing w:after="0" w:line="142"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$10.00 per share (as adjusted for stock splits, stock dividends, reorganizations, recapitalizations and the like); and</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4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ind w:right="8960" w:firstLine="8"/>
        <w:spacing w:after="0" w:line="487" w:lineRule="auto"/>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2015 Stock Plan</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Old Sarcos 2015 Equity Incentive Plan (the “2015 Plan”) provided stock option awards, RSUs and RSAs for issuance to Company employees, officers, directors, non-employee agents and consultants. These awards generally vest over three to five years and are exercisable up to 10 years from the date of grant. Unvested options are forfeited upon termination. Following the closing of the Business Combination, no further awards may be made under the 2015 Plan. Any forfeited awards will be added to the 2021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Stock Plan</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15, 2021, the stockholders of the Company approved the Sarcos Technology and Robotics Corporation 2021 Equity Incentive Plan (the “2021 Plan”), and on the Closing Date, the 2021 Plan was approved by the board of directors. The 2021 Plan provides stock option awards, RSUs and RSAs for issuance to Company employees, officers, directors, non-employee agents and consultants. In general, these awards vest over one to four years and, in the case of options, are exercisable up to 10 years from the date of grant. The maximum number of shares of Common Stock that may be issued pursuant to the 2021 Plan is (i) 30.0 million shares of Common Stock of the Company plus (ii) any shares of Common Stock subject to stock options and other awards that were assumed in the Business Commination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12.8 million shares of Common Stock. As of June 30, 2022, 25.5 million shares were available to grant under the 2021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RE2 Stock Plans</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RE2, the Company assumed the outstanding stock plans and certain outstanding stock options of RE2. These stock options are governed by the plans and agreements under which they were originally issued, but are now exercisable for shares of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six months ended June 30,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3680" w:type="dxa"/>
            <w:vAlign w:val="bottom"/>
            <w:tcBorders>
              <w:bottom w:val="single" w:sz="8" w:color="auto"/>
            </w:tcBorders>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80" w:type="dxa"/>
            <w:vAlign w:val="bottom"/>
          </w:tcPr>
          <w:p>
            <w:pPr>
              <w:spacing w:after="0"/>
              <w:rPr>
                <w:sz w:val="14"/>
                <w:szCs w:val="14"/>
                <w:color w:val="auto"/>
              </w:rPr>
            </w:pPr>
          </w:p>
        </w:tc>
        <w:tc>
          <w:tcPr>
            <w:tcW w:w="18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9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10,027,094</w:t>
            </w:r>
          </w:p>
        </w:tc>
        <w:tc>
          <w:tcPr>
            <w:tcW w:w="3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80" w:type="dxa"/>
            <w:vAlign w:val="bottom"/>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0"/>
              <w:spacing w:after="0" w:line="203"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1"/>
                <w:szCs w:val="21"/>
                <w:color w:val="auto"/>
                <w:vertAlign w:val="superscript"/>
              </w:rPr>
              <w:t>(a)</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6,076,103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(1,575,984 )</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28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(943,681 )</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June 30,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13,583,532</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8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 December 31,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5,176,464</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 June 30,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7,859,849</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28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-299720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-299720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-299720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 w:firstLine="8"/>
        <w:spacing w:after="0" w:line="312" w:lineRule="auto"/>
        <w:tabs>
          <w:tab w:leader="none" w:pos="24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acquisition of RE2, the Company assumed certain outstanding options to acquire RE2 common stock which, following such assumption, were converted to rights to acquire 3.9 million shares of the Company's common stock at a weighted-average exercise price of $1.05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RSU activity for the six months ended June 30,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rPr>
                <w:sz w:val="13"/>
                <w:szCs w:val="13"/>
                <w:color w:val="auto"/>
              </w:rPr>
            </w:pPr>
          </w:p>
        </w:tc>
        <w:tc>
          <w:tcPr>
            <w:tcW w:w="1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3"/>
                <w:szCs w:val="13"/>
                <w:color w:val="auto"/>
              </w:rPr>
            </w:pPr>
          </w:p>
        </w:tc>
        <w:tc>
          <w:tcPr>
            <w:tcW w:w="1560" w:type="dxa"/>
            <w:vAlign w:val="bottom"/>
          </w:tcPr>
          <w:p>
            <w:pPr>
              <w:jc w:val="right"/>
              <w:ind w:right="159"/>
              <w:spacing w:after="0" w:line="156"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64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Grant-Date 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1,797,474</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2,464,180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(825,280 )</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(235,776 )</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June 30,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3,200,598</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RSA activity for the six months ended June 30, 2022:</w:t>
      </w: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20" w:type="dxa"/>
            <w:vAlign w:val="bottom"/>
          </w:tcPr>
          <w:p>
            <w:pPr>
              <w:spacing w:after="0"/>
              <w:rPr>
                <w:sz w:val="13"/>
                <w:szCs w:val="13"/>
                <w:color w:val="auto"/>
              </w:rPr>
            </w:pPr>
          </w:p>
        </w:tc>
        <w:tc>
          <w:tcPr>
            <w:tcW w:w="1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3"/>
                <w:szCs w:val="13"/>
                <w:color w:val="auto"/>
              </w:rPr>
            </w:pPr>
          </w:p>
        </w:tc>
        <w:tc>
          <w:tcPr>
            <w:tcW w:w="1560" w:type="dxa"/>
            <w:vAlign w:val="bottom"/>
          </w:tcPr>
          <w:p>
            <w:pPr>
              <w:jc w:val="right"/>
              <w:ind w:right="159"/>
              <w:spacing w:after="0" w:line="156"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62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Grant-Date 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5,129,222</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(2,591,476 )</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Outstanding – June 30,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2,564,611</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-162560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Sarcos RSA holder is eligible to receive additional shares upon achievement of earn-out targets as discussed in Note 7 above.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33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00" w:type="dxa"/>
            <w:vAlign w:val="bottom"/>
          </w:tcPr>
          <w:p>
            <w:pPr>
              <w:spacing w:after="0"/>
              <w:rPr>
                <w:sz w:val="18"/>
                <w:szCs w:val="18"/>
                <w:color w:val="auto"/>
              </w:rPr>
            </w:pPr>
          </w:p>
        </w:tc>
      </w:tr>
      <w:tr>
        <w:trPr>
          <w:trHeight w:val="202"/>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17"/>
                <w:szCs w:val="17"/>
                <w:color w:val="auto"/>
              </w:rPr>
            </w:pPr>
          </w:p>
        </w:tc>
        <w:tc>
          <w:tcPr>
            <w:tcW w:w="16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120" w:type="dxa"/>
            <w:vAlign w:val="bottom"/>
            <w:tcBorders>
              <w:top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17"/>
                <w:szCs w:val="17"/>
                <w:color w:val="auto"/>
              </w:rPr>
            </w:pPr>
          </w:p>
        </w:tc>
      </w:tr>
      <w:tr>
        <w:trPr>
          <w:trHeight w:val="20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7"/>
                <w:szCs w:val="17"/>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r>
      <w:tr>
        <w:trPr>
          <w:trHeight w:val="20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9,836</w:t>
            </w:r>
          </w:p>
        </w:tc>
        <w:tc>
          <w:tcPr>
            <w:tcW w:w="3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20,385</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7"/>
                <w:szCs w:val="17"/>
                <w:color w:val="auto"/>
              </w:rPr>
            </w:pPr>
          </w:p>
        </w:tc>
      </w:tr>
      <w:tr>
        <w:trPr>
          <w:trHeight w:val="236"/>
        </w:trPr>
        <w:tc>
          <w:tcPr>
            <w:tcW w:w="3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10,270</w:t>
            </w: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21,120</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three and six months ended June 30, 2022 and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18"/>
                <w:szCs w:val="18"/>
                <w:color w:val="auto"/>
              </w:rPr>
            </w:pPr>
          </w:p>
        </w:tc>
        <w:tc>
          <w:tcPr>
            <w:tcW w:w="288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640" w:type="dxa"/>
            <w:vAlign w:val="bottom"/>
            <w:gridSpan w:val="6"/>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(23,118 )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(5,263 )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(42,320 )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(10,461 )</w:t>
            </w:r>
          </w:p>
        </w:tc>
      </w:tr>
      <w:tr>
        <w:trPr>
          <w:trHeight w:val="20"/>
        </w:trPr>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basic and diluted</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146,278,898</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104,063,972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142,116,194</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104,061,824</w:t>
            </w:r>
          </w:p>
        </w:tc>
        <w:tc>
          <w:tcPr>
            <w:tcW w:w="10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69,516,163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15,285,032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69,516,163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15,285,032</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-167005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-149860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-167005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-149860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-167005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-149860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-167005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-149860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presented the unaudited basic and diluted net loss per share for the three and six months ended June 30, 2021, which has been adjusted to give effect to the conversion of the Old Sarcos Class B common stock and all convertible preferred stock into Old Sarcos Class A common stock as though the conversion had occurred as of the beginning of the period or the original date of issuance, if later.</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 incurred a net loss for the three and six months ended June 30, 2022 and 2021, none of the outstanding dilutive share-based awards were included in the diluted share calculation as they would have been anti-dilutive.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recognized income tax benefits of $1.6 million for the three and six months ended June 30, 2022 as compared to income tax expense of $0.0 million for the three and six months ended June 30, 2021. The provision for income taxes for the three and six months ended June 30, 2022 and 2021 is based on the Company’s estimated annualized effective tax rate for the fiscal years ending December 31, 2022 and December 31, 2021, respectively. For the three and six months ended June 30, 2022, the Company’s recognized effective tax rate differs from the U.S. federal statutory rate as the Company recorded net losses during the period with a corresponding full valuation allowance on the net deferred tax assets created from the losses, offset by tax benefits from the acquisition of RE2 net deferred tax liabilities, which resulted in the removal of a portion of the Company's previously recorded valuation allowance.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has been and may be involved in various claims, lawsuits, investigations and other proceedings in the normal course of the business. The Company accrues a liability when management believes information available prior to the issuance of the condensed consolidated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Although claims are inherently unpredictable, the Company currently is not aware of any matters that may have a material adverse effect on its business, financial position, results of operations or cash flows. Accordingly, the Company has not recorded any material loss contingency related to legal proceedings in the balance sheet as of June 30, 2022 and December 31,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June 30, 2022 and December 31, 2021,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 agreements. Future minimum rental payments under the noncancelable operating leases, subsequent to June 30, 2022,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00" w:type="dxa"/>
            <w:vAlign w:val="bottom"/>
          </w:tcPr>
          <w:p>
            <w:pPr>
              <w:spacing w:after="0"/>
              <w:rPr>
                <w:sz w:val="18"/>
                <w:szCs w:val="18"/>
                <w:color w:val="auto"/>
              </w:rPr>
            </w:pPr>
          </w:p>
        </w:tc>
      </w:tr>
      <w:tr>
        <w:trPr>
          <w:trHeight w:val="196"/>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100" w:type="dxa"/>
            <w:vAlign w:val="bottom"/>
          </w:tcPr>
          <w:p>
            <w:pPr>
              <w:spacing w:after="0"/>
              <w:rPr>
                <w:sz w:val="17"/>
                <w:szCs w:val="17"/>
                <w:color w:val="auto"/>
              </w:rPr>
            </w:pPr>
          </w:p>
        </w:tc>
      </w:tr>
      <w:tr>
        <w:trPr>
          <w:trHeight w:val="236"/>
        </w:trPr>
        <w:tc>
          <w:tcPr>
            <w:tcW w:w="9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17,140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Rent expense related to noncancelable operating leases totaled $0.4 million for the three months ended June 30, 2022 and 2021. Rent expense related to noncancelable operating leases totaled $0.7 million for the six months ended June 30, 2022 and 2021. The operating lease terms include renewal options ranging from two to five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leases equipment under agreements expiring at various times during the next three years. The Company has recorded the capital lease obligations within its condensed consolidated balance sheets. Future minimum rental payments under the noncancelable capital leases, subsequent to June 30, 2022,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8"/>
                <w:szCs w:val="18"/>
                <w:color w:val="auto"/>
              </w:rPr>
            </w:pP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Capital Leases</w:t>
            </w:r>
          </w:p>
        </w:tc>
      </w:tr>
      <w:tr>
        <w:trPr>
          <w:trHeight w:val="196"/>
        </w:trPr>
        <w:tc>
          <w:tcPr>
            <w:tcW w:w="9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FF0FC"/>
          </w:tcPr>
          <w:p>
            <w:pPr>
              <w:spacing w:after="0"/>
              <w:rPr>
                <w:sz w:val="17"/>
                <w:szCs w:val="17"/>
                <w:color w:val="auto"/>
              </w:rPr>
            </w:pPr>
          </w:p>
        </w:tc>
      </w:tr>
      <w:tr>
        <w:trPr>
          <w:trHeight w:val="203"/>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r>
      <w:tr>
        <w:trPr>
          <w:trHeight w:val="203"/>
        </w:trPr>
        <w:tc>
          <w:tcPr>
            <w:tcW w:w="9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Minimum lease payment including interest</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r>
      <w:tr>
        <w:trPr>
          <w:trHeight w:val="203"/>
        </w:trPr>
        <w:tc>
          <w:tcPr>
            <w:tcW w:w="9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Amount representing interest</w:t>
            </w:r>
          </w:p>
        </w:tc>
        <w:tc>
          <w:tcPr>
            <w:tcW w:w="2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196"/>
        </w:trPr>
        <w:tc>
          <w:tcPr>
            <w:tcW w:w="9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Minimum lease payments excluding interest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top w:val="single" w:sz="8" w:color="CFF0FC"/>
            </w:tcBorders>
          </w:tcPr>
          <w:p>
            <w:pPr>
              <w:spacing w:after="0"/>
              <w:rPr>
                <w:sz w:val="17"/>
                <w:szCs w:val="17"/>
                <w:color w:val="auto"/>
              </w:rPr>
            </w:pPr>
          </w:p>
        </w:tc>
      </w:tr>
      <w:tr>
        <w:trPr>
          <w:trHeight w:val="20"/>
        </w:trPr>
        <w:tc>
          <w:tcPr>
            <w:tcW w:w="9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Commitments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On April 4, 2021, the Company entered into an agreement with Palantir Technologies (“Palantir”). Pursuant to that agreement, the Company committed to purchase licenses to access software products and utilize services from Palantir over a six year period for a total cost to the Company of $42.0 million. As of June 30, 2022, the Company has an unconditional purchase commitment with Palantir as detailed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Annual Service</w:t>
            </w:r>
          </w:p>
        </w:tc>
        <w:tc>
          <w:tcPr>
            <w:tcW w:w="100" w:type="dxa"/>
            <w:vAlign w:val="bottom"/>
          </w:tcPr>
          <w:p>
            <w:pPr>
              <w:spacing w:after="0"/>
              <w:rPr>
                <w:sz w:val="16"/>
                <w:szCs w:val="16"/>
                <w:color w:val="auto"/>
              </w:rPr>
            </w:pPr>
          </w:p>
        </w:tc>
      </w:tr>
      <w:tr>
        <w:trPr>
          <w:trHeight w:val="216"/>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00" w:type="dxa"/>
            <w:vAlign w:val="bottom"/>
          </w:tcPr>
          <w:p>
            <w:pPr>
              <w:spacing w:after="0"/>
              <w:rPr>
                <w:sz w:val="18"/>
                <w:szCs w:val="18"/>
                <w:color w:val="auto"/>
              </w:rPr>
            </w:pPr>
          </w:p>
        </w:tc>
      </w:tr>
      <w:tr>
        <w:trPr>
          <w:trHeight w:val="196"/>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9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FF0FC"/>
          </w:tcPr>
          <w:p>
            <w:pPr>
              <w:spacing w:after="0"/>
              <w:rPr>
                <w:sz w:val="17"/>
                <w:szCs w:val="17"/>
                <w:color w:val="auto"/>
              </w:rPr>
            </w:pPr>
          </w:p>
        </w:tc>
      </w:tr>
      <w:tr>
        <w:trPr>
          <w:trHeight w:val="203"/>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7"/>
                <w:szCs w:val="17"/>
                <w:color w:val="auto"/>
              </w:rPr>
            </w:pPr>
          </w:p>
        </w:tc>
      </w:tr>
      <w:tr>
        <w:trPr>
          <w:trHeight w:val="203"/>
        </w:trPr>
        <w:tc>
          <w:tcPr>
            <w:tcW w:w="9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FF0FC"/>
          </w:tcPr>
          <w:p>
            <w:pPr>
              <w:spacing w:after="0"/>
              <w:rPr>
                <w:sz w:val="17"/>
                <w:szCs w:val="17"/>
                <w:color w:val="auto"/>
              </w:rPr>
            </w:pPr>
          </w:p>
        </w:tc>
      </w:tr>
      <w:tr>
        <w:trPr>
          <w:trHeight w:val="203"/>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7"/>
                <w:szCs w:val="17"/>
                <w:color w:val="auto"/>
              </w:rPr>
            </w:pPr>
          </w:p>
        </w:tc>
      </w:tr>
      <w:tr>
        <w:trPr>
          <w:trHeight w:val="236"/>
        </w:trPr>
        <w:tc>
          <w:tcPr>
            <w:tcW w:w="9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7"/>
          <w:szCs w:val="17"/>
          <w:color w:val="auto"/>
        </w:rPr>
        <w:t>The Company recognized $1.0 million and $1.9 million in sales and marketing expenses related to services provided by Palantir during the three and six months ended June 30, 2022, respectively. The Company had a prepaid expense balance of $1.9 million related to the Palantir contract as of June 30,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During the three and six months ended June 30, 2022, the Company had $0.6 million of revenue earned from customers located outside the United States. During the three and six months ended June 30, 2021, the Company had no material revenue earned from customers located outside the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May 16, 2021, the Company entered into an agreement with Sparks Marketing Corp. to begin the construction of an experiential marketing mobile display to be used for demonstrations of Company products at prospective customer locations as well as other marketing and demonstration events. Negotiations of this agreement involved an account executive at Sparks Marketing Corp. who is the brother-in-law of Mr. Wolff, our former CEO and current Executive Chairman of the Board. The Company has capitalized $0.8 million related to construction in progress for the experiential mobile display as of June 30,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has defined contribution 401(k) plans covering substantially all employees as of June 30, 2022. The plans allow employees to defer up to 100% of their employment income (subject to annual contribution limits imposed by the I.R.S.) after all taxes and applicable benefit deductions. In April 2022 the Company began providing employees with 401(k) matching contributions.</w:t>
      </w: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the “Company,” “Sarcos Technology and Robotics Corporation,” "Sarcos," “we,” “us,” and “our” refers to Sarcos Technology and Robotics Corporation,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2021 (the “2021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6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RE2 and achieve the expected benefits of the acquisition;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or obtain RaaS subscriptions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roadmap, including the expected timing of product releases;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overcome supply chain challenges, including increases in the cost of and interruptions in the supply or availability of components, parts and materials;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meet our customers’ requirements and to successfully transition to high volume manufacturing of our products by third-party manufacturers or by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global economic conditions on our business and the business of our customers;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modified or new laws and regulations applicable to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including plans to expand our product availability globally;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“target” or similar expressions.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4" w:name="page25"/>
    <w:bookmarkEnd w:id="24"/>
    <w:p>
      <w:pPr>
        <w:jc w:val="both"/>
        <w:spacing w:after="0" w:line="247"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technology leader in industrial highly-dexterous mobile robotic systems for use in unstructured environments. Our mission is to increase worker productivity and longevity and prevent injuries through robotics. The robotic systems we are developing are designed to combine human intelligence, instinct, and judgment with the strength, endurance and precision of machines. Our products are designed to augment, rather than replace, humans.</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adopted a multi-generational product roadmap such that development activities for products and programs are leveraged across the product portfolio. Our highest priority is on commercialization of our Guardian XT and Sapien 6M products for work-at-height use cases, which we believe will maximize near term product revenue potential, and solar field construction use cases, which represents a significant revenue generation opportunity but which will require additional development prior to commercialization. We will also pursue development of Guardian XO use cases, airport apron automation use cases, and subsea use cases, as well as longer term opportunities. A substantial majority of our resources will be dedicated to our near term priority while ensuring that we also advance our technological solutions for other opportunities.</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plan to offer our Guardian XO and Guardian XT primarily through a Robot-as-a-Service, or RaaS, subscription-based service model that will give customers the convenience of on-going maintenance, support, remote monitoring and software upgrades in addition to use of our products. We also anticipate that some customers will prefer to purchase these products rather than enter into RaaS subscriptions. We currently do not have any RaaS subscription agreements. As a result of our acquisition of RE2 on April 25, 2022, we now offer the Sapien line of robotic arm products. We believe that Sapien products will generally be sold, though we may also enter into RaaS subscriptions with customers with respect to our Sapien products. Revenue from our products are currently derived generally from development and sales contracts, rather than subscription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both our capital and operating expenditures will increase significantly in connection with our ongoing activities, as we:</w:t>
      </w:r>
    </w:p>
    <w:p>
      <w:pPr>
        <w:spacing w:after="0" w:line="18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commercialize our products;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collaborate on production systems for manufacturing efforts in-house and by third-parties;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technology, research and development efforts and our product development efforts;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improve our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and retain additional personnel to support and sustain our needs in commercializing our products, producing them and delivering them to customers;</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for commercial distribution and placement of our robotic systems;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administer our maintenance and servicing infrastructure;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expand our intellectual property portfolio.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COVID-19</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January 30, 2020, the World Health Organization declared the COVID-19 outbreak a “Public Health Emergency of International Concern” and on March 11, 2020, declared it to be a pandemic. Actions taken around the world to help mitigate the spread of COVID-19 include restrictions on travel, quarantines in certain areas and forced closures for certain types of public places and businesses.</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COVID-19 and actions taken to mitigate its spread have had and are expected to continue to have an adverse impact on the economies and financial markets of many countries, including the geographical areas in which Sarcos operates.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taken several actions in response to the COVID-19 pandemic that resulted in significant disruptions to how we operate our business. Our customers and partners have adopted similar policies. These actions and policies of ours and our customers and partners are evolving as laws, regulations and recommendations evolve. Although many of these measures are no longer in effect, we have experienced, and may continue to experience, an adverse impact on certain parts of our business as a result of measures to mitigate the COVID-19 pandemic and their resulting economic effects. Further, discontinued measures could be reinstituted, for example as a result of government requirements or in response to new variants of COVID-19.</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currently experiencing disruptions in our supply chain, due in part to the global impact of the COVID-19 pandemic. Depending upon the duration of the ongoing COVID-19 pandemic and the associated business interruptions, our customers, suppliers, manufacturers and partners may suspend or delay their engagements with us, which could result in a material adverse effect on our financial condition and ability to meet current timelines. In an effort to manage potential supply chain risks, in particular increasing and unpredictable lead-times, we have accelerated and expect to continue to accelerate purchases of various materials, parts and components for the foreseeable future to support product development and prepare for production of our commercial units, which has and will likely continue to increase our use of cash. In addition, the COVID-19 pandemic has affected and may continue to affect our ability to recruit skilled employees to join our team. The conditions caused by the pandemic have adversely affected and continue to adversely affect, among other things, demand for our products, the ability to test and assess our robotic systems with potential customers, our IT and other expenses, our ability to recruit and the ability of our employees to travel, any of which adversely affects our business, results of operations and financial condition. The duration and extent of the COVID-19 pandemic and its impacts cannot be accurately predicted at this time, and the ultimate direct and indirect impacts on our business, results of operations and financial condition will depend on future developments that are highly uncertain.</w:t>
      </w:r>
    </w:p>
    <w:p>
      <w:pPr>
        <w:spacing w:after="0" w:line="188"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We have also experienced, and may continue to experience, certain positive financial impacts on other aspects of our business, including a reduction in certain operating expenses due to reduced business travel, deferred hiring for some positions, and the virtualization or cancellation of customer and employee events. However, as restrictions ease we are incurring increased travel and other such expenses, though the exact timing and amounts of such increases are not predictable. Additionally, we believe that the COVID-19 pandemic could also enhance customer interest in our Guardian products as a means to assist and protect the current labor force and that our products are well suited to the new working environment as a result of the pandemic.</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global impact of COVID-19 continues to rapidly evolve, and we will continue to monitor the situation and the effects on our business and operations closely. We do not yet know the full extent of potential impacts on our business or operations. In particular, the effect of the COVID-19 pandemic may not be fully reflected in our operating results until future periods. Given the uncertainty, we cannot reasonably estimate the impact of the COVID-19 pandemic on our future results of operations, cash flows,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Core Products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currently expect that revenue from the commercial launch of our core products, the Guardian XO, Guardian XT and Sapien 6M products, will determine our financial success. We currently believe that we will begin initial production of commercial units of the Guardian XT and Sapien 6M by the end of 2022, for delivery to customers in early 2023. In large part due to significant supply chain disruptions that have limited our supply of parts common to both the Guardian XO and Guardian XT and certain parts pertaining to the Guardian XO, we have prioritized the commercialization of the Guardian XT and Sapien 6M and delayed the commercial launch of the Guardian XO. We have chosen to prioritize the Guardian XT and Sapien 6M as we are closer to completing development of commercial units for those products and initial demand for those products appears strong, and our ongoing re-design of the Guardian XO in order to decrease its weight and integrate customer feedback will require additional time to complete. As a result, we currently anticipate beginning initial production of commercial units of the Guardian XO in the second half of 2023. Such timelines may be delayed, including due to challenges in recruiting skilled employees, difficulties in securing components and materials, development delays, difficulties relating to manufacturing of the units and other factors discussed under Part II Item 1A Risk Factors “</w:t>
      </w:r>
      <w:r>
        <w:rPr>
          <w:rFonts w:ascii="Times New Roman" w:cs="Times New Roman" w:eastAsia="Times New Roman" w:hAnsi="Times New Roman"/>
          <w:sz w:val="18"/>
          <w:szCs w:val="18"/>
          <w:i w:val="1"/>
          <w:iCs w:val="1"/>
          <w:color w:val="auto"/>
        </w:rPr>
        <w:t>Initial production of commercial units of our core products may be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delayed.</w:t>
      </w:r>
      <w:r>
        <w:rPr>
          <w:rFonts w:ascii="Times New Roman" w:cs="Times New Roman" w:eastAsia="Times New Roman" w:hAnsi="Times New Roman"/>
          <w:sz w:val="18"/>
          <w:szCs w:val="18"/>
          <w:color w:val="auto"/>
        </w:rPr>
        <w:t>” Such challenges may result in further delay of the anticipated commercial launch of one or more of our products, which would adversely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financial condition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commercialization, we must complete the development, testing and manufacturing requirements of our products. As a result, we will spend a material portion of our cash on hand to develop our products and fund operations for the foreseeable future. The amount</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jc w:val="both"/>
        <w:spacing w:after="0" w:line="246" w:lineRule="auto"/>
        <w:rPr>
          <w:sz w:val="20"/>
          <w:szCs w:val="20"/>
          <w:color w:val="auto"/>
        </w:rPr>
      </w:pPr>
      <w:r>
        <w:rPr>
          <w:rFonts w:ascii="Times New Roman" w:cs="Times New Roman" w:eastAsia="Times New Roman" w:hAnsi="Times New Roman"/>
          <w:sz w:val="18"/>
          <w:szCs w:val="18"/>
          <w:color w:val="auto"/>
        </w:rPr>
        <w:t>and timing of our future funding requirements will depend on many factors, including the pace and results of our product development efforts, our ability to manufacture and deliver commercial products and thereby recognize associated revenue, capital requirements to build commercial products prior to receiving payments sufficient to cover our costs (especially in the case of RaaS subscription contracts) and our ability to lower product costs as volumes increase. We currently expect to obtain outside financing to help cover production costs for product orders. In addition, although we believe we have sufficient capital to fund our business for at least the next twelve months, we expect to seek additional financing during that time to bolster our cash reserves and ensure our ability to continue to pursue our business objectives. Any delays in the successful completion of the commercialization of our Guardian XO, Guardian XT and Sapien 6M products will negatively impact our ability to generate revenue, our profitability and our overall operating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of RE2</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25, 2022, we acquired RE2, Inc., a Pittsburgh, PA based developer of manipulator arms with human-like performance, intuitive robot interfaces and advanced autonomy capabilities for use in any environment. At closing, we paid approximately $30 million in cash, net of cash acquired, issued approximately 10.8 million shares of Common Stock and assumed certain outstanding options to acquire RE2 common stock which, following such assumption, represent rights to acquire 3.9 million shares of Common Stock. The results presented and discussed below include the activity for RE2 from the acquisition date through June 30, 2022. Our results do not include RE2’s financial information prior to the acquisition.</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in the early stages of integrating with RE2. While we believe that both organizations share common values and cultures and that the acquisition will help us expand our product portfolio, serve additional markets and further our product development efforts, integration involves significant risk and management attention. If these efforts divert management time and company resources from our product development efforts, the commercial production and release of our Guardian XO and Guardian XT products could be delayed. The development and sales of our Sapien products could also be adversely affected. If we are not able to successfully integrate RE2 and achieve the expected benefits of the acquisition while managing the development and commercialization of our products, commercialization of the Guardian XO, Guardian XT and Sapien 6M could be delayed, which would adversely impact our operating results and financial condition, and the value of our investment in RE2 could be impaired.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Although our Guardian XO, Guardian XT and Sapien units are not yet commercially available, we have received interest from potential customers that have tested or witnessed demonstrations of our pre-commercial units. However, because our robotic systems represent a new product category in markets that currently rely generally on conventional, manual systems, the market demand for our products is unproven, and important assumptions about the characteristics of targeted markets, pricing and sales cycles may be inaccurate. If customer demand does not develop as expected or we do not accurately forecast pricing, adoption rates and sales cycles for our products, our business, results of operations and financial condition will be adversely affected.</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to offer our Guardian XO and Guardian XT primarily through a RaaS subscription model, which we believe will drive accelerated adoption of our product offerings following their commercial launch, though we anticipate some customers will prefer to purchase these products. We believe the RaaS subscription model will be attractive to our customers and accelerate market adoption of our Guardian XO and Guardian XT robotic systems because it will lower the upfront costs of deployment, shift customers’ capital expenditures to operating expenditures, allow customers to more nimbly scale deployments up or down in response to market conditions and make our products more accessible to customers of all sizes. However, our RaaS subscription model is unproven and may fail to gain commercial acceptance. We expect the volume of our committed RaaS contracts to be an important indicator of our future performance; however, RaaS subscriptions will require us to incur significant upfront expenditures to build our products, but we will only receive revenue over time during the term of the subscription. In contrast, we expect to offer our Sapien 6M primarily through a sale model. Although we expect a sale model to result in earlier revenue recognition and cash receipts, we anticipate that we will still need to finance the production of these units before receiving such revenue and cash. If we are not able to finance such production costs, or if we fail to meet our revenue expectations, our prospects, financial condition and operating results may be adversely impacted.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of Our Products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to the extent we obtain commercial orders for our products, we will need to manufacture and deliver them to our customers. We have recently conducted an extensive evaluation process with a number of potential contract manufacturing partners and expect to generally outsource manufacturing of our products. However, engaging with a manufacturing partner will likely require significant time, ramp-up, testing and coordination before high-volume production capability by the partner is achieved. While we currently do not anticipate high-volume production by a contract manufacturing partner to be in place until at least the end of 2023, we do expect to engage with a contract manufacturing partner that will produce a high percentage of our products from the commencement of initial commercial production. We expect that in 2023 we will have the internal capability to manufacture a total of between 300 – 500 units of a combination of Guardian XT, Guardian XO, Sapien 6M, and our existing commercial products, depending on the mix. However, we do not expect to use all of that capacity in 2023, especially after engaging a contract manufacturing partner. For additional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ind w:right="120"/>
        <w:spacing w:after="0" w:line="284" w:lineRule="auto"/>
        <w:rPr>
          <w:sz w:val="20"/>
          <w:szCs w:val="20"/>
          <w:color w:val="auto"/>
        </w:rPr>
      </w:pPr>
      <w:r>
        <w:rPr>
          <w:rFonts w:ascii="Times New Roman" w:cs="Times New Roman" w:eastAsia="Times New Roman" w:hAnsi="Times New Roman"/>
          <w:sz w:val="18"/>
          <w:szCs w:val="18"/>
          <w:color w:val="auto"/>
        </w:rPr>
        <w:t>around the risks associated with contract manufacturing see Part II Item 1A Risk Factors “</w:t>
      </w:r>
      <w:r>
        <w:rPr>
          <w:rFonts w:ascii="Times New Roman" w:cs="Times New Roman" w:eastAsia="Times New Roman" w:hAnsi="Times New Roman"/>
          <w:sz w:val="18"/>
          <w:szCs w:val="18"/>
          <w:i w:val="1"/>
          <w:iCs w:val="1"/>
          <w:color w:val="auto"/>
        </w:rPr>
        <w:t>Our expected transition to an outsourced manufacturing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model may not be successful, which could harm our ability to deliver products and recognize revenue.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1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 years and significant investment in research and development in our proprietary technologies and our extensive patent portfolio. However, our financial performance is significantly dependent on our ability to maintain this leading position and further dependent on the investments we make in research and development. It is important that we continually identify and respond to rapidly evolving customer requirements, develop and introduce innovative new products, enhance and service existing products and generate active market demand for our robotic systems. If we fail to do this, our market position and revenue may be adversely affected, and our investments into these technologies will not be recovered.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16"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8"/>
          <w:szCs w:val="18"/>
          <w:color w:val="auto"/>
        </w:rPr>
        <w:t>Geopolitical and macro-economic factors, such as inflation, rising interest rates, oil prices, unemployment rates, the war in Ukraine and political or social unrest, can have significant impacts on economic activity, which in turn could affect demand for our products or our ability to cost-effectively develop, sell or obtain RaaS subscriptions for and manufacture our products. Among other things, these and similar factors can affect our supply chain, our ability to hire qualified personnel, our labor and materials costs, the prices we charge for our products and the budgets of our customers and their expected return-on-investment from the purchase of or subscription for our products.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discussion below regarding our results of operation for the three and six months ended June 30, 2022, includes the financial results of RE2 beginning on the acquisition date through June 30, 2022. Our results do not include RE2’s financial information prior to the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June 30,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Services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26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60" w:type="dxa"/>
            <w:vAlign w:val="bottom"/>
            <w:gridSpan w:val="2"/>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24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19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260" w:type="dxa"/>
            <w:vAlign w:val="bottom"/>
            <w:gridSpan w:val="2"/>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24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166 %</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Revenue increased by $1.9 million, or 166%, from $1.1 million for the three months ended June 30, 2021, to $3.0 million for the three months ended June 30, 2022,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14"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18"/>
          <w:szCs w:val="18"/>
          <w:color w:val="auto"/>
        </w:rPr>
        <w:t>Revenue derived from research and development services increased by $2.0 million, or 190%, from $1.0 million for the three months ended June 30, 2021 to $3.0 million for the three months ended June 30, 2022. The increase was a result of reflecting RE2 revenues beginning on April 25, 2022, partially offset by a reduction in work efforts and related revenue for various projects during the comparable periods as we continue to focus on accepting only those development contracts that are aligned with our product commercialization efforts. We expect future revenue from research and development services to increase on a year over year basis due to the inclusion of RE2 service revenues in the near term; however, to the extent we continue to focus on development contracts that support our commercialization efforts, our research and development services revenue may decline over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derived from product sales decreased slightly during the three months ended June 30, 2022 compared to the three months ended June 30, 2021.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sales generated during the three months ended June 30, 2022 and the three months ended June 30, 2021 were minimal and related to sales of our</w:t>
      </w:r>
    </w:p>
    <w:p>
      <w:pPr>
        <w:spacing w:after="0"/>
        <w:rPr>
          <w:sz w:val="20"/>
          <w:szCs w:val="20"/>
          <w:color w:val="auto"/>
        </w:rPr>
      </w:pPr>
      <w:r>
        <w:rPr>
          <w:rFonts w:ascii="Times New Roman" w:cs="Times New Roman" w:eastAsia="Times New Roman" w:hAnsi="Times New Roman"/>
          <w:sz w:val="18"/>
          <w:szCs w:val="18"/>
          <w:color w:val="auto"/>
        </w:rPr>
        <w:t>Guardian S product.</w:t>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2"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June 30,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5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365 %</w:t>
            </w: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15,225</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521 %</w:t>
            </w: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2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32,021</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8,814</w:t>
            </w:r>
          </w:p>
        </w:tc>
        <w:tc>
          <w:tcPr>
            <w:tcW w:w="240" w:type="dxa"/>
            <w:vAlign w:val="bottom"/>
            <w:gridSpan w:val="2"/>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23,207</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263 %</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Cost of revenue increased by $2.5 million, or 365%, from $0.7 million for the three months ended June 30, 2021, to $3.1 million for the three months ended June 30, 2022. Cost of revenues increased significantly due to reflecting RE2 cost of revenue beginning on April 25, 2022. Cost of revenue increased at a higher rate than revenue, driven mainly by increased labor and material costs related to several firm fixed price contracts and an increase in applied overhead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increased by $3.5 million, or 87% from $4.1 million for the three months ended June 30, 2021, to $7.6 million for the three months ended June 30, 2022. The increase was driven primarily by an increase in labor and overhead expense as a result of increased headcount (including as a result of the RE2 acquisition) and third-party service provider costs as we focus on the development and commercialization of our Guardian XO, Guardian XT and Sapien 6M products. We expect our research and development expenses to continue to increase due to our focus on product development and as we continue to engage third party service providers in our development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increased by $15.2 million, or 521%, from $2.9 million for the three months ended June 30, 2021, to $18.1 million for the three months ended June 30, 2022. The largest portion of the increase, $9.7 million, is due to stock-based compensation expense, mainly for stock grants that began vesting upon the closing of the Business Combination and shares issued upon completion of the acquisition of RE2. Additionally, general and administrative expense increased due to increased legal expenses, business insurance expenses, increased headcount (including as a result of our acquisition of RE2) and related expenses. We expect our general and administrative expenses to be higher year-over-year for the remainder of 2022 as we work on our commercialization pathway, public-company compliance efforts and as we incur additional general and administrative costs resulting from our acquisition of RE2.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4"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8"/>
          <w:szCs w:val="18"/>
          <w:color w:val="auto"/>
        </w:rPr>
        <w:t>Sales and marketing expenses increased by $1.4 million, or 122%, from $1.2 million for the three months ended June 30, 2021, to $2.6 million for the three months ended June 30, 2022. This increase was driven by an increase in professional service fees due to the engagement of a third-party vendor utilized in data management of our products and services, increased headcount expenses including increased stock-based compensation expense and increased expenses related to additional headcount resulting from our RE2 acquisition. We expect our sales and marketing expenses to be higher year-over-year for the remainder of 2022 as we work on our commercialization pathway.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0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Intangible amortization expenses increased by $0.6 million, from $0.0 million for three months ended June 30, 2021, to $0.6 million for the three months ended June 30, 2022. The increase in intangible amortization expense is due to the recognition of amortization expenses of identified intangible assets recorded as part of our RE2 acquisition.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June 30, 2022 and 2021:</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(loss)</w:t>
            </w:r>
          </w:p>
        </w:tc>
        <w:tc>
          <w:tcPr>
            <w:tcW w:w="2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(13 )</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(1,238 )%</w:t>
            </w:r>
          </w:p>
        </w:tc>
      </w:tr>
      <w:tr>
        <w:trPr>
          <w:trHeight w:val="203"/>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7"/>
                <w:szCs w:val="17"/>
                <w:color w:val="auto"/>
              </w:rPr>
            </w:pPr>
          </w:p>
        </w:tc>
      </w:tr>
      <w:tr>
        <w:trPr>
          <w:trHeight w:val="203"/>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2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(2,394 )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3"/>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(2 )</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19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24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77 %</w:t>
            </w: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1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Other income (loss) increased by $1.9 million for the three months ended June 30, 2022 as compared to the prior year period, as a result of the $4.1 million in unrealized mark-to-market gain on our outstanding private placement warrants, partially offset by the gain on forgiveness of notes payable recorded in the prior year period in connection with the forgiveness of the first draw of our Paycheck Protection Program (“PPP”) loan.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Income tax benefit increased to $1.6 million for the three months ended June 30, 2022 compared to $0.0 million in income tax expense for the three months ended June 30, 2021. The income tax benefit recorded during the three months ended June 30, 2022 is due to a net deferred tax liability recorded as part of the acquisition of RE2. The future reversal of the net deferred tax liability is a source of taxable income to be considered by us when determining whether a valuation allowance is needed for our existing net deferred tax assets. As such, we removed a portion of our previously recorded valuation allowance resulting in an income tax benefit recognized during the current year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six months ended June 30,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Services</w:t>
            </w: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26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240" w:type="dxa"/>
            <w:vAlign w:val="bottom"/>
            <w:gridSpan w:val="2"/>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2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(246 )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19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240" w:type="dxa"/>
            <w:vAlign w:val="bottom"/>
            <w:gridSpan w:val="2"/>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4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Revenue increased by $0.8 million, or 29%, from $2.9 million for the six months ended June 30, 2021, to $3.8 million for the six months ended June 30, 2022, as explained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14"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8"/>
          <w:szCs w:val="18"/>
          <w:color w:val="auto"/>
        </w:rPr>
        <w:t>Revenue derived from research and development services increased by $1.1 million, or 41%, from $2.6 million for the six months ended June 30, 2021 to $3.7 million for the six months ended June 30, 2022. The increase was a result of the inclusion of RE2 revenue beginning on April 25, 2022, partially offset by our decision to focus on services contracts that support our commercialization efforts, which resulted in foregoing some revenue opportunities, and a net change in work efforts for various projects during the comparable periods. We expect future revenue from research and development services to increase on a year over year basis due to the inclusion of RE2 service revenues in the near term; however, to the extent we continue to focus on development contracts that support our commercialization efforts, our research and development services revenue may decline over time.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1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Revenue derived from product sales decreased by $0.2 million, or 79%, from $0.3 million during the six months ended June 30, 2021 to $0.1 million for the six months ended June 30, 2022. During the six months ended June 30, 2022, we had minimal product sales compared to $0.3 million in sales of our Guardian S during the six months ended June 30, 2021.</w:t>
      </w:r>
    </w:p>
    <w:p>
      <w:pPr>
        <w:spacing w:after="0" w:line="1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six months ended June 30,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30,703</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586 %</w:t>
            </w: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2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58,393</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15,801</w:t>
            </w:r>
          </w:p>
        </w:tc>
        <w:tc>
          <w:tcPr>
            <w:tcW w:w="240" w:type="dxa"/>
            <w:vAlign w:val="bottom"/>
            <w:gridSpan w:val="2"/>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42,592</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270 %</w:t>
            </w:r>
          </w:p>
        </w:tc>
      </w:tr>
      <w:tr>
        <w:trPr>
          <w:trHeight w:val="20"/>
        </w:trPr>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Cost of revenue increased by $1.8 million, or 94%, from $1.9 million for the six months ended June 30, 2021, to $3.6 million for the six months ended June 30, 2022. Cost of revenues increased significantly due to reflecting RE2 cost of revenue beginning April 25, 2022. Cost of revenue increased at a higher rate than revenue, driven mainly by increased labor and material costs related to several firm fixed price contracts and an increase in applied overhead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increased by $6.6 million, or 96% from $6.9 million for the six months ended June 30, 2021, to $13.5 million for the six months ended June 30, 2022. The increase was driven primarily by an increase in labor and overhead expense as a result of increased headcount (including as a result of the RE2 acquisition) and third-party service provider costs as we focus on the development and commercialization of our Guardian XO, Guardian XT and Sapien 6M products. We expect our research and development expenses to continue to increase due to our focus on product development and as we continue to leverage third party service providers in our development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8"/>
          <w:szCs w:val="18"/>
          <w:color w:val="auto"/>
        </w:rPr>
        <w:t>General and administrative expenses increased by $30.7 million, or 586%, from $5.2 million for the six months ended June 30, 2021, to $35.9 million for the six months ended June 30, 2022. The largest portion of the increase, $20.2 million, is due to stock-based compensation expense, mainly for stock grants that began vesting upon the closing of the Business Combination. Additionally, general and administrative expense increased due to increased legal expenses, business insurance expenses, increased headcount (including as a result of our acquisition of RE2) and related expenses. We expect our general and administrative expenses to be higher year-over-year for the remainder of 2022 as we work on our commercialization pathway, public-company compliance efforts and as we incur additional general and administrative costs resulting from our acquisition of RE2.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4"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8"/>
          <w:szCs w:val="18"/>
          <w:color w:val="auto"/>
        </w:rPr>
        <w:t>Sales and marketing expenses increased by $3.0 million, or 164%, from $1.8 million for the six months ended June 30, 2021, to $4.8 million for the six months ended June 30, 2022. This increase was driven by an increase in professional service fees due to the engagement of a third-party vendor utilized in data management of our products and services, increased headcount expenses, including increased stock-based compensation expense and increased expenses related to additional headcount resulting from our RE2 acquisition. We expect our sales and marketing expenses to be higher year-over-year for the remainder of 2022 as we work on our commercialization pathway.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0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Intangible amortization expenses increased by $0.6 million, from $0.0 million for six months ended June 30, 2021, to $0.6 million for the six months ended June 30, 2022. The increase in intangible amortization expense is due to the recognition of amortization expenses of identified intangible assets recorded as part of the RE2 acquisition.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six months ended June 30, 2022 and 2021:</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(loss)</w:t>
            </w: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(23 )</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(791 )%</w:t>
            </w:r>
          </w:p>
        </w:tc>
      </w:tr>
      <w:tr>
        <w:trPr>
          <w:trHeight w:val="203"/>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10,527</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10,527</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7"/>
                <w:szCs w:val="17"/>
                <w:color w:val="auto"/>
              </w:rPr>
            </w:pPr>
          </w:p>
        </w:tc>
      </w:tr>
      <w:tr>
        <w:trPr>
          <w:trHeight w:val="203"/>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(2,394 )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3"/>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19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10,686</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220" w:type="dxa"/>
            <w:vAlign w:val="bottom"/>
          </w:tcPr>
          <w:p>
            <w:pPr>
              <w:spacing w:after="0"/>
              <w:rPr>
                <w:sz w:val="17"/>
                <w:szCs w:val="17"/>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345 %</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9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Other income (loss) increased by $8.3 million for the six months ended June 30, 2022 as compared to the prior year period, as a result of the $10.5 million in unrealized mark-to-market gain on our outstanding private placement warrants, partially offset by the gain on forgiveness of notes payable recorded in the prior year period in connection with the forgiveness of the first draw of our PPP loan.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2"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Income tax benefit increased to $1.6 million for the six months ended June 30, 2022 compared to $0.0 million in income tax expense for the six months ended June 30, 2021. The income tax benefit recorded during the six months ended June 30, 2022 is due to a net deferred tax liability recorded as part of the acquisition of RE2. The future reversal of the net deferred tax liability is a source of taxable income to be considered by us when determining whether a valuation allowance is needed for our existing net deferred tax assets. As such, we removed a portion of our previously recorded valuation allowance resulting in an income tax benefit recognized during the current year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Prior to the closing of the Business Combination, Old Sarcos financed its operations through private placements of redeemable convertible preferred stock, from the limited sale of Guardian S units and other commercially available products and by providing research and development services under Small Business Innovation Research contracts and as a subcontractor for prime contractors working with the U.S. Department of Defense.</w:t>
      </w:r>
    </w:p>
    <w:p>
      <w:pPr>
        <w:spacing w:after="0" w:line="17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Upon the closing of the Business Combination, we retained approximately $228.8 million in cash proceeds, net of fees and expenses related to the Business Combination, including $220.0 million, from the PIPE Financing.</w:t>
      </w:r>
    </w:p>
    <w:p>
      <w:pPr>
        <w:spacing w:after="0" w:line="16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We currently use cash to fund operations and capital expenditures and meet working capital requirements. As of June 30, 2022, we had $152.8 million in cash, cash equivalents and marketable securities. We believe that our cash, cash equivalents and marketable securities on hand will be sufficient to support operations, working capital and capital expenditure requirements for at least the next 12 months from the date of this report; however, we will need to secure additional financing prior to achieving positive operating cash flows, and we do not anticipate achieving positive cash flows through at least 2024.</w:t>
      </w:r>
    </w:p>
    <w:p>
      <w:pPr>
        <w:spacing w:after="0" w:line="16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manufacture and deliver commercial products and thereby recognize associated revenue, capital requirements to build commercial products prior to receiving payments sufficient to cover our costs (especially in the case of RaaS contracts) and our ability to lower product costs as volumes increase. Any delays in the successful completion of the commercialization of our Guardian XO, Guardian XT and Sapien products will negatively impact our ability to generate revenue, our profitability and our overall operating performance.</w:t>
      </w:r>
    </w:p>
    <w:p>
      <w:pPr>
        <w:spacing w:after="0" w:line="16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64"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customer base. If additional funds are required to support our working capital requirements, for acquisitions or for other purposes, we may seek to raise funds through additional debt or equity financings or from other sources. We currently expect to obtain outside financing to help cover production costs for product orders. In addition, although we believe we have sufficient capital to fund our business for at least the next twelve months, we expect to seek additional financing during that time to bolster our cash reserves and ensure our ability to continue to pursue our business objectives.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6" w:right="239" w:bottom="1440" w:gutter="0" w:footer="0" w:header="0"/>
        </w:sectPr>
      </w:pPr>
    </w:p>
    <w:bookmarkStart w:id="32" w:name="page33"/>
    <w:bookmarkEnd w:id="32"/>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2022 vs. 2021 Change</w:t>
            </w:r>
          </w:p>
        </w:tc>
      </w:tr>
      <w:tr>
        <w:trPr>
          <w:trHeight w:val="202"/>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(27,924 )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(13,660 )</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(14,264 )</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104 %</w:t>
            </w:r>
          </w:p>
        </w:tc>
      </w:tr>
      <w:tr>
        <w:trPr>
          <w:trHeight w:val="203"/>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(109,884 )</w:t>
            </w:r>
          </w:p>
        </w:tc>
        <w:tc>
          <w:tcPr>
            <w:tcW w:w="2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(2,282 )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(107,602 )</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4,715 %</w:t>
            </w:r>
          </w:p>
        </w:tc>
      </w:tr>
      <w:tr>
        <w:trPr>
          <w:trHeight w:val="203"/>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(6,047 )</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(7,865 )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(433 )%</w:t>
            </w:r>
          </w:p>
        </w:tc>
      </w:tr>
      <w:tr>
        <w:trPr>
          <w:trHeight w:val="196"/>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(143,855</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(129,731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919 %</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14"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18"/>
          <w:szCs w:val="18"/>
          <w:color w:val="auto"/>
        </w:rPr>
        <w:t>Cash flows used in operating activities during the six months ended June 30, 2022 increased by $14.3 million to $27.9 million from $13.7 million during the same period in 2021. The increase to net cash used in operating activities was primarily attributable to a $31.9 million increase to net loss, partially offset by a net increase of $13.5 million in non-cash expenses which include stock-based compensation expense, depreciation expense and amortization expense, gain on warrant liability revaluation and forgiveness of notes payable. Additionally, net cash used in operating activities related to changes in operating assets and liabilities decreased by $4.1 million, driven mainly by decreases in prepaid expenses and deferred transaction costs, partially offset by increases in operating liabilities.</w:t>
      </w:r>
    </w:p>
    <w:p>
      <w:pPr>
        <w:spacing w:after="0" w:line="18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Due to uncertainty around availability and lead-times, we have sourced certain materials and components required for the manufacture of our commercial units in 2023. We expect these purchases to have an impact of up to $3 million on our 2022 year-end cash total.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1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Our net cash used in investing activities during the six months ended June 30, 2022 increased by $107.6 million to $109.9 million from $2.3 million during the same period in 2021. The increase in cash used in investing activities is due to the purchase of short-term marketable securities during the second quarter of 2022 of $79.5 million and $29.7 million of net cash used as part of the purchase consideration for the RE2 acquisition.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20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Our overall cash used in financing activities during the six months ended June 30, 2022 increased by $7.9 million. The increase was due mainly to $6.6 million worth of shares of common stock withheld for payment of tax withholding obligations upon the vesting of equity awards during the six months ended June 30, 2022, as compared to $2.0 million of proceeds from loans received under the PPP for the six months ended June 30,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0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77"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jc w:val="both"/>
        <w:ind w:right="100" w:firstLine="8"/>
        <w:spacing w:after="0"/>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$1.07 billion or more during such fiscal year (as indexed for inflation), (iii) the date on which we have issued more than $1 billion in non-convertible debt in the prior three-year period or (iv) December 31, 2025,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4"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2021 Form 10-K.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June 30, 2022, pursuant to Rule 13a-15(b) under the Exchange Act. Based upon that evaluation, our Certifying Officers concluded that our disclosure controls and procedures were effective as of June 30, 2022.</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Material Weakness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previously disclosed in item 9A of our annual report on Form 10-K for the year ended December 31, 2021, management had identified a material weakness in our internal controls related to the accounting for certain unique, unusual and nonstandard equity transactions. Management determined that we did not have the adequate resources in place to properly identify, address, and account correctly for such transactions due to a lack of internal resources with the appropriate knowledge and expertise.</w:t>
      </w:r>
    </w:p>
    <w:p>
      <w:pPr>
        <w:spacing w:after="0" w:line="200" w:lineRule="exact"/>
        <w:rPr>
          <w:sz w:val="20"/>
          <w:szCs w:val="20"/>
          <w:color w:val="auto"/>
        </w:rPr>
      </w:pPr>
    </w:p>
    <w:p>
      <w:pPr>
        <w:spacing w:after="0" w:line="3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remediate the material weakness in our internal controls over financial reporting, management has implemented the following remediation steps: (i) we made an assessment of the accounting personnel and have strengthened our compliance and accounting functions with additional experienced hires to assist in our on going risk assessment process and the continued design 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implementation of controls; and (ii) we have engaged a third-party consulting firm that specializes in internal audit, and control processes and procedures that has worked with us to develop, implement and document controls to remediate the previously identified material weakness.</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evaluated and tested the controls that have been implemented and, as a result of that testing, concluded that the remediation steps that have been taken are sufficient to remediate the material weakness described above as of June 30,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discussed herein, there was no change in our internal control over financial reporting that occurred during the fiscal quarter ended June 30, 2022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 References in this Item 1A Risk Factors to financial information as of dates or for periods ended on or prior to April 25, 2022 do not include the financial information of RE2 as of those dates or for those periods.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expenses for the foreseeable future.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incurred a net loss of $42.3 million for the six months ended June 30, 2022, and a net loss of $81.5 million for the year ended December 31, 2021. We believe that we will continue to incur operating and net losses through at least 2024. Even if we are able to successfully develop our robotic systems and attract customers for commercial sales or RaaS subscriptions of our products, we may not become profitable. Our potential profitability is dependent upon the successful development and successful commercial introduction and adoption on a larger scale of our robotic systems and our ability to lower production costs as we achieve economies of scale through high-volume production, none of which may occur.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rate at which we will incur losses will be significantly higher in future periods as we:</w:t>
      </w:r>
    </w:p>
    <w:p>
      <w:pPr>
        <w:spacing w:after="0" w:line="198"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design, develop, manufacture and commercialize our robotic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and develop potential new relationships with third-party partners for supply, design to manufacturing and manufacturing;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production capabilities, including costs associated with the potential outsourcing of the manufacturing of our robotic systems;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up inventories of parts (including replacement parts) and components for our robotic systems;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maintenance and servicing capacity and capabilities;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 inventory of our robotic systems, including upfront expenditures to manufacture units prior to delivery and recognition of related revenue (especially in connection with RaaS subscriptions);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activities and develop our sales and distribution infrastructure;</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remote monitoring, updating and other cloud-based services;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safety measures for our products and as our customers evaluate and test the efficacy of those safety measures;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our technology infrastructure and cybersecurity measures, policies and controls;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general and administrative functions and systems to support our growing operations and to operate as a publicly-traded company.</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will incur costs and expenses from these efforts before we receive incremental revenues with respect thereto, we expect that our losses in future periods will be significant. In addition, we may find that these efforts are more expensive than we currently anticipate or that these efforts may result in less than expected or no additional revenue, which would further increase our losses.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our robotic systems successfully.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Any failure to manage our growth effectively could materially and adversely affect our business, prospects, financial condition and operating results. We expect our expansion to include:</w:t>
      </w:r>
    </w:p>
    <w:p>
      <w:pPr>
        <w:spacing w:after="0" w:line="16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our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 and implementing ERP systems;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for manufacturing partners and third-party manufacturers and/or expanding our internal manufacturing capabilities;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customer service and maintenance and servicing facilities and organizations;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of robotic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intend to continue to hire a significant number of additional personnel, including engineers, design and production personnel and service technicians for our robotic systems. Because of the innovative nature of our technology, individuals with the necessary experience have not been, and likely will continue not to be, readily available to hire, and as a result, we will need to expend significant time and expense to recruit and retain experienced employees and appropriately train any newly hired employees. Competition for individuals with experience designing, producing and servicing dexterous robots and their software is intense, and we may not be able to attract, integrate, train, motivate or retain additional highly qualified personnel. Further, we have recently hired a significant number of new employees, including Kiva Allgood, our new CEO, in December 2021 and other senior employees, as well as over 100 employees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as a result of our acquisition of RE2. Integrating a large number of new employees in a short time can cause disruptions to processes, projects, culture, priorities and a company as a whole. New employees may not perform as expected or may not fit culturally, and long-term employees may not embrace new leaders, priorities, methods, processes or other changes and may decide to leave or may not perform as well as in the past. Further, we face these and other risks as a result of our acquisition of RE2. See - </w:t>
      </w:r>
      <w:r>
        <w:rPr>
          <w:rFonts w:ascii="Times New Roman" w:cs="Times New Roman" w:eastAsia="Times New Roman" w:hAnsi="Times New Roman"/>
          <w:sz w:val="18"/>
          <w:szCs w:val="18"/>
          <w:i w:val="1"/>
          <w:iCs w:val="1"/>
          <w:color w:val="auto"/>
        </w:rPr>
        <w:t>The success of our acquisition of RE2, Inc. is subject to numerous risks and uncertainties.</w:t>
      </w:r>
      <w:r>
        <w:rPr>
          <w:rFonts w:ascii="Times New Roman" w:cs="Times New Roman" w:eastAsia="Times New Roman" w:hAnsi="Times New Roman"/>
          <w:sz w:val="18"/>
          <w:szCs w:val="18"/>
          <w:color w:val="auto"/>
        </w:rPr>
        <w:t xml:space="preserve"> Any failure to attract, integrate, train, motivate and retain employees or difficulty adjusting to a larger organization with a new CEO and a large number of new employees could significantly delay our product development and commercial release and materially harm our business, prospects, financial condition and operating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acquisition of RE2, Inc. is subject to numerous risks and uncertainties, including integration risks.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2022, we completed our acquisition of RE2, Inc. We believe that RE2's business is complementary to ours, and that both RE2 and Sarcos will benefit from the combination of the two companies. Upon consummation of the acquisition of RE2, we became subject to risks associated with RE2's business, many of which are the same risks that we currently face. Other risks include:</w:t>
      </w:r>
    </w:p>
    <w:p>
      <w:pPr>
        <w:spacing w:after="0" w:line="277"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RE2's products and technology;</w:t>
      </w:r>
    </w:p>
    <w:p>
      <w:pPr>
        <w:spacing w:after="0" w:line="10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risks, such as risks associated with combining two organizations and cultures in two different geographies and integrating systems and maintaining IT security;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focus on business and product development objectives;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customer and supplier relationships;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allocate resources appropriately across product lines;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retain employees;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whether we can achieve the expected benefits of the acquisition.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effectively manage these and any other risks resulting from the acquisition, the value of our investment in RE2 may be adversely affected and the expected benefits of the acquisition may not be realized.</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are in the early stages of integrating with RE2, which we acquired on April 25, 2022. While we believe that both organizations share common values and cultures and that the acquisition will help us expand our product portfolio, serve additional markets and further our product development efforts, integration involves significant risk and management attention. If these efforts divert management time and company resources from our product development efforts, the commercial production and release of our Guardian XO and Guardian XT products could be delayed. The development and sales of our Sapien products could also be adversely affected. If we are not able to successfully integrate RE2 and achieve the expected benefits of the acquisition while managing the development and commercialization of our products, in particular the Guardian XO, Guardian XT and Sapien 6M, commercialization of our products could be delayed, which would adversely impact our ability to generate revenue, our overall profitability and our operating performance, and the value of our investment in RE2 could be adversely affected and we may be required to recognize an impairment loss on the write down of our assets and goodwill, which could materially and adversely affect our financial results.</w:t>
      </w:r>
    </w:p>
    <w:p>
      <w:pPr>
        <w:spacing w:after="0" w:line="18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development stage company, with very limited experience commercializing our products. Our projected financial and operating information reflect estimates of future performance and are based on multiple financial, technical and operational assumptions, including timely hiring of additional skilled personnel, timing of commercial launch of our robotic systems, the level of demand for our robotic systems, the performance of our robotic systems, the utilization of the robot fleet, commercial interest in the RaaS subscription model and product pricing, the useable life of the robotic systems, cost of manufacturing, cost of components and availability of adequate supply, number of units that will need to be manufactured in each batch, the nature and length of the sales cycle, maintenance and servicing costs and the costs of refurbishing the robotic systems. However, given our limited commercial experience, it is likely that many of these assumptions will prove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Some of these risks, uncertainties and contingencies that could determine whether actual operating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results and business developments will be consistent with our expectations and assumptions include: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and attention needed from management to integrate RE2 into our business, as well as any resulting disruption to or delay in our product development efforts;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successfully integrate RE2 into our business and achieve the expected benefits of the acquisition;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adequately address customer safety requirements;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obtain sufficient capital to sustain and grow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of agreements with customers, suppliers and manufacturing partners, and whether we can effectively manage and maintain relationships with these third-parties;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costs of components and materials;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products and successfully engage with a contract manufacturer, including the costs, quality and output associated with any such outsourced manufacturing;</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the required marketing and promotional efforts;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each sale or RaaS subscription;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customers and their employees will adopt the robotic systems offered by us;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required and success of customer testing of our technology;</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key management, to attract additional leaders, to integrate recent hires, including RE2’s employees, and to attract, retain and motivate qualified personnel, including engineers, design and production personnel and service technicians;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 including the impact of macro-economic conditions such as inflation and interest rates;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political changes;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requirements and preferences.</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Unfavorable changes in any of these or other factors could cause us to fail to meet our operating and financial projections and could materially and adversely affect our business, prospects, financial condition and operating results.</w:t>
      </w:r>
    </w:p>
    <w:p>
      <w:pPr>
        <w:spacing w:after="0" w:line="15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Initial production of commercial units of our core products, the Guardian XO, Guardian XT and Sapien 6M, may be delayed beyond our current expectations and therefore initial delivery to customers and receipt of anticipated revenue could be delayed.</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currently expect to begin initial production of commercial units of the Guardian XT and Sapien 6M by the end of 2022 for delivery to customers in early 2023 and to begin initial production of commercial units of the Guardian XO in the second half of 2023. However, there are significant risks and challenges that could delay our continued development efforts and initial production of commercial units and therefore initial delivery to customers could be delayed beyond current expectations, including:</w:t>
      </w:r>
    </w:p>
    <w:p>
      <w:pPr>
        <w:spacing w:after="0" w:line="177" w:lineRule="exact"/>
        <w:rPr>
          <w:sz w:val="20"/>
          <w:szCs w:val="20"/>
          <w:color w:val="auto"/>
        </w:rPr>
      </w:pPr>
    </w:p>
    <w:p>
      <w:pPr>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general labor shortages of qualified applicants has affected and is likely to continue to affect our ability to recruit skilled employees to join our team, negatively affecting the development and commercial launch timelines for our products.</w:t>
      </w:r>
    </w:p>
    <w:p>
      <w:pPr>
        <w:spacing w:after="0" w:line="162" w:lineRule="exact"/>
        <w:rPr>
          <w:rFonts w:ascii="Times New Roman" w:cs="Times New Roman" w:eastAsia="Times New Roman" w:hAnsi="Times New Roman"/>
          <w:sz w:val="18"/>
          <w:szCs w:val="18"/>
          <w:color w:val="auto"/>
        </w:rPr>
      </w:pPr>
    </w:p>
    <w:p>
      <w:pPr>
        <w:ind w:left="760" w:right="20" w:hanging="378"/>
        <w:spacing w:after="0" w:line="24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currently experiencing increases in the cost of and an interruption in the supply or shortage of materials. Our core products are complex and each contains several thousand components. Difficulty securing components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 w:name="page39"/>
    <w:bookmarkEnd w:id="38"/>
    <w:p>
      <w:pPr>
        <w:jc w:val="both"/>
        <w:ind w:left="760"/>
        <w:spacing w:after="0" w:line="247" w:lineRule="auto"/>
        <w:rPr>
          <w:sz w:val="20"/>
          <w:szCs w:val="20"/>
          <w:color w:val="auto"/>
        </w:rPr>
      </w:pPr>
      <w:r>
        <w:rPr>
          <w:rFonts w:ascii="Times New Roman" w:cs="Times New Roman" w:eastAsia="Times New Roman" w:hAnsi="Times New Roman"/>
          <w:sz w:val="18"/>
          <w:szCs w:val="18"/>
          <w:color w:val="auto"/>
        </w:rPr>
        <w:t>materials has resulted in delays in the development of our Guardian XO product, and could result in further delays in the development of the Guardian XO and/or in delays in the development of our other products. Further, such difficulties could result in delays in our ability to manufacture commercial quantities of our products, which delays could be compounded if components or products require redesign or reengineering. Although we actively take steps to manage our supply chain and attempt to order parts, materials and components sufficiently in advance of when they are needed, many parts and components require significant lead-times to acquire or the lead-times vary or are unpredictable and some could take more than 12 months to acquire.</w:t>
      </w:r>
    </w:p>
    <w:p>
      <w:pPr>
        <w:spacing w:after="0" w:line="180" w:lineRule="exact"/>
        <w:rPr>
          <w:sz w:val="20"/>
          <w:szCs w:val="20"/>
          <w:color w:val="auto"/>
        </w:rPr>
      </w:pPr>
    </w:p>
    <w:p>
      <w:pPr>
        <w:jc w:val="both"/>
        <w:ind w:left="760" w:hanging="378"/>
        <w:spacing w:after="0" w:line="24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products due to these challenges also affect discussions with third-party contract manufacturers, as such discussions are more complicated if the units and/or components are undergoing design changes and improvements. For example, we continue to develop the Guardian XO to reduce its weight prior to commercial launch. If we are unable to enter into definitive agreements or are only able to do so on terms that are less commercially favorable to us, our expected contract manufacturing costs could increase and/or we may need to develop our own manufacturing and production capabilities. We have recently conducted an extensive evaluation process with a number of potential contract manufacturing partners and expect to generally outsource manufacturing of our products. However, engaging with a manufacturing partner will likely require significant time, ramp-up, testing and coordination before high-volume production capability by the partner is achieved. While we currently do not anticipate high-volume production by a contract manufacturing partner to be in place until at least the end of 2023, we do expect to engage with a contract manufacturing partner that will produce a high percentage of our products from the commencement of initial commercial production.</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current estimates for completion of our pre-commercialization development efforts and the commencement of initial production and delivery of commercial units to customers of the Guardian XO, Guardian XT and Sapien 6M are dependent on our ability to continue to hire and retain qualified employees and the availability of components on a timely basis. In addition, we have seen a significant increase in personnel and materials costs due to shortages of qualified personnel in the labor market and general inflationary pressures. Geopolitical events, such as the continuing effects of the COVID-19 pandemic and the current conflict between Russia and Ukraine, and responses thereto are also contributing to supply shortages and price increases. Over the past year we have experienced, and we continue to experience, challenges in both of these areas, which have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8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 xml:space="preserve">Also, if ongoing product testing demonstrates that the units have not been designed or assembled to deliver the performance, reliability and/or safety that we expect, initial production of commercial units and therefore initial delivery to customers may be delayed as we work to address the deficiencies. For example, we continue to re-design and develop the Guardian XO to reduce its weight and incorporate customer feedback prior to commercial launch while we prioritize the commercialization of the Guardian XT and Sapien 6M as discussed above in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Delays in the commercial launch of our products will result in a commensurate delay in revenue and profitability.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the delay in the commercial launch of the Guardian XO to the second half of 2023 will defer revenue related to Guardian XO sales or RaaS subscriptions previously projected for a particular period to later periods. As a result, our results of operations and financial condition may be materially and adversely affected. In addition, delays in developing and releasing products with the performance, reliability and/or safety we and our potential customers are expecting could materially harm our reputation and lead potential customers to seek alternative solutions. If we experience further delays in the commercial release of our products, our results of operations and financial condition would be further adversely affected, perhaps materially.</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 We have not yet identified all of the suppliers that we are likely to rely on to support any future commercialization of our products.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rely on third-party suppliers for the provision and development of many of the key components and materials used in our products. We have not yet identified all of the suppliers, contractors and other third parties that we are likely to rely on to support the future commercialization of our products. While we plan to obtain components from multiple sources whenever possible, some of the components used in our products may have to be purchased by us from a single source and some may only be available from a sole source, for example, if we have developed custom components with a supply partner. If our third-party suppliers are unable to supply key components and materials in the required volumes, at the needed times or at acceptable prices, our sales, revenues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for their products for which we plan to use or provide warranties that are necessary for our solutions. If we are unable to obtain components and materials used in our products from our suppliers, our business would be adversely affected.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 w:name="page40"/>
    <w:bookmarkEnd w:id="39"/>
    <w:p>
      <w:pPr>
        <w:jc w:val="both"/>
        <w:spacing w:after="0" w:line="245"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manufacturing units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could affect our costs and component availability and have a material adverse effect on our business, prospects, financial condition and operating results.</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Moreover, we and our suppliers are currently experiencing increases in the cost of and an interruption in the supply or shortage of materials. We have experienced and are experiencing significant lead-times, delays, costs and quality issues with the supply of our parts, materials and components. It is unclear how long these challenges will remain. Due to the complexity of our products, each unit contains several thousand components. Difficulty securing any components and materials has resulted and could continue to result in delays in the development of the Guardian XO and could result in delays in the development of our other products, which delays could be compounded if components or products require redesign or reengineering, as discussed under</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Initial production of commercial units of our core products, the Guardian XO, Guardian XT and Sapien 6M, may be delayed beyond our current expectations and therefore initial delivery to customers and receipt of anticipated revenue could be delayed. </w:t>
      </w:r>
      <w:r>
        <w:rPr>
          <w:rFonts w:ascii="Times New Roman" w:cs="Times New Roman" w:eastAsia="Times New Roman" w:hAnsi="Times New Roman"/>
          <w:sz w:val="18"/>
          <w:szCs w:val="18"/>
          <w:color w:val="auto"/>
        </w:rPr>
        <w:t>Any sustained supply interruption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shortage or cost increases that result in our products being priced beyond what customers are willing to pay would prevent or delay the commercialization of our products or require us to sell products at a loss until we are able to reduce costs, whether through volume production synergies or otherwise, either of which could materially and negatively impact our business, prospects, financial condition and operating results. For example, as a result of the war in Ukraine it has been very difficult to get parts anodized. We and our suppliers use various materials in our businesses and products, including for example semiconductors, energy storage materials, commodity materials and specialty metal alloys, and the prices for these materials fluctuate. The available supply of some of these materials and components is currently and may continue to be unstable, depending on market conditions and global demand, and could adversely affect our business and operating results. Risks relating to our supply chain also include:</w:t>
      </w:r>
    </w:p>
    <w:p>
      <w:pPr>
        <w:spacing w:after="0" w:line="296"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American” or other similar requirements that may be imposed on government contractors;</w:t>
      </w:r>
    </w:p>
    <w:p>
      <w:pPr>
        <w:spacing w:after="0" w:line="306"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decrease in the available supply, of semiconductor chips, electrical components, commodity materials and specialty alloys;</w:t>
      </w:r>
    </w:p>
    <w:p>
      <w:pPr>
        <w:spacing w:after="0" w:line="2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w:t>
      </w:r>
    </w:p>
    <w:p>
      <w:pPr>
        <w:spacing w:after="0" w:line="319"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events and conditions, such as inflation, labor shortages and war, as well as responses to such events and conditions (e.g., economic sanctions);</w:t>
      </w:r>
    </w:p>
    <w:p>
      <w:pPr>
        <w:spacing w:after="0" w:line="2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lithium-ion batteries due to quality issues, recalls or other factors;</w:t>
      </w:r>
    </w:p>
    <w:p>
      <w:pPr>
        <w:spacing w:after="0" w:line="30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global logistics, such as increased rates, constrained capacity and extended shipping delays; and</w:t>
      </w:r>
    </w:p>
    <w:p>
      <w:pPr>
        <w:spacing w:after="0" w:line="319"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any foreign currencies in which manufactured parts, commercial components and related raw material purchases are or may be denominated against the U.S. dollar.</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business is dependent on the continued supply of lithium-ion battery cells. While we have sourced a supplier of such cells, that supplier is not obligated to provide such cells to us and in any event may not be able or willing to meet all our requirements, especially as we commercialize our products. Any disruption in the supply of battery cells from such suppliers could disrupt production of our products. Furthermore, fluctuations or shortages in raw materials or components and other economic conditions may cause us to experience significant increases in freight charges and material costs. Substantial increases in the prices for our materials, such as those charged by battery cell suppliers, would increase our operating costs, and could reduce our margins if the increased costs cannot be recouped through increased RaaS subscription offering or unit sales prices. Any attempts to increase product prices in response to increased material costs could result in cancellations of orders and reservations and therefore materially and adversely affect our brand, business, prospects, financial condition and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very limited experience commercializing our products and may not be able to do so efficiently or effectively.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Although we have sold products to individual customers in the past, we have very limited experience commercializing robotic systems at a large scale and may not be able to do so efficiently or effectively. Moreover, commercialization may be delayed due to the challenges discussed under </w:t>
      </w:r>
      <w:r>
        <w:rPr>
          <w:rFonts w:ascii="Times New Roman" w:cs="Times New Roman" w:eastAsia="Times New Roman" w:hAnsi="Times New Roman"/>
          <w:sz w:val="18"/>
          <w:szCs w:val="18"/>
          <w:b w:val="1"/>
          <w:bCs w:val="1"/>
          <w:i w:val="1"/>
          <w:iCs w:val="1"/>
          <w:color w:val="auto"/>
        </w:rPr>
        <w:t>Initial production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commercial units of our core products, the Guardian XO, Guardian XT and Sapien 6M, may be delayed beyond our current expectations and therefore initial delivery to customers and receipt of anticipated revenue could be delayed. </w:t>
      </w:r>
      <w:r>
        <w:rPr>
          <w:rFonts w:ascii="Times New Roman" w:cs="Times New Roman" w:eastAsia="Times New Roman" w:hAnsi="Times New Roman"/>
          <w:sz w:val="18"/>
          <w:szCs w:val="18"/>
          <w:color w:val="auto"/>
        </w:rPr>
        <w:t>A key element of our long-term business strategy is the continued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while responsibly managing our financial resources could have unintended negative effects on our revenues, such as by weakening the sales, marketing and maintenance and servicing infrastructures or lowering the quality of customer service.</w:t>
      </w:r>
    </w:p>
    <w:p>
      <w:pPr>
        <w:spacing w:after="0" w:line="18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will require significant capital to operate our business and fund our capital expenditures for the next several years. We currently expect to obtain outside financing to help cover production costs for product orders. In addition, although we believe we have sufficient capital to fund our business for at least the next twelve months, we expect to seek additional financing during that time to bolster our cash reserves and ensure our ability to continue to pursue our business objectives. We will need to secure additional financing prior to achieving positive operating cash flows, and we do not anticipate achieving positive operating cash flows through at least 2024. Even after achieving positive operating cash flows, we may need to raise significant amounts of additional capital to fund our business thereafter, including to finance ongoing research and development costs, manufacturing, any significant unplanned or accelerated expenses and new strategic alliances or acquisitions. The fact that we have limited experience commercializing our robotic systems on a large scale, coupled with the fact that our products represent a new product category in the commercial and industrial robotic market, means we have limited to no historical data on the demand for our robotic systems. In addition, we expect our capital expenditures to continue to be significant in the foreseeable future as we complete the designing and testing of and launch our products, and that our level of capital expenditures will be significantly affected by customer demand for our robotic systems. For example, RaaS subscriptions will require us to incur significant upfront expenditures to build our products, but we will only receive revenue over time during the term of the subscription. As a result, our future capital requirements are uncertain and actual capital requirements may be different from those we currently anticipate. We may need to seek equity or debt financing to finance a portion of our capital expenditures, and such financing might not be available to us in a timely manner or on terms that are acceptable, or at all.</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might not have sufficient resources to conduct our business as projected, both of which could mean that we would be forced to curtail or discontinue our operations.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and prospects could be materially and adversely affected.</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core products represent a new product category, and important assumptions about market demand, pricing, adoption rates and sales cycles for our current and future products may be inaccurate.</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industrial highly-dexterous mobile robotic systems, including our core products the Guardian XO, Guardian XT and Sapien 6M, are a new product category in markets that are currently dominated by conventional, manual systems and automation. The market demand for and adoption of our products is unproven, and important assumptions about the characteristics of targeted markets (including our estimates of our total addressable market and serviceable obtainable market), pricing (including our analysis of potential customers’ willingness to pay), manufacturing capacity and capabilities and sales cycles (including the timing of achieving commercial sales volumes and associated manufacturing cost synergies) may be inaccurate. Although we have engaged in ongoing dialogue with potential customers, we have no outstanding binding commitments with commercial customers to purchase or to enter into RaaS subscriptions for our core products, the Guardian XO and Guardian XT. While we do have binding commitments with commercial customers to develop and purchase Sapien products, sales volumes under these commitments are relatively limited. Existing or new regulatory or safety standards, or resistance by customer employees and labor unions, all of which are outside of our control, could cause delays or otherwise impair adoption of our products, which could materially and adversely affect our growth, operating results, financial condition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jc w:val="both"/>
        <w:spacing w:after="0" w:line="250" w:lineRule="auto"/>
        <w:rPr>
          <w:sz w:val="20"/>
          <w:szCs w:val="20"/>
          <w:color w:val="auto"/>
        </w:rPr>
      </w:pPr>
      <w:r>
        <w:rPr>
          <w:rFonts w:ascii="Times New Roman" w:cs="Times New Roman" w:eastAsia="Times New Roman" w:hAnsi="Times New Roman"/>
          <w:sz w:val="18"/>
          <w:szCs w:val="18"/>
          <w:color w:val="auto"/>
        </w:rPr>
        <w:t>and prospects. Given the evolving nature of the markets in which we operate, it is difficult to predict customer demand or adoption rates for our products or the future growth of the markets we expect to target. If one or more of the targeted markets experience a shift in customer demand, whether due to new solutions that better address customer needs or otherwise, our products may not compete as effectively, if at all, and they may not be fully developed into commercial products. If demand does not develop as estimated or if we cannot accurately forecast pricing, adoption rates and sales cycle for our products, our business, results of operations and financial condition will be adversely affected, perhaps materially.</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With many of our products still under development, we have limited current customers and no binding orders for the upcoming commercial version of our core products, the Guardian XO, Guardian XT and Sapien 6M, and expected customer trials and discussions with respect to those products may not result in binding orders or subscriptions.</w:t>
      </w:r>
    </w:p>
    <w:p>
      <w:pPr>
        <w:spacing w:after="0" w:line="1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currently believe that we will begin initial production of commercial units of the Guardian XT and the Sapien 6M by the end of 2022 for delivery to customers in early 2023 and begin initial production of commercial units of the Guardian XO in the second half of 2023. With these core products still under development, we have limited current customers and no binding customer commitments for the commercial version of these products. At present, we have contracts for delivery of pre-production units with U.S. government customers and we also have had and currently have revenue generating contracts with both commercial and U.S. government customers for the development and testing of our Guardian XO and Guardian XT products. Although we have engaged in dialogue with potential customers about their interest in these core products, expected customer trials and discussions may not result in binding purchase orders or RaaS subscriptions. We have limited knowledge of the customer testing that will be required in order for customers to adopt our robotic systems. As such, customer testing may be longer than anticipated by us, and we may not be able to provide such testing to the satisfaction of prospective customers, which could result in longer sales cycles and fewer orders than anticipated. In addition, in order to build and maintain our business, we must maintain confidence among customers, suppliers, analysts, ratings agencies and other parties in our robotic systems, long-term financial viability and business prospects. Maintaining such confidence may be particularly complicated by certain factors including those that are largely outside of our control, such as our limited commercial experience, customer unfamiliarity with our products, any delays in scaling production, ability of manufacturing and service operations to meet demand, competition and uncertainty regarding the future of robotics. If we do not receive a sufficient number of binding purchase orders or RaaS subscriptions for our core products, our business, prospects, financial condition and operating results would be materially and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of our products to customers and projected return on investment have not been substantiated through long-term trials or use.</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core products, the Guardian XO, Guardian XT and Sapien 6M, are still under development and their benefits to customers and projected return on investment have not been substantiated through long-term trials or use. We currently have a limited frame of reference by which to evaluate the performance of our robotic systems upon which our business prospects depend, and our products may not provide the expected benefits to customers. Our robotic systems may not perform consistent with customers’ expectations or consistent with other robotics products which may become available. Any failure of our robotic systems and software to perform as expected could harm our reputation and result in adverse publicity, lost revenue, order cancellation, harm to our brand,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robotics market could, by association, have a negative impact on perception and customer demand for our robotic systems.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at all.</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core products are still under development. We have very limited experience commercializing our products and may not be able to do so efficiently or effectively. Although we have engaged in ongoing dialogue with potential future customers, there are currently no binding commitments with commercial customers to purchase or enter into RaaS agreements with respect to our Guardian XO and Guardian XT products. Further, although we have binding commitments with commercial customers to develop and purchase our Sapien products, these commitments are for relatively limited quantities and we will need to grow our sales of our Sapien products. To grow our customer base, we must achieve binding commitments from expected customers and add new customers, which we may not be able to do in sufficient numbers or at all. Even if we are able to attract customers, these customers may not maintain a high level of commitment to our products or purchase our products in large volumes. In addition, we will incur marketing, sales or other expenses, including referral fees, to attract new customers, which will offset revenues from such customers. For these and other reasons, we could fail to achieve revenue growth, which would adversely affect our results of operations, prospects and financial condition.</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customers or their employees do not perceive our product offerings to be of value or to be easy and comfortable to use, we may not be able to attract and retain customers and customers may fail to purchase additional units or renew their RaaS subscriptions. If our efforts to satisfy and retain our existing customers are not successful, we may not be able to attract customers, and as a result, our ability to maintain and/or grow our business will be adversely affected. Customers may fail to purchase additional units or cancel their subscription for many reasons, including difficulties by employees in using the products, customers not using the robotic systems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jc w:val="both"/>
        <w:spacing w:after="0" w:line="247" w:lineRule="auto"/>
        <w:rPr>
          <w:sz w:val="20"/>
          <w:szCs w:val="20"/>
          <w:color w:val="auto"/>
        </w:rPr>
      </w:pPr>
      <w:r>
        <w:rPr>
          <w:rFonts w:ascii="Times New Roman" w:cs="Times New Roman" w:eastAsia="Times New Roman" w:hAnsi="Times New Roman"/>
          <w:sz w:val="18"/>
          <w:szCs w:val="18"/>
          <w:color w:val="auto"/>
        </w:rPr>
        <w:t>sufficiently, negative reception by employees or labor unions and customer service or maintenance and servicing issues that are not satisfactorily resolved. Customer retention will also be largely dependent on the quality and effectiveness of our customer service and maintenance and servicing operations, which may be handled internally by our personnel and also by third-party service providers. Outsourcing of certain customer service and claims administration or maintenance and servicing functions may reduce our ability to ensure consistency in our overall customer service processes. If we are unable to successfully retain existing customers and attract new customers and achieve volume sales of our products, our business, prospects, financial condition and operating results will be materially and adversely affected.</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market our products, the purchase or subscription, adoption and use of the products may be materially and negatively impacted if the employees of our customers resist the use and adoption of the products.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designing our robotic systems with the goal of augmenting the workforce to increase productivity and reduce workplace injuries. Even if we successfully market our products to customers, the purchase or subscription, adoption and the use of the products may be materially and negatively impacted if the employees of our customers resist the use and adoption of the products. Customer employees may resist the adoption of our products for several reasons, including lack of instruction on how to safely and effectively use the units, a perception that the benefit of the use of the products does not outweigh the perceived difficulties or discomfort associated with use, resistance by labor unions and workplace injuries resulting from use of the products, among others. We are spending significant time and resources on pre-commercial units of our Guardian XO, Guardian XT and Sapien 6M products for customer testing. If the employees of our customers resist adoption of our robotic systems, our business, prospects, financial condition and operating results will be materially and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RaaS subscription model has yet to be tested and may fail to gain commercial acceptance.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success of our strategy to build recurring revenue streams through our RaaS subscription model depends on our ability to successfully market our products and the benefits to customers of the RaaS subscription model and to successfully develop a network of ongoing customers for our new RaaS revenue model. Investors should be aware of the difficulties normally encountered by a new business model, many of which are beyond our control, including substantial risks and expenses while establishing or entering new markets, setting up operations and undertaking marketing activities. Customers may not perceive benefits to the RaaS subscription model.</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Because we will continue to own units while they are used by our RaaS customers, we will be subject to risks associated with ongoing ownership of the units, including the risks of deterioration, damage or theft and higher maintenance and servicing costs, as well as potential product liability risks. All of these could result in higher costs to us, and could lead to customer dissatisfaction. The likelihood of our success must be considered in light of these risks, expenses, complications and delays and the competitive environment in which we operate. There is, therefore, nothing at this time upon which to base an assumption that our RaaS business model will prove successful.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successful in commercializing our products, our revenue will be concentrated in a limited number of models for the foreseeable future.</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If we are successful in commercializing our products, our revenue will be concentrated in a limited number of models for the foreseeable future. We currently believe that we will begin initial production of commercial units of the Guardian XT and Sapien 6M by the end of 2022 for delivery to customers in early 2023 and begin initial production of commercial units of the Guardian XO in the second half of 2023. Such timeline may be delayed, including due to challenges in recruiting skilled employees, difficulties in securing components and materials, development delays, difficulties relating to manufacturing of the units and other factors. See </w:t>
      </w:r>
      <w:r>
        <w:rPr>
          <w:rFonts w:ascii="Times New Roman" w:cs="Times New Roman" w:eastAsia="Times New Roman" w:hAnsi="Times New Roman"/>
          <w:sz w:val="18"/>
          <w:szCs w:val="18"/>
          <w:b w:val="1"/>
          <w:bCs w:val="1"/>
          <w:i w:val="1"/>
          <w:iCs w:val="1"/>
          <w:color w:val="auto"/>
        </w:rPr>
        <w:t>Initial production of commercial units of our core products, the Guardian XO, Guardian XT and Sapien 6M,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delayed beyond our current expectations and therefore initial delivery to customers and receipt of anticipated revenue could be delayed. </w:t>
      </w:r>
      <w:r>
        <w:rPr>
          <w:rFonts w:ascii="Times New Roman" w:cs="Times New Roman" w:eastAsia="Times New Roman" w:hAnsi="Times New Roman"/>
          <w:sz w:val="18"/>
          <w:szCs w:val="18"/>
          <w:color w:val="auto"/>
        </w:rPr>
        <w:t>Such challenges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result in delay of the anticipated commercial launch of one or more of our core products, which would adversely affect our financial and operating results. Further, although we have expanded our product offering through the acquisition of RE2 and its Sapien products, we expect that our revenue will still be concentrated in a relatively limited number of models for the foreseeable future, and we will need to continue to develop the Sapien products and expand the customer base for these products to diversify our revenues and customers. To the extent our products do not meet customer expectations, or cannot be completed or manufactured on their projected timelines and in line with cost and volume targets, our future sales and operating results may be adversely affected. Given that for the foreseeable future our business will depend on a limited number of models, both before and after we begin commercial sales of our Guardian XO, Guardian XT and Sapien products, to the extent a particular model is not well-received by the market, our sales volumes and revenues would likely be materially and adversely affected, which would have a material adverse effect on our business, prospects, financial condition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or enhance our product offerings through our research and development efforts.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jc w:val="both"/>
        <w:spacing w:after="0" w:line="247" w:lineRule="auto"/>
        <w:rPr>
          <w:sz w:val="20"/>
          <w:szCs w:val="20"/>
          <w:color w:val="auto"/>
        </w:rPr>
      </w:pPr>
      <w:r>
        <w:rPr>
          <w:rFonts w:ascii="Times New Roman" w:cs="Times New Roman" w:eastAsia="Times New Roman" w:hAnsi="Times New Roman"/>
          <w:sz w:val="18"/>
          <w:szCs w:val="18"/>
          <w:color w:val="auto"/>
        </w:rPr>
        <w:t>In order to commence initial production of commercial units of our core products, we will need to complete our development efforts. We will also likely need to continue to advance and evolve our products in response to the evolving demands of our customers in the various industries we expect to serve. We currently believe that we will begin initial production of commercial units of the Guardian XT and the Sapien 6M by the end of 2022 for delivery to customers in early 2023, and begin initial production of commercial units of the Guardian XO in the second half of 2023. Further, the other models forming our Sapien product line are in various stages of development and commercialization. We will incur significant additional product development efforts and expenses, and we may not be successful in commercializing or marketing our core products at all or within our currently expected timelines.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notwithstanding our market research efforts, our current and future products may not be accepted by customers or their employees. The success of any proposed product offerings will depend on numerous factors, including our ability to:</w:t>
      </w:r>
    </w:p>
    <w:p>
      <w:pPr>
        <w:spacing w:after="0" w:line="149"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recruit and retain qualified personnel, including engineers, design and production personnel and service technicians;</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preferred product features in multiple industries, such as aerospace, automotive, logistics, defense, oil and gas, power and utilities, construction and manufacturing, and successfully incorporate those features into our products;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proposed products in sufficient quantities and in a timely manner;</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productivity, efficacy and safety benefits of our products.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managed and expect to continue to manage our product development efforts through the development of alpha units, beta units and commercial units, though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products. If we fail to generate demand by developing products that incorporate features desired by customers or their employees, we may fail to generate revenues sufficient to achieve or maintain profitability. We have in the past experienced, are experiencing and may in the future experience, delays in various phases of product development, including during research and development, manufacturing, limited release testing,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or subscriptions to our products, or to purchase or subscribe for competitors’ products. Even if we are able to successfully develop our products when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to cancel or to not renew RaaS subscriptions, which would adversely affect our business, prospects, financial condition and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(such as industrial automation) or competitors' products that utilize similar technology to ours (such as artificial intelligence) in a more effective way. Although we believe that by seeking to augment, rather than replace, humans for jobs that cannot be or are not practical to be automated, our products will be superior to the artificial intelligence and industrial automation products currently available, we cannot be sure that alternative technologies or improvements to artificial intelligence, industrial automation or other technologies, processes or industries will not match or exceed the benefits introduced by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decreased revenue and a loss of market share to competitors. Our research and development efforts may not be sufficient to adapt to new or changing technologies. While we plan to upgrade and adapt our robotic systems as we or others develop new technology, our robotic systems may not compete effectively with alternative products if we are not able to source and integrate the latest technology into our units.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design, manufacture and marketing of our products involve certain inherent risks. Manufacturing or design defects, glitches, malfunctions, connectivity issues between the central processing unit and the robotic system, unanticipated use of our robotic systems, user errors or inadequate disclosure of risks relating to the use of the robotic systems, among others, can lead to injury, property damage or other adverse events. For example, the absence of redundant sub-systems in the Guardian XO could result in injury to person or property if a sub-system fails while the robot is in use. We conduct extensive testing of our units, in some instances in collaboration with our customers, to ensure that any such issues can be identified and addressed in advance of commercial launch of the products. However, we may not be able to identify all such issues or that, if identified, efforts to address them may not be effective in all cases, and our product testing may not be adequate. Injuries to users have occurred during the testing of our products. In each case, we conducted thorough investigations to identify the cause or causes of each incident and, when appropriate, implemented changes to testing protocols or to the units to prevent such incidents from reoccurring. However, any implemented improvements may not fully prevent similar or other incidents in the future. Users of the Guardian XO will be wearing the unit while it is in use, which could worsen the consequences of an accident. Moreover, because of the size and weight of the units, and the nature and variability of the environments in which we expect our products to be used, such as manufacturing and assembly lines, construction, field service and warehouses for the Guardian XO and hazardous environments and at-height for the Guardian XT, adverse events relating to the use of our products could include significant injuries or even death. To the extent that design defects, glitches, malfunctions or connectivity issues between the central processing unit and the robotic system are discovered during or after the production of pre-commercial and/or commercial units, we will experience delays in the initial production and/or continued production of our commercial products while the issues are resolved. If the issues cannot be adequately resolved, production of commercial units may not occur and/or resume.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are designing the Guardian XO to include important safety features and accommodate customer-specialized protective gear and fall-prevention devices, we may not be able to successfully incorporate sufficient redundancy or other safety features to avoid injuries in the commercial products.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we may not be aware of manufacturing defects until injury to person or property has occurred. Such adverse events could lead to recalls or safety alerts relating to our products (either voluntary or required by governmental authorities), and could result, in certain cases, in the removal of our products from the market. A recall could result in significant costs. To the extent any manufacturing defect occurs, and such products are manufactured for us by third parties,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approvals.</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products incorporate sophisticated computer software and firmware. Complex software and firmware frequently contain errors, especially when first introduced. Our software and/or firmware may experience errors or performance problems in the future. If any part of our products’ hardware or software were to fail, the user could experience serious injury or even death. Additionally, users may not use our products in accordance with safety protocols and training, which could amplify the risk of death or injury. Customers and users also may fail to install updates and fixes to the software for several reasons including poor connectivity, inattention or failure to regularly dock Guardian XO units. Any such occurrence could cause delay in market acceptance of our products, damage to our reputation, product recalls, increased service and warranty costs, product liability claims and loss of revenue.</w:t>
      </w:r>
    </w:p>
    <w:p>
      <w:pPr>
        <w:spacing w:after="0" w:line="18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defects in the design or manufacture of our products. A product liability claim, regardless of its merit or eventual outcome, could result in significant legal defense costs and high punitive damage payments, damage to our reputation or require significant costs to redesign or fix our products.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users sustain any injuries while operating our products, we could be exposed to liability and our results of operations, financial condition and our reputation may be adversely affected.</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For example, we are developing the Guardian XT unit as an augmented or mixed reality-enabled highly-dexterous teleoperated robotic system to perform intricate and even dangerous tasks. We expect that users will control the unit at a distance by utilizing augmented reality teleoperation. While we expect to develop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users were to sustain injuries or cause damage to property while operating our products, in a manner consistent with our training and instructions or otherwise, we could be exposed to liability and our results of operations, financial condition and our reputation may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experience maintaining or servicing our products at a large scale.</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Under the RaaS subscription model, we will be responsible for maintenance and servicing of the units. However, we have no experience providing maintenance and servicing at a large scale. We may elect to partner with one or more third parties to perform some or all of the servicing and maintenance on our products, but we may not be able to enter into an acceptable arrangement with any such third-party provider. Although such servicing partners may have experience in servicing complex machinery, they will initially have limited experience in servicing our robotic systems. If we are unable or elect not to enter into a partnership with third parties to perform maintenance and servicing, we would be required to provide such services directly, which would significantly increase our capital expenditures and personnel costs. We would also be required to recruit and train employees to provide these services and we may not be able to attract persons with the necessary knowledge or experience to provide these services. Delays in implementing a maintenance and servicing infrastructure may significantly delay new RaaS subscriptions due to smaller than expected maintenance and servicing capacity.</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our service and maintenance arrangements may not adequately address the service and maintenance requirements of our customers to their satisfaction, and we and our servicing partners may not have sufficient resources, experience or inventory to meet these service requirements in a timely manner as the volume of robotic systems we deliver increases. Even if we and our servicing partners have the resources and experience needed, we and our servicing partners still may not adequately service or maintain the units. If we are unable to, directly or through third-party partners, roll out and establish a widespread service network, including on-site services, customer satisfaction could be adversely affected, which in turn could materially and adversely affect our reputation and thus our sales, results of operations and prospects.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customers will also depend on our customer support team to resolve technical and operational issues relating to the integrated software underlying our robotic systems. In addition, the RaaS subscription model will require us to cover costs relating to servicing and maintenance of the robotic systems. Customer behavior and usage may result in higher-than-expected maintenance and repair costs. Moreover, if RaaS customers do not pay the subscription fee while the units are out of service, there could be an adverse impact on our financial condition and operating results.</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we continue to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operating results. If we are unable to successfully address the service requirements of our customers or we establish a market perception that we do not maintain high-quality support, we may be subject to claims from our customers, including loss of revenue or damages, and our business, prospects, financial condition and operating results may be materially and adversely affected.</w:t>
      </w:r>
    </w:p>
    <w:p>
      <w:pPr>
        <w:spacing w:after="0" w:line="16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intend to outsource the manufacturing of our robotic systems to a third-party manufacturing partner, which would reduce our direct control over production and manufacturing. Such diminished control may have an adverse effect on the quality or quantity of our units, or our flexibility to respond to changing conditions. In addition, engaging a third-party manufacturer involves significant time, ramp-up, testing and coordination before high-volume production capability by the partner is achieved. While we currently do not anticipate high-volume production by a contract manufacturing partner to be in place until at least the end of 2023, we do expect to engage with a contract manufacturing partner that will produce a high percentage of our products from the commencement of initial commercial production.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such systems and components may not be successfully developed to our specifications or delivered in a timely manner to meet our program timing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continued development and manufacturing of our products are and will be subject to risks, including with respect to:</w:t>
      </w:r>
    </w:p>
    <w:p>
      <w:pPr>
        <w:spacing w:after="0" w:line="198" w:lineRule="exact"/>
        <w:rPr>
          <w:sz w:val="20"/>
          <w:szCs w:val="20"/>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the need to order supplies in excess of demand due to minimum quantity requirements or price thresholds;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be incurred by us and/or any third-party manufacturing partner or partners in meeting our specifications and design tolerances;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 or other pandemics, epidemics or outbreaks;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a sufficient number of qualified employees (we have historically been understaffed due to these challenges);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and short-term durability of our robotic systems to withstand day-to-day wear and tear;</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of final systems and components by our suppliers;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of robotic systems units in excess of demand due to contractual requirements or unexpected changes in demand;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for our products or new product feature requirements;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controls, particularly as we plan to expand our production capabilities;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national or global economic or political conditions, including inflation and interest rates;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labor strikes and other labor disputes affecting us or our suppliers, third-party manufacturers and other partners;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delays and cost overruns.</w:t>
      </w: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strategic alliances or acquisitions and may not be able to identify adequate strategic relationship opportunities, or form strategic relationships, in the future.</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jc w:val="both"/>
        <w:spacing w:after="0" w:line="250" w:lineRule="auto"/>
        <w:rPr>
          <w:sz w:val="20"/>
          <w:szCs w:val="20"/>
          <w:color w:val="auto"/>
        </w:rPr>
      </w:pPr>
      <w:r>
        <w:rPr>
          <w:rFonts w:ascii="Times New Roman" w:cs="Times New Roman" w:eastAsia="Times New Roman" w:hAnsi="Times New Roman"/>
          <w:sz w:val="18"/>
          <w:szCs w:val="18"/>
          <w:color w:val="auto"/>
        </w:rPr>
        <w:t>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5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Our success also depends, in part, on our continuing ability to identify, hire, attract, train and develop other highly qualified personnel.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headquarters are in Salt Lake City, Utah, which has fewer highly skilled employees in the robotics field than other major metropolitan areas. To attract and retain key personnel, we may need to open offices in other areas of the country, which could increase costs and reduce productivity. As a result of our acquisition of RE2, a significant number of our employees are located in Pittsburgh, Pennsylvania. As an organization, we do not have meaningful experience managing two large facilities and employee bases in different geographies and across different time zones. Any failure by our management team and our employees to perform as expected may have a material adverse effect on our ability to design, manufacture and launch our products or to operate our business and compete, as well as on our business, prospects, financial condition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publicly-traded company.</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Although some members of our management have public company experience, our management team may not successfully or effectively manage its transition to operating as a public company subject to significant regulatory oversight and reporting obligations under U.S. securities laws. Our executive officers as a group have limited experience in the management of a publicly-traded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will need to recruit additional persons to join our management team in order to handle the increased demands of running a public company, but our efforts may not be successful. We may not have adequate personnel with the appropriate level of knowledge, experience and training in the accounting policies, practices or internal control over financial reporting required of public companies. Any failure by our management team to effectively and efficiently meet our obligations as a publicly-traded company could have a material adverse effect on our business, prospects, financial condition and operating results and/or result in legal liability or other negative consequences.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and these expenses may increase even more as we continue to implement and strengthen controls, processes and systems and to hire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will be devoting a substantial amount of time to these compliance initiatives. We have expanded our employee base and we will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difficult and more expensive for us to obtain director and officer liability insurance and we have incurred substantially higher costs to obtain appropriate coverage than we incurred as a private company. We cannot accurately predict or estimate the amount or timing of all the additional costs we may incur. The impact of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could have a material adverse effect on our business, financial condition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impacts from COVID-19 or another pandemic, epidemic or outbreak of an infectious disease may materially and adversely impact our business, prospects, financial condition and operating results.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ongoing COVID-19 pandemic has adversely impacted our business, and it, as well as other possible health pandemics, epidemics or outbreaks, may materially and adversely impact our business, prospects, financial condition and operating results in the future. Our engineering and product development operations, among others, cannot all be conducted in a remote working structure and often require on-site access to materials and equipment. We have customers with international operations in varying industries. We also depend on suppliers and manufacturers worldwide. We are currently experiencing</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disruptions in our supply chain, as discussed in “—</w:t>
      </w:r>
      <w:r>
        <w:rPr>
          <w:rFonts w:ascii="Times New Roman" w:cs="Times New Roman" w:eastAsia="Times New Roman" w:hAnsi="Times New Roman"/>
          <w:sz w:val="18"/>
          <w:szCs w:val="18"/>
          <w:i w:val="1"/>
          <w:iCs w:val="1"/>
          <w:color w:val="auto"/>
        </w:rPr>
        <w:t>We are dependent on our suppliers, some of which are currently single, sole or limited source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inability of these suppliers to deliver necessary components of our products at the prices and volumes, performance, timing and specifications acceptable to us, could have a material adverse effect on our business, prospects, financial condition and operating results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have not yet identified all of the suppliers that we are likely to rely on to support any future commercialization of our core products.</w:t>
      </w:r>
      <w:r>
        <w:rPr>
          <w:rFonts w:ascii="Times New Roman" w:cs="Times New Roman" w:eastAsia="Times New Roman" w:hAnsi="Times New Roman"/>
          <w:sz w:val="18"/>
          <w:szCs w:val="18"/>
          <w:color w:val="auto"/>
        </w:rPr>
        <w:t>” Depending upon the duration of the ongoing</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COVID-19 pandemic and the associated business interruptions, which may linger for some time even if significant health risks abate, our customers, suppliers, manufacturers and partners may suspend or delay their engagement with us, which could result in a material adverse effect on our financial condition and ability to meet current timelines. The COVID-19 pandemic has adversely affected and may continue to adversely affect our ability to recruit skilled employees to join our team and to meet our product development timelines. Our response to the ongoing COVID-19 pandemic and its ongoing impacts on our supply chain and business activities may prove to be inadequate, and we may be unable to continue our operations in the manner we had prior to the outbreak and may endure interruptions, reputational harm and delays in our product development and shipments, any of which could have a material adverse effect on our business, prospects, financial condition and operating results. In addition, when the COVID-19 pandemic subsides, we cannot assure you as to the timing of any economic recovery or return to normal supply chain conditions, which could continue to have a material adverse effect on our target markets and our business.</w:t>
      </w:r>
    </w:p>
    <w:p>
      <w:pPr>
        <w:spacing w:after="0" w:line="18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and a failure to comply with such regulations could lead to withdrawal or recall of our products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or make our business unviable if we are unable to modify our products to comply.</w:t>
      </w:r>
    </w:p>
    <w:p>
      <w:pPr>
        <w:spacing w:after="0" w:line="155"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We may become subject to new or changing international, national, state and local regulations, including laws relating to the design, manufacturing, marketing, distribution, servicing or use of our products. Such laws and regulations may require us to pause sales and modify our products, which would likely result in a material adverse effect on our revenues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delays in the design, development, production and launch of our robotic systems, which could harm our business, prospects, financial condition and operating results.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Our core products, the Guardian XO, Guardian XT and Sapien 6M, are still in the development and testing phase. We currently believe that we will begin initial production of commercial units of the Guardian XT and Sapien 6M by the end of 2022 for delivery to customers in early 2023, and begin initial production of commercial units of the Guardian XO in the second half of 2023. However, these events may occur later or not at all and therefore delivery of our various products to customers could be beyond these estimated dates. Such timelines may be delayed, including due to challenges in recruiting skilled employees, difficulties in securing components and materials, design and development delays, difficulties relating to manufacturing of the units and other factors discussed under </w:t>
      </w:r>
      <w:r>
        <w:rPr>
          <w:rFonts w:ascii="Times New Roman" w:cs="Times New Roman" w:eastAsia="Times New Roman" w:hAnsi="Times New Roman"/>
          <w:sz w:val="17"/>
          <w:szCs w:val="17"/>
          <w:b w:val="1"/>
          <w:bCs w:val="1"/>
          <w:i w:val="1"/>
          <w:iCs w:val="1"/>
          <w:color w:val="auto"/>
        </w:rPr>
        <w:t>Initial production of commercial units of our core products, the Guardian XO, Guardian XT and Sapien 6M, may be delayed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 xml:space="preserve">beyond our current expectations and therefore initial delivery to customers and receipt of anticipated revenue could be delayed. </w:t>
      </w:r>
      <w:r>
        <w:rPr>
          <w:rFonts w:ascii="Times New Roman" w:cs="Times New Roman" w:eastAsia="Times New Roman" w:hAnsi="Times New Roman"/>
          <w:sz w:val="17"/>
          <w:szCs w:val="17"/>
          <w:color w:val="auto"/>
        </w:rPr>
        <w:t>Any delay in the design,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production and release of our products could materially damage our brand, business, prospects, financial condition and operating results. We may experience delays in the design, development, production and release of new products, including due to integration, safety and performance issues. To the extent we delay the commercial launch of our robotic systems, our growth prospects and operating results will likely be adversely affected.</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to date in high volume manufacture of our products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nor do we have the facility, employees or equipment needed to manufacture our products in high volumes.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intend to enter into contracts with one or more third-party manufacturers to produce our robotic systems. Our future third-party manufacturers may not be able to develop efficient, automated, low-cost production capabilities and processes and reliable sources of component supply to enable us to meet the quality, price, engineering, design and production standards, as well as the production volumes, required to successfully mass market our robotic systems. Even if we and our third-party manufacturers are successful in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9" w:name="page50"/>
    <w:bookmarkEnd w:id="49"/>
    <w:p>
      <w:pPr>
        <w:jc w:val="both"/>
        <w:spacing w:after="0" w:line="243" w:lineRule="auto"/>
        <w:rPr>
          <w:sz w:val="20"/>
          <w:szCs w:val="20"/>
          <w:color w:val="auto"/>
        </w:rPr>
      </w:pPr>
      <w:r>
        <w:rPr>
          <w:rFonts w:ascii="Times New Roman" w:cs="Times New Roman" w:eastAsia="Times New Roman" w:hAnsi="Times New Roman"/>
          <w:sz w:val="18"/>
          <w:szCs w:val="18"/>
          <w:color w:val="auto"/>
        </w:rPr>
        <w:t>developing high-volume production capability and processes and reliably sourcing components, we may not be able to avoid significant delays and cost overruns, including as a result of factors beyond our control such as problems with suppliers and vendors or force majeure events, meet our unit commercialization schedules or satisfy customer requirements. We have recently conducted an extensive evaluation process with a number of potential contract manufacturing partners and expect to generally outsource manufacturing of our products. However, engaging with a manufacturing partner will likely require significant time, ramp-up, testing and coordination before high-volume production capability by the partner is achieved. While we currently do not anticipate high-volume production by a contract manufacturing partner to be in place until at least the end of 2023, we do expect to engage with a contract manufacturing partner that will produce a high percentage of our products from the commencement of initial commercial production. We expect that in 2023 we will have the internal capability to manufacture a total of between 300 – 500 units of a combination of Guardian XT, Guardian XO, Sapien 6M, and our existing commercial products, depending on the mix. However, we do not believe that will use all of that capacity in 2023, especially after engaging a contract manufacturing partner.</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are unable to enter into agreements with third-party manufacturers on acceptable terms, we will need to develop our own manufacturing and production capabilities, significantly increasing our capital expenditures and delaying production of our robotic systems. If this were to occur, we would need to raise or borrow additional money, which may not be available on terms acceptable to us or at all, and possibly change our product pricing expectations, which could adversely affect our margins and cash flows.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develop production processes and capabilities within our projected costs and timelines could have a material adverse effect on our business, prospects, financial condition and operating results.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products contain complex technology that requires multiple years of engineering and design. Therefore, 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 The design of our products is significantly influenced by feedback from potential customers and reflects the needs they express. Further, some of our products have been designed to meet the specific use-cases of a particular customer. As a result, adapting our products to other industries or customers may require additional design, development, testing, work and expenses. We may not be able to adapt our products to reflect such feedback successfully or at all. If customers who initially express an interest in our proposed products and influenced their design ultimately do not enter into binding commitments to purchase or enter into RaaS subscriptions for our products, or if they adopt a competitors’ technology, our business, prospects, financial condition and operating results would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costs and liability is dependent on developing sufficient screening criteria for our RaaS customers.</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ability to realize revenue and reduce liability related to our RaaS subscription model is heavily dependent on our ability to effectively screen customers for high-risk activities or environments that could result in higher costs for us. We have limited experience with our RaaS subscription model and may not be able to develop effective customer screening criteria. We may need to rely on third-party service providers to develop effective screening criteria, which will result in additional cost to us. Our screening criteria may also need to be adjusted over time to satisfy requirements under applicable law or from our insurers, lenders or other third-party service providers. We must balance the need to develop effective screening criteria with our need to attract new customers or market to different industry segments.</w:t>
      </w:r>
    </w:p>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brands. We may not succeed in continuing to establish, maintain and strengthen our brands, and our brands and reputation could be harmed by negative publicity regarding us or our products.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business and prospects are heavily dependent on our ability to develop, maintain and strengthen our brands. If we do not continue to establish, maintain and strengthen our brands, we may lose the opportunity to build a critical mass of customers. Promoting and positioning our brands will likely depend significantly on our ability to provide high quality products and engage with our customers as intended. In addition, our ability to develop, maintain and strengthen our brands may depend on the acceptance of our products by employees of our customers. To promote our brands, we may be required to change or expand our customer development and branding practices, which could result in substantially increased expenses. If we do not develop and maintain strong brands, our business, prospects, financial condition and operating results will be materially and adversely impacted.</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employees of our customers or labor unions. In particular, given the popularity of social media, any negative publicity, whether true or not, could quickly proliferate and harm perceptions and confidence in our brands. Furthermore, there is the risk of potential adverse publicity related to our manufacturing or other partners whether or not such publicity is related to their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collaboration with us. Our ability to successfully position our brands could also be adversely affected by perceptions about the quality of our competitors’ products.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expected transition to an outsourced manufacturing business model may not be successful, which could harm our ability to deliver products and recognize revenue.</w:t>
      </w:r>
    </w:p>
    <w:p>
      <w:pPr>
        <w:spacing w:after="0" w:line="1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intend to transition from a manufacturing model in which we primarily manufacture and assemble our products at a smaller scale at our facilities, to one where we rely on one or more third-party manufacturers. We are in discussions with third parties to provide contract manufacturing of our products; however, such discussions are more complicated because many of our products are still undergoing design changes and improvements. Moreover, we may not be able to contract with potential counterparties on commercially reasonable terms or at all. We believe the use of third-party manufacturers will have benefits, but in the near term, while we are beginning manufacturing with one or more new partners, we may incur delays, lost revenue and increased costs. Engaging a third-party manufacturer involves significant time, ramp-up, testing and coordination before high-volume production capability by the partner is achieved. While we currently do not anticipate high-volume production by a contract manufacturing partner to be in place until at least the end of 2023, we do expect to engage with a contract manufacturing partner that will produce a high percentage of our products from the commencement of initial commercial production.</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Reliance on third-party manufacturers reduces our control over the manufacturing process, including reduced control over quality, product costs and product supply and timing. We may experience delays in shipments or issues concerning product quality from our third-party manufacturers. If any of our third-party manufacturers experience interruptions, delays or disruptions in supplying our products, including by natural disasters, the global COVID-19 pandemic, other health epidemics and outbreaks, geopolitical events, work stoppages or capacity constraints, our ability to ship products to distributors and customers would be delayed. In addition, unfavorable economic conditions could result in financial distress among third-party manufacturers upon which we rely, thereby increasing the risk of disruption of supplies necessary to fulfill our production requirements and meet customer demands. While we take measures to protect our trade secrets, the use of third-party manufacturers may also risk disclosure of our innovative and proprietary technologies, which could adversely affect our business.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if any of our future third-party manufacturers experience quality control problems in their manufacturing operations and our products do not meet customer requirements, we could be required to recall the units or cover the cost of repair or replacement of any defective products. These delays or product quality issues could have an immediate and material adverse effect on our ability to fulfill orders and on our operating results. In addition, such delays or issues with product quality could adversely affect our reputation and our relationship with our customers.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any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and designs, and such changes could cause significant interruptions in supply and could have an adverse effect on our ability to meet our scheduled product deliveries and may subsequently lead to the loss of sales.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contract with a third-party manufacturing partner, we would need to develop our own manufacturing facilities, which may not be feasible and, if feasible, would significantly increase our capital expenditures and operating expenditures, and would significantly delay or inhibit production of our robotic systems.</w:t>
      </w:r>
    </w:p>
    <w:p>
      <w:pPr>
        <w:spacing w:after="0" w:line="176" w:lineRule="exact"/>
        <w:rPr>
          <w:sz w:val="20"/>
          <w:szCs w:val="20"/>
          <w:color w:val="auto"/>
        </w:rPr>
      </w:pPr>
    </w:p>
    <w:p>
      <w:pPr>
        <w:jc w:val="center"/>
        <w:spacing w:after="0" w:line="241" w:lineRule="auto"/>
        <w:rPr>
          <w:sz w:val="20"/>
          <w:szCs w:val="20"/>
          <w:color w:val="auto"/>
        </w:rPr>
      </w:pPr>
      <w:r>
        <w:rPr>
          <w:rFonts w:ascii="Times New Roman" w:cs="Times New Roman" w:eastAsia="Times New Roman" w:hAnsi="Times New Roman"/>
          <w:sz w:val="18"/>
          <w:szCs w:val="18"/>
          <w:color w:val="auto"/>
        </w:rPr>
        <w:t>We do not have a definitive agreement with a third-party manufacturing partner to commercially manufacture our robotic systems and we may be unable to enter into such agreements with third-party manufacturing partners and other key suppliers for manufacturing on terms and conditions acceptable to us. Although discussions are continuing with potential counterparties, such discussions are more complicated because many of our products, including the Guardian XO and Guardian XT, are still undergoing design changes and improvements. We may not be able to contract with potential counterparties on commercially reasonable terms or at all, and we may need to use our own facilities for the initial production of commercial units of our products. If we are unable to enter into such definitive agreements or are only able to do so on terms that are less commercially favorable to us, we may be unable to timely identify adequate strategic relationship opportunities, or form strategic relationships, and consequently, we may not be able to fully carry out our business plans. We may not be able to partner with third parties on acceptable terms or at all or establish our own production capacity to meet our needs. The expense and time required to complete any transition and to assure that robotic systems manufactured at facilities of new third-party partners comply with our quality standards and regulatory requirements would likely be greater than currently anticipated. If we need to develop our own manufacturing and production capabilities at our own facilities, which may not be feasible, our capital and operating expenditures would significantly increase and production of our robotic systems would be significantly delayed. We may also need to raise or borrow additional money, which may not be available on acceptable terms or at all. Further, it may require us to change the anticipated pricing of our RaaS subscription offering, which could adversely affect our margins and cash flows or make it more expensive for our customers, which could negatively affect demand for our products. Any of the foregoing could materially and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adversely affect our business, prospects, financial condition and operating results. Accordingly, investors should not place undue reliance on our statements about our production plans or their feasibility in the timeframe anticipated, or at all. We may not be able to implement our business strategy in the timeframe anticipated, or at all.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our design, research and development, production, sales and maintenance and service capabilities and building our brands. We have incurred and expect to continue incurring significant expenses which will impact our profitability, including research and development expenses (including related to developing and commercializing the Guardian XO and Guardian XT and the Sapien line of products), procurement costs, sales, marketing and distribution expenses as we build our brand and market our robotic systems and general and administrative expenses as we scale our operations, identify and commit resources to investigate new areas of demand and incur costs as a public company. Some of the factors that may lead to cost increases are outside of our control, such as national or global geopolitical and economic conditions, including inflation or increases in interest rates. In addition, we may incur significant costs servicing, maintaining and refurbishing our robotic systems, and we expect that the cost to repair and service our robotic systems will increase over time as our robotic systems age. Our ability to become profitable in the future will not only depend on our ability to complete the design and development of our robotic systems to meet projected performance metrics and identify and investigate new areas of demand and successfully market our robotic systems and RaaS subscription model, but also on our ability to sell, whether outright or through subscriptions, our robotic systems at prices needed to achieve sufficient margins and control our costs, including the risks and costs associated with operating, maintaining and financing our robotic systems. If we are unable to efficiently design, develop, manufacture, market, deploy, distribute and service our robotic systems in a cost-effective manner, our margins, profitability and prospects would be materially and adversely affected.</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and any manufacturing partners may rely on complex machinery for production, which involves a significant degree of risk and uncertainty in terms of operational performance and costs.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and our suppliers and any manufacturing partners may rely on complex machinery for the production and assembly of our robotic systems, which will involve a significant degree of uncertainty and risk in terms of operational performance and costs. Our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or machines may significantly affect the intended operational efficiency. Operational performance and costs can be difficult to predict and are often influenced by factors outside of our or any third-party manufacturing partners’ and suppliers’ control, such as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it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calamities, which could significantly disrupt our operations.</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facilities or operations or those of any third-party manufacturers or suppliers could be adversely affected by events outside of our or their control, such as natural disasters, wars, health epidemics (see - "</w:t>
      </w:r>
      <w:r>
        <w:rPr>
          <w:rFonts w:ascii="Times New Roman" w:cs="Times New Roman" w:eastAsia="Times New Roman" w:hAnsi="Times New Roman"/>
          <w:sz w:val="18"/>
          <w:szCs w:val="18"/>
          <w:i w:val="1"/>
          <w:iCs w:val="1"/>
          <w:color w:val="auto"/>
        </w:rPr>
        <w:t>Ongoing impacts from COVID-19 or another pandemic, epidemic or outbreak of an infectious disease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materially and adversely impact our business, prospects, financial condition and operating results."</w:t>
      </w:r>
      <w:r>
        <w:rPr>
          <w:rFonts w:ascii="Times New Roman" w:cs="Times New Roman" w:eastAsia="Times New Roman" w:hAnsi="Times New Roman"/>
          <w:sz w:val="18"/>
          <w:szCs w:val="18"/>
          <w:color w:val="auto"/>
        </w:rPr>
        <w:t>) and other calamities and force majeure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we have servers that are hosted both onsite and at an offsite location, our backup system does not capture data on a real-time basis and we may be unable to recover certain data in the event of a server failure. Our backup systems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as well as adversely affect our ability to provide services.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currently target many customers that are large businesses with substantial negotiating power, exacting product standards and potentially competitive internal solutions. If we are unable to sell our products to these customers, our prospects and results of operations will be adversely affected.</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multinational businesses with substantial negotiating power relative to us and, in some instances, may have internal solutions that are competitive to our products. These large, multinational businesses also have significant development resources, which may allow them to acquire or develop independently, or in partnership with others, competitive technologies. Meeting the technical requirements and securing binding commitments from any of these businesses will require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substantial investment of our time and resources. We may be unable to secure binding commitments from these or other businesses or we may be unable to generate meaningful revenue from the sales or subscriptions of our products to these key potential customers. If our products are not selected by these large businesses or if these businesses develop or acquire competitive technology, it will have an adverse effect on our business, which could be material.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robotics industry is subject to rapid technological change, and we expect competition to increase in the future. Our robotics technology may be unable to keep up with changes in robotics technology or its alternatives and, as a result, our competitiveness may suffer. Developments in alternative technologies may materially and adversely affect our competitiveness in ways we do not currently anticipate. Any failure by us to successfully react to changes or advances in existing technologies could materially harm our competitive position and growth prospects, which could have a material adverse effect on our business, prospects, financial condition and operating results.</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product offerings compete in a broad competitive landscape that includes robotics and automation companies that have both directly competing as well as alternative solutions ranging from exoskeletons, collaborative robots, industrial robots, traditional lift-assist equipment and unmanned robotic vehicles. We also view our competitive landscape to include rivals who have different but unique product lines in the automation space, like ABB Robotics, Siasun Robot &amp; Automation, Teradyne and Berkshire Grey. Also included in our broader competitive landscape are robotic solution suppliers, like Rockwell Automation, Honeywell, Keyence Corporation, COGNEX Corporation and Hexagon AB, who may not have a directly competing product today, but could become competitors through organic or inorganic growth; these companies have existing customer relationships and channels that could enable them to emerge as formidable threats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the competitive landscape by product area:</w:t>
      </w:r>
    </w:p>
    <w:p>
      <w:pPr>
        <w:spacing w:after="0" w:line="198" w:lineRule="exact"/>
        <w:rPr>
          <w:sz w:val="20"/>
          <w:szCs w:val="20"/>
          <w:color w:val="auto"/>
        </w:rPr>
      </w:pPr>
    </w:p>
    <w:p>
      <w:pPr>
        <w:jc w:val="both"/>
        <w:ind w:left="760" w:hanging="378"/>
        <w:spacing w:after="0" w:line="25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XO competes with robotics and automation solutions that help workers with heavy materials handling, heavy lift-and-transport-assist, and overhead assembly type jobs. Principal competitors include Hyundai and Daewoo, who have previously shown powered exoskeleton prototype units, and companies like Cyberdyne, Samsung, Ekso Bionics, Ottobock, Lockheed Martin, SuitX and Levitate who currently sell powered, partial-body exoskeletons or passively-powered, partial-body variants.</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XT faces a varied competitive landscape that includes companies like JR West, collaborative robotics companies and automation companies like Teradyne, ABB Robotics, Kuka, Fanuc, Universal Robots, Siasun Robot &amp; Automation, Berkshire Grey, Ready Robotics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OMRON.</w:t>
      </w:r>
    </w:p>
    <w:p>
      <w:pPr>
        <w:spacing w:after="0" w:line="19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Sapien product line competes with products of various other companies, in some cases based on specific industry applications, such as Nauticus, SRS and Saab in the underwater solution space; Barrett, Kuka, Kinova and Staubli in the medical device industry; AES, 5B, and Alion Energy in solar construction applications; Vertidrive, Onblasting, Canvas, RB3D, Finish Robotics, Inrotech, and Welbot Technology in the surface preparation space; and BBHS, Juvo Robotics and Kuka in aviation services.</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S competes with other ground-based unmanned vehicles offered by companies such as Eddyfi Technologies and Waygate Technologies; it also competes with aerial unmanned vehicle companies, like Flyability, in the oil and gas industry. Other notable adjacent market and other competitors include Gecko Robotics, Teledyne FLIR, ICM, RedZone Robotics, Clearpath Robotics, and Easysight Technology.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companies have products that are commercially available and in development. We expect some products currently in development to become commercially available in the next few years. In addition, we compete with companies that develop artificial intelligence and industrial automation solutions, such as those offered by Hyundai-Boston Dynamics, Canvas Technology, DroneSense, Intuitive, iRobot, Hahn Robotics, Kuka, Neurala, Ready Robotics, Rethink Robotics and Yaskawa.</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These or other competitors may develop new technologies or products that provide superior results to customers or are less expensive than our products. Our technologies and products could be rendered obsolete by such developments.</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compete with, or diminish the need/utilization of products or technologies supported through these existing relationships. If we are not able to compete effectively, our business, prospects, financial condition and operating results will be adversely affected.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robotics market as a whole and, accordingly,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product demand and other factors.</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design, develop and manufacture new robotic systems, increase production capacity and establish or expand design, research and development, production, sales and service facilities. Additionally, our revenues from period to period may fluctuate as we identify and investigate areas of demand, adjust volumes and add new product derivatives based on market demand and margin opportunities, develop and introduce new robotic systems or introduce existing robotic systems to new markets for the first time, as well as introduce our RaaS subscription model. As a result of these factors, we believe that quarter-to-quarter comparisons of our financial results, especially in the short term, are not necessarily meaningful and that these comparisons cannot be relied upon as indicators of future performance. Moreover, our financial results may not meet expectations of equity research analysts, ratings agencies or investors, who may be focused only on quarterly financial results. If any of this occurs, the trading price of our securities could fall substantially, either suddenly or over time, and/or experience significant volatility.</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accounting principles generally accepted in the United States (“GAAP”). Our management is likewise required, on a quarterly basis, to evaluate the effectiveness of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Old Sarcos identified certain accounting errors related to its financial statements. As a result, Old Sarcos management concluded that a material weakness existed in its internal control over financial reporting related to the identification and review of technical issues associated with certain unique, unusual and nonstandard transactions within Old Sarcos’ equity process. As a result of this material weakness, Old Sarcos’ management concluded that its internal control over financial reporting was not effective as of December 31, 2020. Management has implemented new measures designed to remediate the previously identified material weakness and has completed the testing necessary to conclude that the material weakness has been remediated as of June 30, 2022.</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 Following the issuance of the SEC Statement, after consultation with its independent registered public accounting firm, Rotor’s management and its audit committee concluded that, in light of the SEC Statement, it was appropriate to restate the previously issued audited balance sheet as of January 20, 2021 (the “Restatement”). As part of such process, Rotor identified a material weakness in its internal control over financial reporting. As of December 31, 2021, management has determined that this material weakness has been remediated as the previously issued financial statements have been restated and we are now accounting for the Private Placement Warrants in accordance with the SEC Statement.</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mitigate the potential for any future material weaknesses, we continue to devote significant effort and resources to the improvement of our internal control over financial reporting. Any failure to maintain effective internal control over financial reporting could adversely impact our ability to report our financial condition and results of operations on a timely and accurate basis. If our financial statements are not accurate, investors may not have a complete understanding of our operations and could lose confidence in our reported financial information, which could negatively affect the trading price of our common stock. In addition, if our financial statements are not filed on a timely basis, we could be subject to sanctions or investigations by Nasdaq, the SEC or other regulatory authorities. As a result, any failure to maintain effective internal control over financial reporting could result in a material adverse effect on our business and the price of our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litigation and other risks as a result of material weaknesses or other deficiencies in our internal control over financial reporting.</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jc w:val="both"/>
        <w:spacing w:after="0" w:line="247" w:lineRule="auto"/>
        <w:rPr>
          <w:sz w:val="20"/>
          <w:szCs w:val="20"/>
          <w:color w:val="auto"/>
        </w:rPr>
      </w:pPr>
      <w:r>
        <w:rPr>
          <w:rFonts w:ascii="Times New Roman" w:cs="Times New Roman" w:eastAsia="Times New Roman" w:hAnsi="Times New Roman"/>
          <w:sz w:val="18"/>
          <w:szCs w:val="18"/>
          <w:color w:val="auto"/>
        </w:rPr>
        <w:t>As a result of the material weaknesses discussed under “</w:t>
      </w:r>
      <w:r>
        <w:rPr>
          <w:rFonts w:ascii="Times New Roman" w:cs="Times New Roman" w:eastAsia="Times New Roman" w:hAnsi="Times New Roman"/>
          <w:sz w:val="18"/>
          <w:szCs w:val="18"/>
          <w:i w:val="1"/>
          <w:iCs w:val="1"/>
          <w:color w:val="auto"/>
        </w:rPr>
        <w:t>If we are unable to develop and maintain an effective system of internal control 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 the Restatement, the change in accounting for the Private Placement Warrants and</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other matters raised or that may in the future be raised by the SEC, we face the potential for litigation or other disputes which may include, among others, claims invoking U.S. federal and state securities laws, contractual claims or other claims arising from the Restatement and previously identified material weaknesses in our internal control over financial reporting and the preparation of our financial statements.</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systems of disclosure controls and procedures and internal control over financial reporting, our ability to produce timely and accurate financial statements or comply with applicable regulations could be adversely affected.</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increase our legal, accounting and financial compliance costs, make some activities more difficult, time-consuming and costly, and place significant strain on personnel, systems and resources.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Sarbanes -Oxley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in the process of upgrading our finance and accounting systems to an enterprise system suitable for a publicly-traded company, and a delay could impact our ability or prevent us from timely reporting our operating results, timely filing required reports with the SEC and complying with Section 404 of the Sarbanes-Oxley Act. The development and implementation of the standards and controls necessary for us to achieve the level of accounting standards required of a public company may require costs greater than expected.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we will file with the SEC under Section 404 of the Sarbanes-Oxley Act. Ineffective disclosure controls and procedures and internal control over</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financial reporting could also cause investors to lose confidence in our reported financial and other information. See “</w:t>
      </w:r>
      <w:r>
        <w:rPr>
          <w:rFonts w:ascii="Times New Roman" w:cs="Times New Roman" w:eastAsia="Times New Roman" w:hAnsi="Times New Roman"/>
          <w:sz w:val="18"/>
          <w:szCs w:val="18"/>
          <w:i w:val="1"/>
          <w:iCs w:val="1"/>
          <w:color w:val="auto"/>
        </w:rPr>
        <w:t>If we are unable to develop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perceived as inadequate or if we are perceived to be unable to produce timely or accurate financial statements, investors may lose confidence in our operating results and the trading price of our securities could decline.</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given our projected funding needs, our ability to generate positive cash flow is uncertain.</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had negative cash flow from operating activities of $42.1 million and $16.9 million for the years ended December 31, 2021 and 2020, respectively, and negative cash flow from operating activities of $27.9 million for the six months ended June 30, 2022. We expect to continue to have negative cash flow from operating and investing activities at least through the end of 2024 as we expect to incur research and development, sales and marketing, and general and administrative expenses and make capital expenditures in our efforts to commercialize our products, increase sales, engage in continuous development work and ramp up operations. Our business also will at times require significant amounts of working capital to build inventory and support the growth of additional products. An inability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generate positive cash flow for the near term may adversely affect our ability to raise needed capital for our business on reasonable terms, diminish supplier or customer willingness to enter into transactions with us and have other adverse effects that may decrease our long-term viability. We may not achieve positive cash flow in the near future or at all.</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the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including changes from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 customer requirements and introducing new products that achieve market acceptance. We plan to incur substantial, and potentially increasing, research and development costs as part of our efforts to design, develop, manufacture and commercialize new products and enhance existing products. Our research and development expenses were $13.5 million for the six months ended June 30, 2022, and $17.5 million for the year ended December 31, 2021, and our research and development expenses are likely to grow in the future, due in part to our acquisition of RE2 and the Sapien product line. Our research and development program may not produce successful results, and our new products may not achieve market acceptance, create additional revenue or become profitable.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both"/>
        <w:spacing w:after="0" w:line="241"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enforcement anticipated to commence on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will go into effect January 1, 2023, Colorado has enacted the Colorado Privacy Act, which takes effect on July 1, 2023, Utah has enacted the Utah Consumer Privacy Act, which will go into effect on December 31, 2023, and Connecticut has enacted An Act Concerning Personal Data Privacy and Online Monitoring, which will go into effect on July 1, 2023. The U.S. federal government also is contemplating federal privacy legislation. These laws in Virginia, Colorado, Utah, and Connecticut share similarities with the CCPA, CPRA, and legislation proposed in other states.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The ongoing COVID-19 pandemic has increased security risks due to personnel working remotely.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risk of state-supported and geopolitical-related cybersecurity attacks is believed to be heightened in connection with the war in Ukraine and any related political or economic responses and counter-responses.</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and (e) customer data that we process or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or incidents, and third parties may be able to access data, including personal data and other sensitive and proprietary data of us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current revenue is generated by sales to government entities, which are subject to a number of uncertainties, challenges and risks.</w:t>
      </w:r>
    </w:p>
    <w:p>
      <w:pPr>
        <w:spacing w:after="0" w:line="1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For purchases by the U.S. federal government, the government may require certain products to be manufactured in the United States and other high cost manufacturing locations, and we or any third-party manufacturers may not manufacture all products in locations that meet government requirements, and as a result, our business and results of operations may suffer.</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products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robotic systems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international sales of certain of our products are subject to U.S. laws, regulations and policies like the International Traffic in Arms Regulations and other export laws and regulations and may be subject to first obtaining licenses, clearances or authorizations from various regulatory entities. If we are not allowed to export our products or the clearance process is burdensome and costly, our ability to generate revenue would be adversely affected.</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changes to our robotic systems, or changes in applicable export control, import or economic sanctions laws and regulations may create delays in the introduction and sale of our robotic systems and solutions or, in some cases, prevent the export or import of our robotic systems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robotic systems, as well as our decreased ability to export or market our robotic systems to potential customers. Any decreased use of our robotic systems or limitation on our ability to export or market our robotic systems would likely adversely affect our business, prospects, financial condition and operating results.</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may not be successful in achieving our business objectives or may have unintended consequences that negatively impact our growth prospects.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has broad discretion in making strategic decisions to execute our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our Common Stock to decline.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or incorporated into our products.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or incorporated into our products.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trade secret law to protect our proprietary software and product candidates/products in development.</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Patent positions covering robotic systems and human-augmented robotic systems (e.g., wearable humanoid or exoskeleton robotic systems) inventions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patent pending applications or that any patents that are granted will be adequate to exclude others for any significant period of time or at all. Given the foregoing, and in order to continue reducing operational expenses in the future, we may invest fewer resources in filing and prosecuting new patents and on maintaining and enforcing various patents, especially in regions where we currently do not focus our market growth strategy.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0" w:name="page61"/>
    <w:bookmarkEnd w:id="60"/>
    <w:p>
      <w:pPr>
        <w:jc w:val="both"/>
        <w:spacing w:after="0" w:line="24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our inability to use them could adversely affect our business and profitability.</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also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in all countries.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on each of our products and intellectual property in all countries throughout the world would be prohibitively expensive and time consuming, and thus our intellectual property rights outside the United States are limited. In addition, the laws of some foreign countries,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jc w:val="both"/>
        <w:spacing w:after="0" w:line="24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products.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operating in the robotics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products, technology or methods. Moreover, there may be pending, published or allowed applications that may disclose, but not claim, subject matter covering our products, technology or methods, where such pending or published applications may be amended, or one or more continuation or divisional applications may be filed, in an attempt to capture, to the extent possible, such products, technology or methods that are in the public domain, and which may result in issued patents that our current or future products infringe.</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could be harmed.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in defending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Warrants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Resales of the shares of Common Stock issued in connection with the Business Combination and our acquisition of RE2 could depress the market price of our Common Stock.</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or Warrants could occur at any time. These sales, or the perception in the market that the holders of a large number of shares intend to sell shares, could reduce the market price of our Common Stock or Warrants.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issued to the former securityholders of Old Sarcos (“Old Sarcos Security Holders”) represented approximately 71.2% of our Common Stock outstanding as of June 30, 2022, and are subject to lock-up obligations under our Amended and Restated Bylaws (“Bylaws”) and under lock-up agreements entered into with us (the “Old Sarcos Lock-up Agreements”).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entry by us into the RE2 Lock-up Agreements (as described below), a special committee of our board of directors, consisting solely of independent directors who did not hold, and whose affiliates did not hold, shares of capital stock of Sarcos subject to the applicable terms of the Old Sarcos Lock-up Agreements, recommended to the board of directors that the release provisions in the Old Sarcos Lock-up Agreements be reconciled to the release provisions in the RE2 Lock-up Agreements. On April 25, 2022, the board of directors approved an amendment to the Bylaws and to the Old Sarcos Lock-up Agreements to conform the release provisions to the RE2 Lock-up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amendment described above, Old Sarcos Security Holders are subject to the following lock-up periods under the Bylaws: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Common Stock was issued from the exchange or conversion of shares of Old Sarcos preferred stock, then: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3" w:name="page64"/>
    <w:bookmarkEnd w:id="63"/>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Common Stock became transferable at the close of business on March 24, 2022.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fifty percent (50%) of the Common Stock may only be transferred beginning on September 24, 2022.</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Common Stock was issued from the exchange or conversion of Old Sarcos’ common stock, options, RSAs or RSUs, then:</w:t>
      </w:r>
    </w:p>
    <w:p>
      <w:pPr>
        <w:spacing w:after="0" w:line="320" w:lineRule="exact"/>
        <w:rPr>
          <w:sz w:val="20"/>
          <w:szCs w:val="20"/>
          <w:color w:val="auto"/>
        </w:rPr>
      </w:pPr>
    </w:p>
    <w:p>
      <w:pPr>
        <w:ind w:left="1080" w:hanging="563"/>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(20%) of the Common Stock became transferable at the close of business on March 23, 2022; and</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eighty percent (80%) of the Common Stock may only be transferred beginning upon the earlier to occur of (a) such time as we or any of our subsidiaries have delivered to one or more customers at least 20 Guardian XO and/or Guardian XT and/or Sapien commercial units, but in no event prior to the close of business on September 24, 2022 and (b) the close of business on September 24,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amendment described above, Old Sarcos Security Holders are subject to the following lock-up periods under the Old Sarcos Lock-up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Common Stock was issued from the exchange or conversion of Old Sarcos preferred stock or warrants, then:</w:t>
      </w:r>
    </w:p>
    <w:p>
      <w:pPr>
        <w:spacing w:after="0" w:line="320"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shares became transferable on March 24, 2022 and</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fifty percent (50%) of such shares may only be transferred beginning at the close of business on the one (1) year anniversary of the closing of the Business Combination.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the Common Stock was issued from the exchange or conversion of Old Sarcos common stock, options, RSAs or RSUs, then:</w:t>
      </w:r>
    </w:p>
    <w:p>
      <w:pPr>
        <w:spacing w:after="0" w:line="320"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(20%) of such securities became transferable on March 23, 2022 and</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eighty percent (80%) may only be transferred beginning upon the earlier to occur of (A) delivery to customers of at least twenty Guardian XO and/or Guardian XT and/or Sapien commercial units to customers (but in no event prior to the close of business on the one (1) year anniversary of the date of the Business Combination) and (B) the close of business on the second anniversary of the date of the Business Combination.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Common Stock held by former Old Sarcos Security Holders will be freely tradeable once the remaining applicable lock-up periods expire and such shares are registered for resale under the Securities Act. Pursuant to a registration rights agreement entered into concurrently with the consummation of the Business Combination by and among our company, Rotor Sponsor LLC (the “Sponsor”) and certain Old Sarcos Security Holders, we registered the shares of Common Stock subject to the registration rights agreement on a registration statement on Form S-1 filed with the SEC on October 15, 2021, as amended by Post-Effective Amendment No. 1, which was declared effective on April 5, 2022.</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Common Stock issued upon conversion of the shares of Rotor Class B Common Stock held by certain stockholders, including the Sponsor (the “Founder Shares”), represented approximately 4.1% of our Common Stock outstanding as of June 30, 2022. The Rotor Restricted Stockholders are subject to certain transfer restrictions with respect to their converted Founder Shares.</w:t>
      </w:r>
    </w:p>
    <w:p>
      <w:pPr>
        <w:spacing w:after="0" w:line="285" w:lineRule="exact"/>
        <w:rPr>
          <w:sz w:val="20"/>
          <w:szCs w:val="20"/>
          <w:color w:val="auto"/>
        </w:rPr>
      </w:pPr>
    </w:p>
    <w:p>
      <w:pPr>
        <w:jc w:val="both"/>
        <w:ind w:left="1020" w:hanging="503"/>
        <w:spacing w:after="0" w:line="244"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may not be transferred until the earliest of (a) one year after the completion of the Business Combination and (b) upon completion of the Business Combination, (x) if the last reported sale price of the Common Stock equals or exceeds $12.00 per share (as adjusted for stock splits, stock capitalizations, reorganizations, recapitalizations and the like) for any 20 trading days within any 30-trading day period commencing at least 150 days after the Business Combination or (y) the date on which we complete a liquidation, merger, capital stock exchange or other similar transaction after the Business Combination that results in our stockholders having the right to exchange their Common Stock for cash, securities or other property.</w:t>
      </w:r>
    </w:p>
    <w:p>
      <w:pPr>
        <w:spacing w:after="0" w:line="87"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by Messrs. Finn and Howard and other members of the Sponsor with an equity interest in Old Sarcos may not be transferred until the earlier of (i) a period of one year following the closing of the Business Combination or (ii) our completion of a liquidation, merger, capital stock exchange, reorganization or other similar transaction that results in all of our stockholders having the right to exchange their equity holdings in us for cash, securities or other property.</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held by the Rotor Restricted Stockholders will be freely tradeable once their applicable lock-up periods expire and such shares are registered by us. Such shares of Common Stock were registered for resale on a registration statement on Form S-1 filed with the SEC on October 15, 2021.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4" w:name="page65"/>
    <w:bookmarkEnd w:id="64"/>
    <w:p>
      <w:pPr>
        <w:jc w:val="both"/>
        <w:spacing w:after="0" w:line="247" w:lineRule="auto"/>
        <w:rPr>
          <w:sz w:val="20"/>
          <w:szCs w:val="20"/>
          <w:color w:val="auto"/>
        </w:rPr>
      </w:pPr>
      <w:r>
        <w:rPr>
          <w:rFonts w:ascii="Times New Roman" w:cs="Times New Roman" w:eastAsia="Times New Roman" w:hAnsi="Times New Roman"/>
          <w:sz w:val="18"/>
          <w:szCs w:val="18"/>
          <w:color w:val="auto"/>
        </w:rPr>
        <w:t>On April 25, 2022, we issued 10.8 million shares of our Common Stock (the “Consideration Shares”), which represented approximately 7.0% of our Common Stock outstanding as of June 30, 2022, and assumed certain outstanding options to acquire RE2 common stock which, following such assumption, represent rights to acquire 3.9 million shares of our Common Stock (the “Assumed Options” and together with the Consideration Shares, the “RE2 Lock-up Shares”) in connection with our acquisition of RE2. RE2 securityholders who were RE2 employees and became our employees on such date received in the aggregate 7.0 million Consideration Shares, in addition to the Assumed Options, and entered into lock-up agreements (the “RE2 Lock-up Agreements”), pursuant to which, among other things, they agreed to the following transfer restrictions:</w:t>
      </w:r>
    </w:p>
    <w:p>
      <w:pPr>
        <w:spacing w:after="0" w:line="288" w:lineRule="exact"/>
        <w:rPr>
          <w:sz w:val="20"/>
          <w:szCs w:val="20"/>
          <w:color w:val="auto"/>
        </w:rPr>
      </w:pPr>
    </w:p>
    <w:p>
      <w:pPr>
        <w:jc w:val="both"/>
        <w:ind w:left="1020" w:hanging="503"/>
        <w:spacing w:after="0" w:line="25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twenty percent (20%) of such holder’s RE2 Lock-up Shares, such shares may be transferred on the trading day following the date on which the registration statement on Form S-1 for the resale of Consideration Shares is declared effective by the Securities and Exchange Commission;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remaining eighty percent (80%) of such holder’s RE2 Lock-up Shares, such shares may be transferred beginning upon the earlier to occur of (a) such time as we or any of our subsidiaries have delivered to one or more customers at least twenty (20) Guardian XO and/or Guardian XT and/or Sapien commercial units (but in no event prior to the close of business on September 24, 2022) and (b) the close of business on September 24, 2023.</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Shares originally issued to PIPE Investors (as defined in Note 1 to our condensed consolidated financial statements included in this Report) represented approximately 14.2% of our Common Stock outstanding as of June 30, 2022. These shares are not subject to any lock-up or transfer restrictions, and pursuant to the subscription agreements entered into with our predecessor, we were obligated to file with the SEC a registration statement with respect to the resale of such Common Stock no later than 30 days following the consummation of the Business Combination. Shares of Common Stock purchased by the PIPE Investors were registered for resale on a registration statement on Form S-1 filed with the SEC on October 15, 2021, as amended by Post-Effective Amendment No. 1, which was declared effective on April 5,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subject to employee equity awards.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awards granted to certain executive officers and directors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“Sell-to-cover” transactions are often utilized in connection with the vesting and settlement of equity awards that are granted to our employees so that shares of our Common Stock are sold on behalf of our employees in an amount sufficient to cover the tax withholding obligations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Common Stock and Warrants have been volatile and may not continue at all.</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12"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manufacture our products on a timely basis;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1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Common Stock and Public Warrants available for public sale, including as a result of the release of shares of our Common Stock from lock-up provisions (see – “</w:t>
      </w:r>
      <w:r>
        <w:rPr>
          <w:rFonts w:ascii="Times New Roman" w:cs="Times New Roman" w:eastAsia="Times New Roman" w:hAnsi="Times New Roman"/>
          <w:sz w:val="18"/>
          <w:szCs w:val="18"/>
          <w:i w:val="1"/>
          <w:iCs w:val="1"/>
          <w:color w:val="auto"/>
        </w:rPr>
        <w:t>Resales of the shares of Common Stock issued in connection with the Business Combination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acquisition of RE2 could depress the market price of our Common Stock.</w:t>
      </w:r>
      <w:r>
        <w:rPr>
          <w:rFonts w:ascii="Times New Roman" w:cs="Times New Roman" w:eastAsia="Times New Roman" w:hAnsi="Times New Roman"/>
          <w:sz w:val="18"/>
          <w:szCs w:val="18"/>
          <w:color w:val="auto"/>
        </w:rPr>
        <w:t>”) or after exercise of any of our Warrants or the exercise or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employee equity awards;</w:t>
      </w:r>
    </w:p>
    <w:p>
      <w:pPr>
        <w:spacing w:after="0" w:line="1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Nasdaq listing requirements;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an active trading market for our securities may not be sustained. If our Common Stock or Warrants become delisted from Nasdaq for any reason and are quoted on the OTC Bulletin Board or OTC Pink, an inter-dealer automated quotation system for equity securities that is not a national securities exchange, the liquidity of our Common Stock or Warrants may be more limited and the price of the securities may be lower than if we were quoted or listed on Nasdaq or another national securities exchange. If an active trading market for our securities is not sustained with sufficient trading volume, you may have limited or no ability to sell your securities.</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6" w:name="page67"/>
    <w:bookmarkEnd w:id="66"/>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trading markets for our Common Stock and Warrants will be influenced by the research and reports that industry or securities analysts may publish about us, our business, our market or our competitors. If any of the analysts who cover us now or in the future change their recommendation regarding our stock adversely, or provide more favorable relative recommendations about our competitors, the price of our Common Stock and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Public Warrants to decline.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or Private Placement Warrants will ever be in the money, and they may expire worthless.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share of Common Stock. There is no guarantee that the Warrants will ever be in the money prior to their expiration, and as such, the Warrants may expire worthless.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the ability to redeem outstanding Warrants at any time after they become exercisable and prior to their expiration, subject to certain exceptions, provided that the last reported sales price of our Common Stock equals or exceeds $10.00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please see “</w:t>
      </w:r>
      <w:r>
        <w:rPr>
          <w:rFonts w:ascii="Times New Roman" w:cs="Times New Roman" w:eastAsia="Times New Roman" w:hAnsi="Times New Roman"/>
          <w:sz w:val="17"/>
          <w:szCs w:val="17"/>
          <w:i w:val="1"/>
          <w:iCs w:val="1"/>
          <w:color w:val="auto"/>
        </w:rPr>
        <w:t>Description of Securities—Warrants—Public Stockholders’ Warrants</w:t>
      </w:r>
      <w:r>
        <w:rPr>
          <w:rFonts w:ascii="Times New Roman" w:cs="Times New Roman" w:eastAsia="Times New Roman" w:hAnsi="Times New Roman"/>
          <w:sz w:val="17"/>
          <w:szCs w:val="17"/>
          <w:color w:val="auto"/>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2022, we had outstanding Public Warrants to purchase approximately 13,806,340 shares of Common Stock at $11.50 per share and Private Placement Warrants to purchase 6,743,113 shares at $11.50 per share.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so long as they are held by the initial purchasers or their permitted transferees, (i) they will not be redeemable by us subject to certain exceptions, (ii) they may be exercised by the holders on a cashless basis and (iii) they are subject to registration rights.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(the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7" w:name="page68"/>
    <w:bookmarkEnd w:id="67"/>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8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 gross revenue of at least $1.07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the price of our Common Stock may be more volatile. We had total revenues during calendar year 2021 of approximately $5.1 million. If we continue to expand our business through acquisitions and/or grow revenues organically post-Business Combination, we may cease to be an emerging growth company prior to January 20,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8" w:name="page69"/>
    <w:bookmarkEnd w:id="68"/>
    <w:p>
      <w:pPr>
        <w:jc w:val="both"/>
        <w:spacing w:after="0" w:line="24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if investors will find our Common Stock or Public Warrants less attractive because we will rely on these exemptions. If some investors find our Common Stock or Public Warrants less attractive as a result, there may be a less active trading market for our Common Stock or Public Warrants and more stock price volatility..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gridSpan w:val="19"/>
            <w:vMerge w:val="restart"/>
          </w:tcPr>
          <w:p>
            <w:pPr>
              <w:ind w:left="3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8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21"/>
          </w:tcPr>
          <w:p>
            <w:pPr>
              <w:spacing w:after="0" w:line="15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Second Amended and Restated Certificate of Incorporation of Sarcos Technology and Robotics Corporation (incorporated by reference to</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Exhibit 3.1 to the Company’s Current Report on Form 8-K, filed with the SEC on September 30, 2021).</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1"/>
          </w:tcPr>
          <w:p>
            <w:pPr>
              <w:spacing w:after="0" w:line="182"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Amended and Restated Bylaws of Sarcos Technology and Robotics Corporation (incorporated by reference to Exhibit 3.1 to the Company’s</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Current Report on Form 8-K filed with the SEC on April 27,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5200" w:type="dxa"/>
            <w:vAlign w:val="bottom"/>
            <w:tcBorders>
              <w:top w:val="single" w:sz="8" w:color="0000FF"/>
            </w:tcBorders>
            <w:gridSpan w:val="15"/>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1"/>
          </w:tcPr>
          <w:p>
            <w:pPr>
              <w:spacing w:after="0" w:line="182"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Employment Agreement, dated March 27, 2022, between Jorgen Pedersen, Sarcos Corp. and the Company (incorporated by reference to</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Exhibit 10.1 to the Company’s Current Report on Form 8-K, filed with the SEC on April 27, 2022.)</w:t>
              </w:r>
            </w:hyperlink>
          </w:p>
        </w:tc>
        <w:tc>
          <w:tcPr>
            <w:tcW w:w="1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1"/>
          </w:tcPr>
          <w:p>
            <w:pPr>
              <w:spacing w:after="0" w:line="182"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Noncompetition and Nonsolicitation Agreement, dated March 27, 2022, between Jorgen Pedersen and the Company (incorporated by</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reference to Exhibit 10.2 to the Company’s Current Report on Form 8-K, filed with the SEC on April 27, 2022.)</w:t>
              </w:r>
            </w:hyperlink>
          </w:p>
        </w:tc>
        <w:tc>
          <w:tcPr>
            <w:tcW w:w="20" w:type="dxa"/>
            <w:vAlign w:val="bottom"/>
          </w:tcPr>
          <w:p>
            <w:pPr>
              <w:spacing w:after="0"/>
              <w:rPr>
                <w:sz w:val="14"/>
                <w:szCs w:val="14"/>
                <w:color w:val="auto"/>
              </w:rPr>
            </w:pPr>
          </w:p>
        </w:tc>
        <w:tc>
          <w:tcPr>
            <w:tcW w:w="3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6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Redemption Rights Agreement, dated April 25, 2022, between Jorgen Pedersen and the Company (incorporated</w:t>
              </w:r>
            </w:hyperlink>
          </w:p>
        </w:tc>
        <w:tc>
          <w:tcPr>
            <w:tcW w:w="2140" w:type="dxa"/>
            <w:vAlign w:val="bottom"/>
            <w:gridSpan w:val="10"/>
          </w:tcPr>
          <w:p>
            <w:pPr>
              <w:ind w:left="40"/>
              <w:spacing w:after="0" w:line="182"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by reference to Exhibit 10.3</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to the Company’s Current Report on Form 8-K, filed with the SEC on April 27,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3880" w:type="dxa"/>
            <w:vAlign w:val="bottom"/>
            <w:tcBorders>
              <w:top w:val="single" w:sz="8" w:color="0000FF"/>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w:t>
            </w:r>
          </w:p>
        </w:tc>
        <w:tc>
          <w:tcPr>
            <w:tcW w:w="3940" w:type="dxa"/>
            <w:vAlign w:val="bottom"/>
            <w:gridSpan w:val="13"/>
          </w:tcPr>
          <w:p>
            <w:pPr>
              <w:ind w:left="20"/>
              <w:spacing w:after="0" w:line="182"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60" w:type="dxa"/>
            <w:vAlign w:val="bottom"/>
            <w:tcBorders>
              <w:top w:val="single" w:sz="8" w:color="0000FF"/>
            </w:tcBorders>
            <w:gridSpan w:val="8"/>
          </w:tcPr>
          <w:p>
            <w:pPr>
              <w:spacing w:after="0"/>
              <w:rPr>
                <w:sz w:val="14"/>
                <w:szCs w:val="14"/>
                <w:color w:val="auto"/>
              </w:rPr>
            </w:pPr>
          </w:p>
        </w:tc>
        <w:tc>
          <w:tcPr>
            <w:tcW w:w="3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00" w:type="dxa"/>
            <w:vAlign w:val="bottom"/>
            <w:tcBorders>
              <w:top w:val="single" w:sz="8" w:color="0000FF"/>
            </w:tcBorders>
            <w:gridSpan w:val="6"/>
          </w:tcPr>
          <w:p>
            <w:pPr>
              <w:spacing w:after="0"/>
              <w:rPr>
                <w:sz w:val="14"/>
                <w:szCs w:val="14"/>
                <w:color w:val="auto"/>
              </w:rPr>
            </w:pPr>
          </w:p>
        </w:tc>
        <w:tc>
          <w:tcPr>
            <w:tcW w:w="44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60" w:type="dxa"/>
            <w:vAlign w:val="bottom"/>
            <w:tcBorders>
              <w:top w:val="single" w:sz="8" w:color="0000FF"/>
            </w:tcBorders>
            <w:gridSpan w:val="16"/>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Certification</w:t>
            </w:r>
          </w:p>
        </w:tc>
        <w:tc>
          <w:tcPr>
            <w:tcW w:w="9280" w:type="dxa"/>
            <w:vAlign w:val="bottom"/>
            <w:gridSpan w:val="19"/>
          </w:tcPr>
          <w:p>
            <w:pPr>
              <w:ind w:left="2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20" w:type="dxa"/>
            <w:vAlign w:val="bottom"/>
            <w:tcBorders>
              <w:top w:val="single" w:sz="8" w:color="0000FF"/>
            </w:tcBorders>
            <w:gridSpan w:val="15"/>
          </w:tcPr>
          <w:p>
            <w:pPr>
              <w:spacing w:after="0"/>
              <w:rPr>
                <w:sz w:val="14"/>
                <w:szCs w:val="14"/>
                <w:color w:val="auto"/>
              </w:rPr>
            </w:pPr>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w w:val="95"/>
              </w:rPr>
              <w:t>Inline XBRL</w:t>
            </w:r>
          </w:p>
        </w:tc>
        <w:tc>
          <w:tcPr>
            <w:tcW w:w="9280" w:type="dxa"/>
            <w:vAlign w:val="bottom"/>
            <w:gridSpan w:val="19"/>
          </w:tcPr>
          <w:p>
            <w:pPr>
              <w:ind w:left="60"/>
              <w:spacing w:after="0" w:line="177"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420" w:firstLine="21"/>
        <w:spacing w:after="0" w:line="497" w:lineRule="auto"/>
        <w:tabs>
          <w:tab w:leader="none" w:pos="102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140" w:hanging="512"/>
        <w:spacing w:after="0" w:line="250" w:lineRule="auto"/>
        <w:tabs>
          <w:tab w:leader="none" w:pos="4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Sarcos Technology and Robotics Corporation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-809625</wp:posOffset>
            </wp:positionV>
            <wp:extent cx="95123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1" w:name="page72"/>
    <w:bookmarkEnd w:id="7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202"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Kiva A. Allgood</w:t>
      </w:r>
    </w:p>
    <w:p>
      <w:pPr>
        <w:ind w:left="604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 (</w:t>
      </w:r>
      <w:r>
        <w:rPr>
          <w:rFonts w:ascii="Times New Roman" w:cs="Times New Roman" w:eastAsia="Times New Roman" w:hAnsi="Times New Roman"/>
          <w:sz w:val="17"/>
          <w:szCs w:val="17"/>
          <w:b w:val="1"/>
          <w:bCs w:val="1"/>
          <w:i w:val="1"/>
          <w:iCs w:val="1"/>
          <w:color w:val="auto"/>
        </w:rPr>
        <w:t>Principal Executive Officer</w:t>
      </w:r>
      <w:r>
        <w:rPr>
          <w:rFonts w:ascii="Times New Roman" w:cs="Times New Roman" w:eastAsia="Times New Roman" w:hAnsi="Times New Roman"/>
          <w:sz w:val="17"/>
          <w:szCs w:val="17"/>
          <w:b w:val="1"/>
          <w:bCs w:val="1"/>
          <w:color w:val="auto"/>
        </w:rPr>
        <w:t>)</w:t>
      </w:r>
    </w:p>
    <w:p>
      <w:pPr>
        <w:spacing w:after="0" w:line="190"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Steven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Steven Hansen</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 (Principal Financial and Accounting</w:t>
      </w:r>
    </w:p>
    <w:p>
      <w:pPr>
        <w:ind w:left="604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0" w:right="4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Kiva A. Allgood, certify that:</w:t>
      </w:r>
    </w:p>
    <w:p>
      <w:pPr>
        <w:spacing w:after="0" w:line="212"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Sarcos Technology and Robotics Corporation;</w:t>
      </w:r>
    </w:p>
    <w:p>
      <w:pPr>
        <w:spacing w:after="0" w:line="21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Kiva A. Allgood</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Hansen, certify that:</w:t>
      </w:r>
    </w:p>
    <w:p>
      <w:pPr>
        <w:spacing w:after="0" w:line="212"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Sarcos Technology and Robotics Corporation;</w:t>
      </w:r>
    </w:p>
    <w:p>
      <w:pPr>
        <w:spacing w:after="0" w:line="21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Steven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Steven Hansen</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Sarcos Technology and Robotics Corporation (the “Company”) on Form 10-Q for the period ending June 30,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900" w:hanging="359"/>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Kiva A. Allgood</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Sarcos Technology and Robotics Corporation (the “Company”) on Form 10-Q for the period ending June 30,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900" w:hanging="359"/>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 /s/ Steven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Steven Hansen</w:t>
      </w:r>
    </w:p>
    <w:p>
      <w:pPr>
        <w:ind w:left="604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2"/>
    </w:lvl>
  </w:abstractNum>
  <w:abstractNum w:abstractNumId="8">
    <w:nsid w:val="54E49EB4"/>
    <w:multiLevelType w:val="hybridMultilevel"/>
    <w:lvl w:ilvl="0">
      <w:lvlJc w:val="left"/>
      <w:lvlText w:val="%1."/>
      <w:numFmt w:val="decimal"/>
      <w:start w:val="5"/>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1"/>
    </w:lvl>
    <w:lvl w:ilvl="1">
      <w:lvlJc w:val="left"/>
      <w:lvlText w:val="(%2)"/>
      <w:numFmt w:val="decimal"/>
      <w:start w:val="1"/>
    </w:lvl>
  </w:abstractNum>
  <w:abstractNum w:abstractNumId="11">
    <w:nsid w:val="836C40E"/>
    <w:multiLevelType w:val="hybridMultilevel"/>
    <w:lvl w:ilvl="0">
      <w:lvlJc w:val="left"/>
      <w:lvlText w:val="%1."/>
      <w:numFmt w:val="decimal"/>
      <w:start w:val="8"/>
    </w:lvl>
    <w:lvl w:ilvl="1">
      <w:lvlJc w:val="left"/>
      <w:lvlText w:val="%2"/>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9"/>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lowerRoman"/>
      <w:start w:val="2"/>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lvl w:ilvl="1">
      <w:lvlJc w:val="left"/>
      <w:lvlText w:val="%2"/>
      <w:numFmt w:val="decimal"/>
      <w:start w:val="104"/>
    </w:lvl>
  </w:abstractNum>
  <w:abstractNum w:abstractNumId="40">
    <w:nsid w:val="2A487CB0"/>
    <w:multiLevelType w:val="hybridMultilevel"/>
    <w:lvl w:ilvl="0">
      <w:lvlJc w:val="left"/>
      <w:lvlText w:val="**"/>
      <w:numFmt w:val="bullet"/>
      <w:start w:val="1"/>
    </w:lvl>
    <w:lvl w:ilvl="1">
      <w:lvlJc w:val="left"/>
      <w:lvlText w:val="%2"/>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34" Type="http://schemas.openxmlformats.org/officeDocument/2006/relationships/hyperlink" Target="https://www.sec.gov/Archives/edgar/data/1826681/000156459021049662/strc-ex31_83.htm" TargetMode="External"/><Relationship Id="rId335" Type="http://schemas.openxmlformats.org/officeDocument/2006/relationships/hyperlink" Target="https://www.sec.gov/Archives/edgar/data/0001826681/000156459022016149/strc-ex31_129.htm" TargetMode="External"/><Relationship Id="rId336" Type="http://schemas.openxmlformats.org/officeDocument/2006/relationships/hyperlink" Target="https://www.sec.gov/Archives/edgar/data/0001826681/000156459022016149/strc-ex101_8.htm" TargetMode="External"/><Relationship Id="rId337" Type="http://schemas.openxmlformats.org/officeDocument/2006/relationships/hyperlink" Target="https://www.sec.gov/Archives/edgar/data/0001826681/000156459022016149/strc-ex102_6.htm" TargetMode="External"/><Relationship Id="rId338" Type="http://schemas.openxmlformats.org/officeDocument/2006/relationships/hyperlink" Target="https://www.sec.gov/Archives/edgar/data/0001826681/000156459022016149/strc-ex103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2022-08-09T19:48:52Z</dcterms:created>
  <dcterms:modified xsi:type="dcterms:W3CDTF">2022-08-09T19:48:52Z</dcterms:modified>
</cp:coreProperties>
</file>