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Palladyne AI Corp.</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001-39897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85-2838301</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650 South 500 West, Suite 150</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Salt Lake City, Utah</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84101</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(888) 927-7296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65"/>
        </w:trPr>
        <w:tc>
          <w:tcPr>
            <w:tcW w:w="42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4"/>
                <w:szCs w:val="14"/>
                <w:color w:val="auto"/>
              </w:rPr>
            </w:pPr>
          </w:p>
        </w:tc>
        <w:tc>
          <w:tcPr>
            <w:tcW w:w="16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PDYN</w:t>
            </w:r>
          </w:p>
        </w:tc>
        <w:tc>
          <w:tcPr>
            <w:tcW w:w="120" w:type="dxa"/>
            <w:vAlign w:val="bottom"/>
          </w:tcPr>
          <w:p>
            <w:pPr>
              <w:spacing w:after="0"/>
              <w:rPr>
                <w:sz w:val="14"/>
                <w:szCs w:val="14"/>
                <w:color w:val="auto"/>
              </w:rPr>
            </w:pPr>
          </w:p>
        </w:tc>
        <w:tc>
          <w:tcPr>
            <w:tcW w:w="50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18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Redeemable warrants, exercisable for shares of Common Stock at</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PDYNW</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an exercise price of $69.00 per share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bl>
    <w:p>
      <w:pPr>
        <w:spacing w:after="0" w:line="172"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On June 8, 2026, Palladyne AI Corp. (the “Company”) issued a press release (the "Press Release") announcing entry into the MoU (as defined below). A copy of the press release is furnished as Exhibit 99.1 hereto and is posted on the investor relations page of its website at www.palladayneai.com. Also on June 8, 2026, the Company posted an investor presentation (the "Investor Deck") to the investor relations page of its website at www.palladyneai.com. A copy of the Investor Deck is furnished as Exhibit 99.2 to this Current Report on Form 8-K and incorporated herein by reference. This presentation is expected to be used by the Company during the investor call announced in the Press Release scheduled for June 9, 2026 and may also be used in connection with other future presentations to investors and others. The information contained in the Investor Deck is summary information and contains forward-looking statements that are subject to risks and uncertainties, including those set forth in the Company’s filings with the Securities and Exchange Commission (the “SEC”). The information in the Investor Deck is as of June 8, 2026, except for information that is specifically identified as being as of an earlier date. The Company undertakes no obligation to publicly update or revise the information contained in the Investor Deck or this Item 7.01, except as required by law, although it may do so from time to time. Any such updating may be made through the filing of other reports or documents with the SEC, press releases, disclosure on the Company’s website or other means of public disclosure.</w:t>
      </w:r>
    </w:p>
    <w:p>
      <w:pPr>
        <w:spacing w:after="0" w:line="16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color w:val="auto"/>
        </w:rPr>
        <w:t>The Company announces material information to the public through a variety of means, including filings with the Securities and Exchange Commission, public conference calls, the Company’s website (https://www.palladyneai.com/), its investor relations website (https://investor.palladyneai.com/), and its news site (https://www.palladyneai.com/press/). The Company uses these channels, as well as its social media, including its X (@PalladyneAI) and LinkedIn accounts (https://www.linkedin.com/company/palladyneaicorp/), to communicate with investors and the public news and developments about the Company, its products and other matters. Therefore, the Company encourages investors, the media, and others interested in the Company to review the information it makes public in these locations, as such information could be deemed to be material information. The information that can be accessed through hyperlinks or website addresses included in this Current Report on Form 8-K and Exhibit 99.1 and Exhibit 99.2 attached hereto is deemed not to be incorporated in or part of this Current Report on Form 8-K.</w:t>
      </w:r>
    </w:p>
    <w:p>
      <w:pPr>
        <w:spacing w:after="0" w:line="16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 99.1 and Exhibit 99.2) is being furnished and shall not be deemed “filed” for purposes of Section 18 of the Securities Exchange Act of 1934, as amended (the “Exchange Act”), or otherwise subject to the liabilities of that Section. The information in this Item 7.01 (including Exhibit 99.1 and Exhibit 99.2) shall not be deemed incorporated by reference in any filing under the Securities Act of 1933, as amended, or the Exchange Act, except as expressly set forth by specific reference in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On June 8, 2026, the Company announced that it has entered into a memorandum of understanding (the “MOU”) with Israel Aerospace Industries Ltd., acting through its MBT Missiles Division, Systems, Missiles &amp; Space Group (“IAI”). IAI is wholly owned by the government of Israel. Pursuant to the MOU, the Company will have the exclusive right to manufacture and market to the U.S. government certain IAI loitering munitions systems (each, a “System” and collectively the “Systems”). The Company has agreed not to manufacture and market any products that are functionally equivalent to the Systems during the term of the MOU. The first Systems subject to the MOU are the HAROP, HARPY and the Mini-HARPY systems. Notwithstanding the foregoing, nothing in the MOU precludes the government of Israel from selling Systems directly to the U.S. government.</w:t>
      </w:r>
    </w:p>
    <w:p>
      <w:pPr>
        <w:spacing w:after="0" w:line="16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Subject to the parties entering into a more extensive definitive implementation agreement, IAI has granted the Company a license to those intellectual property rights held by IAI relating to the Systems to enable the Company to manufacture and market the Systems in the United States. In order to retain these rights, the Company will be responsible for establishing and operating an assembly line in the United States at its sole cost and expense. The Company has agreed to pay IAI a market-rate royalty equal to a percentage of sales of the Systems. No other up-front royalty payments are due or will be paid by the Company for the rights to the Systems. The Company may also pay IAI for engineering support and other services. The MOU anticipates that IAI will sell a portion of the subsystems and components for the Systems to the Company, subject to approval of the United States Government and to the extent permitted by United States law.</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cooperation under the MOU may have a term of up to ten years subject to achievement of certain milestones. At the end of the term, including any extensions, the parties will engage in good faith discussions to evaluate the status of their cooperation and the relevant business outlook, and may mutually agree to extend the exclusivity period subject to terms to be agreed; continue the cooperation on a non-exclusive basis or terminate the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397510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9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1"/>
        </w:trPr>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60" w:type="dxa"/>
            <w:vAlign w:val="bottom"/>
          </w:tcPr>
          <w:p>
            <w:pPr>
              <w:spacing w:after="0"/>
              <w:rPr>
                <w:sz w:val="16"/>
                <w:szCs w:val="16"/>
                <w:color w:val="auto"/>
              </w:rPr>
            </w:pPr>
          </w:p>
        </w:tc>
      </w:tr>
      <w:tr>
        <w:trPr>
          <w:trHeight w:val="170"/>
        </w:trPr>
        <w:tc>
          <w:tcPr>
            <w:tcW w:w="19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99.1</w:t>
            </w:r>
          </w:p>
        </w:tc>
        <w:tc>
          <w:tcPr>
            <w:tcW w:w="932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FF"/>
              </w:rPr>
              <w:t>Press Release dated June 8, 2026</w:t>
            </w: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69"/>
        </w:trPr>
        <w:tc>
          <w:tcPr>
            <w:tcW w:w="19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932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w:t>
            </w: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r>
      <w:tr>
        <w:trPr>
          <w:trHeight w:val="205"/>
        </w:trPr>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9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854"/>
        </w:trPr>
        <w:tc>
          <w:tcPr>
            <w:tcW w:w="19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Palladyne AI Corp.</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June 8, 2026</w:t>
            </w:r>
          </w:p>
        </w:tc>
        <w:tc>
          <w:tcPr>
            <w:tcW w:w="29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Sonne</w:t>
            </w:r>
          </w:p>
        </w:tc>
      </w:tr>
      <w:tr>
        <w:trPr>
          <w:trHeight w:val="165"/>
        </w:trPr>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20" w:type="dxa"/>
            <w:vAlign w:val="bottom"/>
          </w:tcPr>
          <w:p>
            <w:pPr>
              <w:ind w:left="170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51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Stephen Sonne</w:t>
            </w:r>
          </w:p>
        </w:tc>
      </w:tr>
      <w:tr>
        <w:trPr>
          <w:trHeight w:val="206"/>
        </w:trPr>
        <w:tc>
          <w:tcPr>
            <w:tcW w:w="5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Chief Legal Officer &amp; Secretary</w:t>
            </w:r>
          </w:p>
        </w:tc>
      </w:tr>
      <w:tr>
        <w:trPr>
          <w:trHeight w:val="854"/>
        </w:trPr>
        <w:tc>
          <w:tcPr>
            <w:tcW w:w="5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4" w:name="page5"/>
    <w:bookmarkEnd w:id="4"/>
    <w:p>
      <w:pPr>
        <w:ind w:left="10200"/>
        <w:spacing w:after="0"/>
        <w:rPr>
          <w:sz w:val="20"/>
          <w:szCs w:val="20"/>
          <w:color w:val="auto"/>
        </w:rPr>
      </w:pPr>
      <w:r>
        <w:rPr>
          <w:rFonts w:ascii="Arial" w:cs="Arial" w:eastAsia="Arial" w:hAnsi="Arial"/>
          <w:sz w:val="19"/>
          <w:szCs w:val="19"/>
          <w:b w:val="1"/>
          <w:bCs w:val="1"/>
          <w:color w:val="auto"/>
        </w:rPr>
        <w:t>Exhibit 99.1</w:t>
      </w:r>
    </w:p>
    <w:p>
      <w:pPr>
        <w:spacing w:after="0" w:line="178" w:lineRule="exact"/>
        <w:rPr>
          <w:sz w:val="20"/>
          <w:szCs w:val="20"/>
          <w:color w:val="auto"/>
        </w:rPr>
      </w:pPr>
    </w:p>
    <w:p>
      <w:pPr>
        <w:jc w:val="center"/>
        <w:ind w:right="80"/>
        <w:spacing w:after="0" w:line="297" w:lineRule="auto"/>
        <w:rPr>
          <w:sz w:val="20"/>
          <w:szCs w:val="20"/>
          <w:color w:val="auto"/>
        </w:rPr>
      </w:pPr>
      <w:r>
        <w:rPr>
          <w:rFonts w:ascii="Arial" w:cs="Arial" w:eastAsia="Arial" w:hAnsi="Arial"/>
          <w:sz w:val="25"/>
          <w:szCs w:val="25"/>
          <w:b w:val="1"/>
          <w:bCs w:val="1"/>
          <w:color w:val="auto"/>
        </w:rPr>
        <w:t>Palladyne AI and IAI Form Partnership to Manufacture and Sell Combat-Proven Loitering Munition Systems to the U.S. Department of War</w:t>
      </w:r>
    </w:p>
    <w:p>
      <w:pPr>
        <w:spacing w:after="0" w:line="3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SALT LAKE CITY and TEL AVIV – June 8, 2026 - </w:t>
      </w:r>
      <w:r>
        <w:rPr>
          <w:rFonts w:ascii="Arial" w:cs="Arial" w:eastAsia="Arial" w:hAnsi="Arial"/>
          <w:sz w:val="19"/>
          <w:szCs w:val="19"/>
          <w:u w:val="single" w:color="auto"/>
          <w:color w:val="0000FF"/>
        </w:rPr>
        <w:t>Palladyne AI Corp.</w:t>
      </w:r>
      <w:r>
        <w:rPr>
          <w:rFonts w:ascii="Arial" w:cs="Arial" w:eastAsia="Arial" w:hAnsi="Arial"/>
          <w:sz w:val="19"/>
          <w:szCs w:val="19"/>
          <w:b w:val="1"/>
          <w:bCs w:val="1"/>
          <w:color w:val="auto"/>
        </w:rPr>
        <w:t xml:space="preserve"> </w:t>
      </w:r>
      <w:r>
        <w:rPr>
          <w:rFonts w:ascii="Arial" w:cs="Arial" w:eastAsia="Arial" w:hAnsi="Arial"/>
          <w:sz w:val="19"/>
          <w:szCs w:val="19"/>
          <w:color w:val="auto"/>
        </w:rPr>
        <w:t>(NASDAQ: PDYN and PDYNW) (“Palladyne AI”), a U.S.-based</w:t>
      </w:r>
      <w:r>
        <w:rPr>
          <w:rFonts w:ascii="Arial" w:cs="Arial" w:eastAsia="Arial" w:hAnsi="Arial"/>
          <w:sz w:val="19"/>
          <w:szCs w:val="19"/>
          <w:b w:val="1"/>
          <w:bCs w:val="1"/>
          <w:color w:val="auto"/>
        </w:rPr>
        <w:t xml:space="preserve"> </w:t>
      </w:r>
      <w:r>
        <w:rPr>
          <w:rFonts w:ascii="Arial" w:cs="Arial" w:eastAsia="Arial" w:hAnsi="Arial"/>
          <w:sz w:val="19"/>
          <w:szCs w:val="19"/>
          <w:color w:val="auto"/>
        </w:rPr>
        <w:t>defense and industrial technology company, and Israel Aerospace Industries (IAI), a world-class aerospace and defense leader, today announced the formation of a strategic partnership under which Palladyne AI will manufacture, integrate and market IAI’s HARPY, HAROP and Mini HARPY loitering munition systems to the U.S. Department of War.</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partnership provides Palladyne AI with exclusive U.S. production and marketing rights for loitering munition systems, designed to suppress and destroy enemy air defenses and provide long-range strike capabilities across operational and tactical environments.</w:t>
      </w:r>
    </w:p>
    <w:p>
      <w:pPr>
        <w:spacing w:after="0" w:line="93"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IAI has been pioneering the global loitering munition market for more than 40 years, with systems deployed operationally in many militaries worldwide. Under the partnership, Palladyne AI will adapt the systems to U.S. operational requirements and domestically manufacture components and subsystems, while IAI will provide engineering support and key subsystems. The partnership comes as the Department of War is increasing its investments in loitering munitions to expand its military capabilities for the modern battlefield.</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Boaz Levy, IAI's Chairman of the Board: </w:t>
      </w:r>
      <w:r>
        <w:rPr>
          <w:rFonts w:ascii="Arial" w:cs="Arial" w:eastAsia="Arial" w:hAnsi="Arial"/>
          <w:sz w:val="19"/>
          <w:szCs w:val="19"/>
          <w:color w:val="auto"/>
        </w:rPr>
        <w:t>“The U.S. is a strategic market for IAI, and this partnership represents a significant step in</w:t>
      </w:r>
      <w:r>
        <w:rPr>
          <w:rFonts w:ascii="Arial" w:cs="Arial" w:eastAsia="Arial" w:hAnsi="Arial"/>
          <w:sz w:val="19"/>
          <w:szCs w:val="19"/>
          <w:b w:val="1"/>
          <w:bCs w:val="1"/>
          <w:color w:val="auto"/>
        </w:rPr>
        <w:t xml:space="preserve"> </w:t>
      </w:r>
      <w:r>
        <w:rPr>
          <w:rFonts w:ascii="Arial" w:cs="Arial" w:eastAsia="Arial" w:hAnsi="Arial"/>
          <w:sz w:val="19"/>
          <w:szCs w:val="19"/>
          <w:color w:val="auto"/>
        </w:rPr>
        <w:t>expanding our long-term presence and industrial cooperation in the U.S. defense sector. By combining IAI’s decades of operational expertise and combat-proven loitering munition technologies with Palladyne AI’s U.S.-based manufacturing capabilities, we are positioning these systems to meet evolving operational requirements and support the current and future needs of the U.S.”</w:t>
      </w:r>
    </w:p>
    <w:p>
      <w:pPr>
        <w:spacing w:after="0" w:line="125"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b w:val="1"/>
          <w:bCs w:val="1"/>
          <w:color w:val="auto"/>
        </w:rPr>
        <w:t xml:space="preserve">Ben Wolff, President and Chief Executive Officer of Palladyne AI, commented: </w:t>
      </w:r>
      <w:r>
        <w:rPr>
          <w:rFonts w:ascii="Arial" w:cs="Arial" w:eastAsia="Arial" w:hAnsi="Arial"/>
          <w:sz w:val="19"/>
          <w:szCs w:val="19"/>
          <w:color w:val="auto"/>
        </w:rPr>
        <w:t>"The U.S. defense industrial base needs battle-proven loitering munitions capabilities it can field now. IAI's systems have been validated in real-world combat environments for decades. What differentiates this partnership is that by combining IAI’s systems with Palladyne AI’s U.S. engineering and manufacturing capabilities, we can make those systems’ capabilities available to the U.S. Department of War much faster than through a clean-sheet development program. We built that stack in 2025. This partnership is the first major proof of what it can do."</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Guy Barlev, Executive VP and GM of the Space Missiles and Systems, IAI: </w:t>
      </w:r>
      <w:r>
        <w:rPr>
          <w:rFonts w:ascii="Arial" w:cs="Arial" w:eastAsia="Arial" w:hAnsi="Arial"/>
          <w:sz w:val="19"/>
          <w:szCs w:val="19"/>
          <w:color w:val="auto"/>
        </w:rPr>
        <w:t>“This new strategic partnership will bring our combat-proven long-range loitering munitions to the U.S. market. We selected Palladyne AI for its combination of advanced autonomy, engineering expertise and certified U.S. manufacturing capabilities. Palladyne AI's leadership has built and scaled large, complex businesses before. Their team moves with the kind of urgency the current threat environment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577215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5" w:name="page6"/>
    <w:bookmarkEnd w:id="5"/>
    <w:p>
      <w:pPr>
        <w:jc w:val="both"/>
        <w:ind w:right="20"/>
        <w:spacing w:after="0" w:line="245" w:lineRule="auto"/>
        <w:rPr>
          <w:sz w:val="20"/>
          <w:szCs w:val="20"/>
          <w:color w:val="auto"/>
        </w:rPr>
      </w:pPr>
      <w:r>
        <w:rPr>
          <w:rFonts w:ascii="Arial" w:cs="Arial" w:eastAsia="Arial" w:hAnsi="Arial"/>
          <w:sz w:val="19"/>
          <w:szCs w:val="19"/>
          <w:b w:val="1"/>
          <w:bCs w:val="1"/>
          <w:color w:val="auto"/>
        </w:rPr>
        <w:t>Admiral Eric T. Olson (Ret.), Palladyne AI board member</w:t>
      </w:r>
      <w:r>
        <w:rPr>
          <w:rFonts w:ascii="Arial" w:cs="Arial" w:eastAsia="Arial" w:hAnsi="Arial"/>
          <w:sz w:val="19"/>
          <w:szCs w:val="19"/>
          <w:color w:val="auto"/>
        </w:rPr>
        <w:t>, concluded, "We built Palladyne AI to be the kind of partner the</w:t>
      </w:r>
      <w:r>
        <w:rPr>
          <w:rFonts w:ascii="Arial" w:cs="Arial" w:eastAsia="Arial" w:hAnsi="Arial"/>
          <w:sz w:val="19"/>
          <w:szCs w:val="19"/>
          <w:b w:val="1"/>
          <w:bCs w:val="1"/>
          <w:color w:val="auto"/>
        </w:rPr>
        <w:t xml:space="preserve"> </w:t>
      </w:r>
      <w:r>
        <w:rPr>
          <w:rFonts w:ascii="Arial" w:cs="Arial" w:eastAsia="Arial" w:hAnsi="Arial"/>
          <w:sz w:val="19"/>
          <w:szCs w:val="19"/>
          <w:color w:val="auto"/>
        </w:rPr>
        <w:t>Department of War actually needs right now, not a startup with an interesting product and no ability to scale, and not a legacy prime moving at legacy prime speed. We can take proven systems, adapt them for U.S. requirements, and build them in America. The IAI partnership is exactly the kind of opportunity that Palladyne’s infrastructure was designed to capture.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IAI Loitering Munitions: Distinct Capabilities for Distinct Requirements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HARPY and HAROP systems have proven unparalleled effectiveness against enemy air defenses, serving as a decisive tool for gaining a theater-wide advantage. These loitering munitions are designed for autonomous operation, searching for and engaging hostile targets across the battlefield. Equipped with advanced sensors and high-precision strike capabilities, they effectively neutralize air defense infrastructure, including radar sites, missile launchers, and command-and-control centers. By eliminating these key assets, IAI’s long-range loitering munitions have played a pivotal role in establishing air superiority and clearing the path for successful multi-domain operations.</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Mini HARPY leverages the advanced heritage of the HARPY and HAROP, combining their respective seekers onto a single platform for tactical echelons. Beyond its EO/IR sensors, the system is equipped with a specialized Anti-Radiation seeker designed specifically to locate and neutralize adversary emitters. This provides front-line forces with the ability to secure air superiority by effectively engaging enemy air defenses and Counter-UAS arrays."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Conference Call</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Palladyne AI will host a conference call </w:t>
      </w:r>
      <w:r>
        <w:rPr>
          <w:rFonts w:ascii="Arial" w:cs="Arial" w:eastAsia="Arial" w:hAnsi="Arial"/>
          <w:sz w:val="19"/>
          <w:szCs w:val="19"/>
          <w:b w:val="1"/>
          <w:bCs w:val="1"/>
          <w:color w:val="auto"/>
        </w:rPr>
        <w:t>tomorrow</w:t>
      </w:r>
      <w:r>
        <w:rPr>
          <w:rFonts w:ascii="Arial" w:cs="Arial" w:eastAsia="Arial" w:hAnsi="Arial"/>
          <w:sz w:val="19"/>
          <w:szCs w:val="19"/>
          <w:color w:val="auto"/>
        </w:rPr>
        <w:t xml:space="preserve">, </w:t>
      </w:r>
      <w:r>
        <w:rPr>
          <w:rFonts w:ascii="Arial" w:cs="Arial" w:eastAsia="Arial" w:hAnsi="Arial"/>
          <w:sz w:val="19"/>
          <w:szCs w:val="19"/>
          <w:b w:val="1"/>
          <w:bCs w:val="1"/>
          <w:color w:val="auto"/>
        </w:rPr>
        <w:t>Tuesday, June 9, at 9:00 a.m. Eastern Time</w:t>
      </w:r>
      <w:r>
        <w:rPr>
          <w:rFonts w:ascii="Arial" w:cs="Arial" w:eastAsia="Arial" w:hAnsi="Arial"/>
          <w:sz w:val="19"/>
          <w:szCs w:val="19"/>
          <w:color w:val="auto"/>
        </w:rPr>
        <w:t xml:space="preserve"> to discuss this morning’s announcement.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gridSpan w:val="2"/>
          </w:tcPr>
          <w:p>
            <w:pPr>
              <w:spacing w:after="0"/>
              <w:rPr>
                <w:sz w:val="20"/>
                <w:szCs w:val="20"/>
                <w:color w:val="auto"/>
              </w:rPr>
            </w:pPr>
            <w:r>
              <w:rPr>
                <w:rFonts w:ascii="Arial" w:cs="Arial" w:eastAsia="Arial" w:hAnsi="Arial"/>
                <w:sz w:val="19"/>
                <w:szCs w:val="19"/>
                <w:b w:val="1"/>
                <w:bCs w:val="1"/>
                <w:color w:val="auto"/>
              </w:rPr>
              <w:t>Dial-in and Webcast Information</w:t>
            </w:r>
          </w:p>
        </w:tc>
        <w:tc>
          <w:tcPr>
            <w:tcW w:w="4920" w:type="dxa"/>
            <w:vAlign w:val="bottom"/>
            <w:vMerge w:val="restart"/>
          </w:tcPr>
          <w:p>
            <w:pPr>
              <w:ind w:left="720"/>
              <w:spacing w:after="0"/>
              <w:rPr>
                <w:sz w:val="20"/>
                <w:szCs w:val="20"/>
                <w:color w:val="auto"/>
              </w:rPr>
            </w:pPr>
            <w:r>
              <w:rPr>
                <w:rFonts w:ascii="Arial" w:cs="Arial" w:eastAsia="Arial" w:hAnsi="Arial"/>
                <w:sz w:val="19"/>
                <w:szCs w:val="19"/>
                <w:color w:val="auto"/>
                <w:w w:val="98"/>
              </w:rPr>
              <w:t>Tuesday, June 9, 2026, at 9:00 a.m. Eastern Time</w:t>
            </w:r>
          </w:p>
        </w:tc>
        <w:tc>
          <w:tcPr>
            <w:tcW w:w="0" w:type="dxa"/>
            <w:vAlign w:val="bottom"/>
          </w:tcPr>
          <w:p>
            <w:pPr>
              <w:spacing w:after="0"/>
              <w:rPr>
                <w:sz w:val="1"/>
                <w:szCs w:val="1"/>
                <w:color w:val="auto"/>
              </w:rPr>
            </w:pPr>
          </w:p>
        </w:tc>
      </w:tr>
      <w:tr>
        <w:trPr>
          <w:trHeight w:val="205"/>
        </w:trPr>
        <w:tc>
          <w:tcPr>
            <w:tcW w:w="2880" w:type="dxa"/>
            <w:vAlign w:val="bottom"/>
            <w:tcBorders>
              <w:top w:val="single" w:sz="8" w:color="auto"/>
            </w:tcBorders>
          </w:tcPr>
          <w:p>
            <w:pPr>
              <w:spacing w:after="0" w:line="204" w:lineRule="exact"/>
              <w:rPr>
                <w:sz w:val="20"/>
                <w:szCs w:val="20"/>
                <w:color w:val="auto"/>
              </w:rPr>
            </w:pPr>
            <w:r>
              <w:rPr>
                <w:rFonts w:ascii="Arial" w:cs="Arial" w:eastAsia="Arial" w:hAnsi="Arial"/>
                <w:sz w:val="19"/>
                <w:szCs w:val="19"/>
                <w:b w:val="1"/>
                <w:bCs w:val="1"/>
                <w:color w:val="000066"/>
              </w:rPr>
              <w:t>Date/Time:</w:t>
            </w:r>
          </w:p>
        </w:tc>
        <w:tc>
          <w:tcPr>
            <w:tcW w:w="72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spacing w:after="0" w:line="213" w:lineRule="exact"/>
              <w:rPr>
                <w:sz w:val="20"/>
                <w:szCs w:val="20"/>
                <w:color w:val="auto"/>
              </w:rPr>
            </w:pPr>
            <w:r>
              <w:rPr>
                <w:rFonts w:ascii="Arial" w:cs="Arial" w:eastAsia="Arial" w:hAnsi="Arial"/>
                <w:sz w:val="19"/>
                <w:szCs w:val="19"/>
                <w:b w:val="1"/>
                <w:bCs w:val="1"/>
                <w:color w:val="000066"/>
              </w:rPr>
              <w:t>Toll-Free (North America):</w:t>
            </w:r>
          </w:p>
        </w:tc>
        <w:tc>
          <w:tcPr>
            <w:tcW w:w="4920" w:type="dxa"/>
            <w:vAlign w:val="bottom"/>
          </w:tcPr>
          <w:p>
            <w:pPr>
              <w:ind w:left="720"/>
              <w:spacing w:after="0" w:line="213" w:lineRule="exact"/>
              <w:rPr>
                <w:sz w:val="20"/>
                <w:szCs w:val="20"/>
                <w:color w:val="auto"/>
              </w:rPr>
            </w:pPr>
            <w:r>
              <w:rPr>
                <w:rFonts w:ascii="Arial" w:cs="Arial" w:eastAsia="Arial" w:hAnsi="Arial"/>
                <w:sz w:val="19"/>
                <w:szCs w:val="19"/>
                <w:color w:val="auto"/>
              </w:rPr>
              <w:t>1-877-407-0789</w:t>
            </w:r>
          </w:p>
        </w:tc>
        <w:tc>
          <w:tcPr>
            <w:tcW w:w="0" w:type="dxa"/>
            <w:vAlign w:val="bottom"/>
          </w:tcPr>
          <w:p>
            <w:pPr>
              <w:spacing w:after="0"/>
              <w:rPr>
                <w:sz w:val="1"/>
                <w:szCs w:val="1"/>
                <w:color w:val="auto"/>
              </w:rPr>
            </w:pPr>
          </w:p>
        </w:tc>
      </w:tr>
      <w:tr>
        <w:trPr>
          <w:trHeight w:val="213"/>
        </w:trPr>
        <w:tc>
          <w:tcPr>
            <w:tcW w:w="3600" w:type="dxa"/>
            <w:vAlign w:val="bottom"/>
            <w:gridSpan w:val="2"/>
          </w:tcPr>
          <w:p>
            <w:pPr>
              <w:spacing w:after="0" w:line="213" w:lineRule="exact"/>
              <w:rPr>
                <w:sz w:val="20"/>
                <w:szCs w:val="20"/>
                <w:color w:val="auto"/>
              </w:rPr>
            </w:pPr>
            <w:r>
              <w:rPr>
                <w:rFonts w:ascii="Arial" w:cs="Arial" w:eastAsia="Arial" w:hAnsi="Arial"/>
                <w:sz w:val="19"/>
                <w:szCs w:val="19"/>
                <w:b w:val="1"/>
                <w:bCs w:val="1"/>
                <w:color w:val="000066"/>
              </w:rPr>
              <w:t>Toll/International:</w:t>
            </w:r>
          </w:p>
        </w:tc>
        <w:tc>
          <w:tcPr>
            <w:tcW w:w="4920" w:type="dxa"/>
            <w:vAlign w:val="bottom"/>
          </w:tcPr>
          <w:p>
            <w:pPr>
              <w:ind w:left="720"/>
              <w:spacing w:after="0" w:line="213" w:lineRule="exact"/>
              <w:rPr>
                <w:sz w:val="20"/>
                <w:szCs w:val="20"/>
                <w:color w:val="auto"/>
              </w:rPr>
            </w:pPr>
            <w:r>
              <w:rPr>
                <w:rFonts w:ascii="Arial" w:cs="Arial" w:eastAsia="Arial" w:hAnsi="Arial"/>
                <w:sz w:val="19"/>
                <w:szCs w:val="19"/>
                <w:color w:val="auto"/>
              </w:rPr>
              <w:t>1-201-689-8562</w:t>
            </w:r>
          </w:p>
        </w:tc>
        <w:tc>
          <w:tcPr>
            <w:tcW w:w="0" w:type="dxa"/>
            <w:vAlign w:val="bottom"/>
          </w:tcPr>
          <w:p>
            <w:pPr>
              <w:spacing w:after="0"/>
              <w:rPr>
                <w:sz w:val="1"/>
                <w:szCs w:val="1"/>
                <w:color w:val="auto"/>
              </w:rPr>
            </w:pPr>
          </w:p>
        </w:tc>
      </w:tr>
      <w:tr>
        <w:trPr>
          <w:trHeight w:val="231"/>
        </w:trPr>
        <w:tc>
          <w:tcPr>
            <w:tcW w:w="3600" w:type="dxa"/>
            <w:vAlign w:val="bottom"/>
            <w:gridSpan w:val="2"/>
          </w:tcPr>
          <w:p>
            <w:pPr>
              <w:spacing w:after="0"/>
              <w:rPr>
                <w:sz w:val="20"/>
                <w:szCs w:val="20"/>
                <w:color w:val="auto"/>
              </w:rPr>
            </w:pPr>
            <w:r>
              <w:rPr>
                <w:rFonts w:ascii="Arial" w:cs="Arial" w:eastAsia="Arial" w:hAnsi="Arial"/>
                <w:sz w:val="19"/>
                <w:szCs w:val="19"/>
                <w:b w:val="1"/>
                <w:bCs w:val="1"/>
                <w:color w:val="000066"/>
              </w:rPr>
              <w:t>Conference Call ID:</w:t>
            </w:r>
          </w:p>
        </w:tc>
        <w:tc>
          <w:tcPr>
            <w:tcW w:w="4920" w:type="dxa"/>
            <w:vAlign w:val="bottom"/>
          </w:tcPr>
          <w:p>
            <w:pPr>
              <w:ind w:left="720"/>
              <w:spacing w:after="0"/>
              <w:rPr>
                <w:sz w:val="20"/>
                <w:szCs w:val="20"/>
                <w:color w:val="auto"/>
              </w:rPr>
            </w:pPr>
            <w:r>
              <w:rPr>
                <w:rFonts w:ascii="Arial" w:cs="Arial" w:eastAsia="Arial" w:hAnsi="Arial"/>
                <w:sz w:val="19"/>
                <w:szCs w:val="19"/>
                <w:color w:val="auto"/>
              </w:rPr>
              <w:t>13760960</w:t>
            </w:r>
          </w:p>
        </w:tc>
        <w:tc>
          <w:tcPr>
            <w:tcW w:w="0" w:type="dxa"/>
            <w:vAlign w:val="bottom"/>
          </w:tcPr>
          <w:p>
            <w:pPr>
              <w:spacing w:after="0"/>
              <w:rPr>
                <w:sz w:val="1"/>
                <w:szCs w:val="1"/>
                <w:color w:val="auto"/>
              </w:rPr>
            </w:pPr>
          </w:p>
        </w:tc>
      </w:tr>
    </w:tbl>
    <w:p>
      <w:pPr>
        <w:spacing w:after="0" w:line="233" w:lineRule="auto"/>
        <w:rPr>
          <w:sz w:val="20"/>
          <w:szCs w:val="20"/>
          <w:color w:val="auto"/>
        </w:rPr>
      </w:pPr>
      <w:r>
        <w:rPr>
          <w:rFonts w:ascii="Arial" w:cs="Arial" w:eastAsia="Arial" w:hAnsi="Arial"/>
          <w:sz w:val="19"/>
          <w:szCs w:val="19"/>
          <w:b w:val="1"/>
          <w:bCs w:val="1"/>
          <w:color w:val="000066"/>
        </w:rPr>
        <w:t xml:space="preserve">Webcast Link: </w:t>
      </w:r>
      <w:r>
        <w:rPr>
          <w:rFonts w:ascii="Arial" w:cs="Arial" w:eastAsia="Arial" w:hAnsi="Arial"/>
          <w:sz w:val="19"/>
          <w:szCs w:val="19"/>
          <w:u w:val="single" w:color="auto"/>
          <w:color w:val="0000FF"/>
        </w:rPr>
        <w:t>https://viavid.webcasts.com/starthere.jsp?ei=1765783&amp;tp_key=e5c10b126a</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b w:val="1"/>
          <w:bCs w:val="1"/>
          <w:color w:val="000066"/>
        </w:rPr>
        <w:t xml:space="preserve">Call me™: </w:t>
      </w:r>
      <w:r>
        <w:rPr>
          <w:rFonts w:ascii="Arial" w:cs="Arial" w:eastAsia="Arial" w:hAnsi="Arial"/>
          <w:sz w:val="19"/>
          <w:szCs w:val="19"/>
          <w:color w:val="000000"/>
        </w:rPr>
        <w:t>Participants can use the Guest dial-in #s above and be answered by an operator, or click the Call me™ link for instant</w:t>
      </w:r>
      <w:r>
        <w:rPr>
          <w:rFonts w:ascii="Arial" w:cs="Arial" w:eastAsia="Arial" w:hAnsi="Arial"/>
          <w:sz w:val="19"/>
          <w:szCs w:val="19"/>
          <w:b w:val="1"/>
          <w:bCs w:val="1"/>
          <w:color w:val="000066"/>
        </w:rPr>
        <w:t xml:space="preserve"> </w:t>
      </w:r>
      <w:r>
        <w:rPr>
          <w:rFonts w:ascii="Arial" w:cs="Arial" w:eastAsia="Arial" w:hAnsi="Arial"/>
          <w:sz w:val="19"/>
          <w:szCs w:val="19"/>
          <w:color w:val="000000"/>
        </w:rPr>
        <w:t xml:space="preserve">telephone access to the event. Call me™ link will be made active 15 minutes prior to the scheduled start time. </w:t>
      </w:r>
      <w:r>
        <w:rPr>
          <w:rFonts w:ascii="Arial" w:cs="Arial" w:eastAsia="Arial" w:hAnsi="Arial"/>
          <w:sz w:val="19"/>
          <w:szCs w:val="19"/>
          <w:u w:val="single" w:color="auto"/>
          <w:color w:val="0000FF"/>
        </w:rPr>
        <w:t>Call me Link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00" w:type="dxa"/>
            <w:vAlign w:val="bottom"/>
            <w:gridSpan w:val="2"/>
          </w:tcPr>
          <w:p>
            <w:pPr>
              <w:spacing w:after="0"/>
              <w:rPr>
                <w:sz w:val="20"/>
                <w:szCs w:val="20"/>
                <w:color w:val="auto"/>
              </w:rPr>
            </w:pPr>
            <w:r>
              <w:rPr>
                <w:rFonts w:ascii="Arial" w:cs="Arial" w:eastAsia="Arial" w:hAnsi="Arial"/>
                <w:sz w:val="19"/>
                <w:szCs w:val="19"/>
                <w:b w:val="1"/>
                <w:bCs w:val="1"/>
                <w:color w:val="auto"/>
              </w:rPr>
              <w:t>Replay Information</w:t>
            </w:r>
          </w:p>
        </w:tc>
        <w:tc>
          <w:tcPr>
            <w:tcW w:w="5420" w:type="dxa"/>
            <w:vAlign w:val="bottom"/>
            <w:vMerge w:val="restart"/>
          </w:tcPr>
          <w:p>
            <w:pPr>
              <w:ind w:left="1020"/>
              <w:spacing w:after="0"/>
              <w:rPr>
                <w:sz w:val="20"/>
                <w:szCs w:val="20"/>
                <w:color w:val="auto"/>
              </w:rPr>
            </w:pPr>
            <w:r>
              <w:rPr>
                <w:rFonts w:ascii="Arial" w:cs="Arial" w:eastAsia="Arial" w:hAnsi="Arial"/>
                <w:sz w:val="19"/>
                <w:szCs w:val="19"/>
                <w:color w:val="auto"/>
              </w:rPr>
              <w:t>1-844-512-2921</w:t>
            </w: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00" w:type="dxa"/>
            <w:vAlign w:val="bottom"/>
            <w:gridSpan w:val="2"/>
          </w:tcPr>
          <w:p>
            <w:pPr>
              <w:spacing w:after="0" w:line="204" w:lineRule="exact"/>
              <w:rPr>
                <w:sz w:val="20"/>
                <w:szCs w:val="20"/>
                <w:color w:val="auto"/>
              </w:rPr>
            </w:pPr>
            <w:r>
              <w:rPr>
                <w:rFonts w:ascii="Arial" w:cs="Arial" w:eastAsia="Arial" w:hAnsi="Arial"/>
                <w:sz w:val="19"/>
                <w:szCs w:val="19"/>
                <w:b w:val="1"/>
                <w:bCs w:val="1"/>
                <w:color w:val="000066"/>
              </w:rPr>
              <w:t>Toll-Free (North America)</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spacing w:after="0" w:line="213" w:lineRule="exact"/>
              <w:rPr>
                <w:sz w:val="20"/>
                <w:szCs w:val="20"/>
                <w:color w:val="auto"/>
              </w:rPr>
            </w:pPr>
            <w:r>
              <w:rPr>
                <w:rFonts w:ascii="Arial" w:cs="Arial" w:eastAsia="Arial" w:hAnsi="Arial"/>
                <w:sz w:val="19"/>
                <w:szCs w:val="19"/>
                <w:b w:val="1"/>
                <w:bCs w:val="1"/>
                <w:color w:val="000066"/>
              </w:rPr>
              <w:t>Toll/International:</w:t>
            </w:r>
          </w:p>
        </w:tc>
        <w:tc>
          <w:tcPr>
            <w:tcW w:w="5420" w:type="dxa"/>
            <w:vAlign w:val="bottom"/>
          </w:tcPr>
          <w:p>
            <w:pPr>
              <w:ind w:left="1020"/>
              <w:spacing w:after="0" w:line="213" w:lineRule="exact"/>
              <w:rPr>
                <w:sz w:val="20"/>
                <w:szCs w:val="20"/>
                <w:color w:val="auto"/>
              </w:rPr>
            </w:pPr>
            <w:r>
              <w:rPr>
                <w:rFonts w:ascii="Arial" w:cs="Arial" w:eastAsia="Arial" w:hAnsi="Arial"/>
                <w:sz w:val="19"/>
                <w:szCs w:val="19"/>
                <w:color w:val="auto"/>
              </w:rPr>
              <w:t>1-412-317-6671</w:t>
            </w:r>
          </w:p>
        </w:tc>
        <w:tc>
          <w:tcPr>
            <w:tcW w:w="0" w:type="dxa"/>
            <w:vAlign w:val="bottom"/>
          </w:tcPr>
          <w:p>
            <w:pPr>
              <w:spacing w:after="0"/>
              <w:rPr>
                <w:sz w:val="1"/>
                <w:szCs w:val="1"/>
                <w:color w:val="auto"/>
              </w:rPr>
            </w:pPr>
          </w:p>
        </w:tc>
      </w:tr>
      <w:tr>
        <w:trPr>
          <w:trHeight w:val="213"/>
        </w:trPr>
        <w:tc>
          <w:tcPr>
            <w:tcW w:w="3300" w:type="dxa"/>
            <w:vAlign w:val="bottom"/>
            <w:gridSpan w:val="2"/>
          </w:tcPr>
          <w:p>
            <w:pPr>
              <w:spacing w:after="0" w:line="213" w:lineRule="exact"/>
              <w:rPr>
                <w:sz w:val="20"/>
                <w:szCs w:val="20"/>
                <w:color w:val="auto"/>
              </w:rPr>
            </w:pPr>
            <w:r>
              <w:rPr>
                <w:rFonts w:ascii="Arial" w:cs="Arial" w:eastAsia="Arial" w:hAnsi="Arial"/>
                <w:sz w:val="19"/>
                <w:szCs w:val="19"/>
                <w:b w:val="1"/>
                <w:bCs w:val="1"/>
                <w:color w:val="000066"/>
              </w:rPr>
              <w:t>Conference Call ID:</w:t>
            </w:r>
          </w:p>
        </w:tc>
        <w:tc>
          <w:tcPr>
            <w:tcW w:w="5420" w:type="dxa"/>
            <w:vAlign w:val="bottom"/>
          </w:tcPr>
          <w:p>
            <w:pPr>
              <w:ind w:left="1020"/>
              <w:spacing w:after="0" w:line="213" w:lineRule="exact"/>
              <w:rPr>
                <w:sz w:val="20"/>
                <w:szCs w:val="20"/>
                <w:color w:val="auto"/>
              </w:rPr>
            </w:pPr>
            <w:r>
              <w:rPr>
                <w:rFonts w:ascii="Arial" w:cs="Arial" w:eastAsia="Arial" w:hAnsi="Arial"/>
                <w:sz w:val="19"/>
                <w:szCs w:val="19"/>
                <w:color w:val="auto"/>
              </w:rPr>
              <w:t>13760960</w:t>
            </w:r>
          </w:p>
        </w:tc>
        <w:tc>
          <w:tcPr>
            <w:tcW w:w="0" w:type="dxa"/>
            <w:vAlign w:val="bottom"/>
          </w:tcPr>
          <w:p>
            <w:pPr>
              <w:spacing w:after="0"/>
              <w:rPr>
                <w:sz w:val="1"/>
                <w:szCs w:val="1"/>
                <w:color w:val="auto"/>
              </w:rPr>
            </w:pPr>
          </w:p>
        </w:tc>
      </w:tr>
      <w:tr>
        <w:trPr>
          <w:trHeight w:val="259"/>
        </w:trPr>
        <w:tc>
          <w:tcPr>
            <w:tcW w:w="3300" w:type="dxa"/>
            <w:vAlign w:val="bottom"/>
            <w:gridSpan w:val="2"/>
          </w:tcPr>
          <w:p>
            <w:pPr>
              <w:spacing w:after="0"/>
              <w:rPr>
                <w:sz w:val="20"/>
                <w:szCs w:val="20"/>
                <w:color w:val="auto"/>
              </w:rPr>
            </w:pPr>
            <w:r>
              <w:rPr>
                <w:rFonts w:ascii="Arial" w:cs="Arial" w:eastAsia="Arial" w:hAnsi="Arial"/>
                <w:sz w:val="19"/>
                <w:szCs w:val="19"/>
                <w:b w:val="1"/>
                <w:bCs w:val="1"/>
                <w:color w:val="000066"/>
              </w:rPr>
              <w:t>Expiration:</w:t>
            </w:r>
          </w:p>
        </w:tc>
        <w:tc>
          <w:tcPr>
            <w:tcW w:w="5420" w:type="dxa"/>
            <w:vAlign w:val="bottom"/>
          </w:tcPr>
          <w:p>
            <w:pPr>
              <w:ind w:left="1020"/>
              <w:spacing w:after="0"/>
              <w:rPr>
                <w:sz w:val="20"/>
                <w:szCs w:val="20"/>
                <w:color w:val="auto"/>
              </w:rPr>
            </w:pPr>
            <w:r>
              <w:rPr>
                <w:rFonts w:ascii="Arial" w:cs="Arial" w:eastAsia="Arial" w:hAnsi="Arial"/>
                <w:sz w:val="19"/>
                <w:szCs w:val="19"/>
                <w:color w:val="auto"/>
                <w:w w:val="98"/>
              </w:rPr>
              <w:t>Tuesday, June 23, 2026, at 11:59 p.m. Eastern Time</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597535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3" w:right="319" w:bottom="1440" w:gutter="0" w:footer="0" w:header="0"/>
        </w:sectPr>
      </w:pPr>
    </w:p>
    <w:bookmarkStart w:id="6" w:name="page7"/>
    <w:bookmarkEnd w:id="6"/>
    <w:p>
      <w:pPr>
        <w:jc w:val="both"/>
        <w:spacing w:after="0" w:line="242" w:lineRule="auto"/>
        <w:rPr>
          <w:sz w:val="20"/>
          <w:szCs w:val="20"/>
          <w:color w:val="auto"/>
        </w:rPr>
      </w:pPr>
      <w:r>
        <w:rPr>
          <w:rFonts w:ascii="Arial" w:cs="Arial" w:eastAsia="Arial" w:hAnsi="Arial"/>
          <w:sz w:val="19"/>
          <w:szCs w:val="19"/>
          <w:b w:val="1"/>
          <w:bCs w:val="1"/>
          <w:color w:val="auto"/>
        </w:rPr>
        <w:t xml:space="preserve">About Palladyne AI </w:t>
      </w:r>
      <w:r>
        <w:rPr>
          <w:rFonts w:ascii="Arial" w:cs="Arial" w:eastAsia="Arial" w:hAnsi="Arial"/>
          <w:sz w:val="19"/>
          <w:szCs w:val="19"/>
          <w:color w:val="auto"/>
        </w:rPr>
        <w:t>- Palladyne AI (NASDAQ: PDYN) is a U.S.-based defense and technology company delivering patented</w:t>
      </w:r>
      <w:r>
        <w:rPr>
          <w:rFonts w:ascii="Arial" w:cs="Arial" w:eastAsia="Arial" w:hAnsi="Arial"/>
          <w:sz w:val="19"/>
          <w:szCs w:val="19"/>
          <w:b w:val="1"/>
          <w:bCs w:val="1"/>
          <w:color w:val="auto"/>
        </w:rPr>
        <w:t xml:space="preserve"> </w:t>
      </w:r>
      <w:r>
        <w:rPr>
          <w:rFonts w:ascii="Arial" w:cs="Arial" w:eastAsia="Arial" w:hAnsi="Arial"/>
          <w:sz w:val="19"/>
          <w:szCs w:val="19"/>
          <w:color w:val="auto"/>
        </w:rPr>
        <w:t>embodied artificial intelligence, collaborative autonomy solutions, advanced avionics, autonomous systems, and precision-manufactured components for defense and industrial markets. Through its GuideTech engineering services subsidiary and its manufacturing companies, Palladyne AI operates as a vertically integrated platform capable of executing across the full value chain — from component production and systems integration to autonomy software and mission-level orchestration.</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Palladyne AI's embodied AI is designed to operate in complex, contested, and high-risk environments, enabling distributed tasking, human-on-the-loop decision-making, degraded-communications resilience, and multi-domain coordination. Its platform-agnostic autonomy stack combines real-time sensor fusion, adaptive AI models, and edge-native orchestration — without vendor lock-in — across air, ground, maritime, and industrial domains.</w:t>
      </w:r>
    </w:p>
    <w:p>
      <w:pPr>
        <w:spacing w:after="0" w:line="11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Palladyne Aerospace and Defense, the company's defense contracting division, is positioned as a mid-tier U.S. technology prime, bridging advanced autonomy, practical engineering, and American manufacturing to bring intelligent systems into active service faster and more cost-effectively than legacy approaches. Palladyne Aerospace and Defense delivers software, components, subsystems, and complete loitering munition systems aligned with the Department of War’s growing demand for cost-effective, rapidly deployable, and domestically produced capabilities.</w:t>
      </w:r>
    </w:p>
    <w:p>
      <w:pPr>
        <w:spacing w:after="0" w:line="117"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 xml:space="preserve">All Palladyne AI platforms are American-developed and operated, designed to meet the stringent requirements of U.S. government customers, including data sovereignty, security, and compliance. For more information, visit </w:t>
      </w:r>
      <w:r>
        <w:rPr>
          <w:rFonts w:ascii="Arial" w:cs="Arial" w:eastAsia="Arial" w:hAnsi="Arial"/>
          <w:sz w:val="19"/>
          <w:szCs w:val="19"/>
          <w:u w:val="single" w:color="auto"/>
          <w:color w:val="0000FF"/>
        </w:rPr>
        <w:t>www.palladyneai.com.information</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color w:val="auto"/>
        </w:rPr>
        <w:t xml:space="preserve">About IAI - </w:t>
      </w:r>
      <w:r>
        <w:rPr>
          <w:rFonts w:ascii="Arial" w:cs="Arial" w:eastAsia="Arial" w:hAnsi="Arial"/>
          <w:sz w:val="19"/>
          <w:szCs w:val="19"/>
          <w:color w:val="auto"/>
        </w:rPr>
        <w:t>Israel Aerospace Industries (IAI) is a world-leading aerospace and defense company innovating and delivering state-of-the-art technologies in space, air, land, naval, cyber for defense and commercial markets. Combining the spirit of innovation with decades of combat-proven experience, IAI provides customers with tailor-made, cutting-edge solutions to the unique challenges they face, including satellites, UAVs, missiles, intelligence solutions, weapon systems, air defense systems, robotic systems, radars, business jets, aerostructures, and more. Established in 1953, IAI is one of Israel’s largest technology employers with offices and R&amp;D centers in Israel and abroad. IAI’s presence in the United States is built on long-standing partnerships and includes steadily growing local production capabilities through U.S. subsidiaries such as Stark Aerospace in Columbus, Mississippi.</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statements regarding potential future expansion of the partnership; the benefits to the U.S. military of IAI’s systems’ capabilities; speed of system delivery; and Palladyne AI’s engineering and manufacturing.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575310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3" w:right="319" w:bottom="1440" w:gutter="0" w:footer="0" w:header="0"/>
        </w:sectPr>
      </w:pPr>
    </w:p>
    <w:bookmarkStart w:id="7" w:name="page8"/>
    <w:bookmarkEnd w:id="7"/>
    <w:p>
      <w:pPr>
        <w:jc w:val="both"/>
        <w:ind w:left="5"/>
        <w:spacing w:after="0" w:line="237" w:lineRule="auto"/>
        <w:rPr>
          <w:sz w:val="20"/>
          <w:szCs w:val="20"/>
          <w:color w:val="auto"/>
        </w:rPr>
      </w:pPr>
      <w:r>
        <w:rPr>
          <w:rFonts w:ascii="Arial" w:cs="Arial" w:eastAsia="Arial" w:hAnsi="Arial"/>
          <w:sz w:val="19"/>
          <w:szCs w:val="19"/>
          <w:color w:val="auto"/>
        </w:rPr>
        <w:t>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“continue” or similar expressions. Such forward-looking statements involve risks and uncertainties that may cause actual events, results, or performance to differ materially from those indicated by such statements. These forward-looking statements are based on Palladyne AI’s management’s current expectations and beliefs, as well as a number of assumptions concerning future events. However, there can be no assurance that the events, results, or trends identified in these forward-looking statements will occur or be achieved. Forward-looking statements speak only as of the date they are made, and Palladyne AI is not under any obligation and expressly disclaims any obligation, to update, alter or otherwise revise any forward-looking statement, whether as a result of new information, future events, or otherwise, except as required by law.</w:t>
      </w:r>
    </w:p>
    <w:p>
      <w:pPr>
        <w:spacing w:after="0" w:line="134" w:lineRule="exact"/>
        <w:rPr>
          <w:sz w:val="20"/>
          <w:szCs w:val="20"/>
          <w:color w:val="auto"/>
        </w:rPr>
      </w:pPr>
    </w:p>
    <w:p>
      <w:pPr>
        <w:jc w:val="both"/>
        <w:ind w:left="5"/>
        <w:spacing w:after="0" w:line="242" w:lineRule="auto"/>
        <w:rPr>
          <w:sz w:val="20"/>
          <w:szCs w:val="20"/>
          <w:color w:val="auto"/>
        </w:rPr>
      </w:pPr>
      <w:r>
        <w:rPr>
          <w:rFonts w:ascii="Arial" w:cs="Arial" w:eastAsia="Arial" w:hAnsi="Arial"/>
          <w:sz w:val="19"/>
          <w:szCs w:val="19"/>
          <w:color w:val="auto"/>
        </w:rPr>
        <w:t>Readers should carefully review the statements set forth in the reports which Palladyne AI has filed or will file from time to time with the Securities and Exchange Commission (the “SEC”), in particular the risks and uncertainties set forth in the sections of those reports entitled “Risk Factors” and “Cautionary Note Regarding Forward-Looking Statements,” for a description of risks facing Palladyne AI and that could cause actual events, results or performance to differ from those indicated in the forward-looking statements contained herein. The documents filed by Palladyne AI with the SEC may be obtained free of charge at the SEC’s website at www.sec.gov.</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Palladyne AI Investor Contact:</w:t>
      </w:r>
    </w:p>
    <w:p>
      <w:pPr>
        <w:spacing w:after="0" w:line="7" w:lineRule="exact"/>
        <w:rPr>
          <w:sz w:val="20"/>
          <w:szCs w:val="20"/>
          <w:color w:val="auto"/>
        </w:rPr>
      </w:pPr>
    </w:p>
    <w:p>
      <w:pPr>
        <w:ind w:left="5"/>
        <w:spacing w:after="0"/>
        <w:rPr>
          <w:sz w:val="20"/>
          <w:szCs w:val="20"/>
          <w:color w:val="auto"/>
        </w:rPr>
      </w:pPr>
      <w:r>
        <w:rPr>
          <w:rFonts w:ascii="Arial" w:cs="Arial" w:eastAsia="Arial" w:hAnsi="Arial"/>
          <w:sz w:val="19"/>
          <w:szCs w:val="19"/>
          <w:color w:val="auto"/>
        </w:rPr>
        <w:t>Brian S. Siegel, IRC®, M.B.A.</w:t>
      </w:r>
    </w:p>
    <w:p>
      <w:pPr>
        <w:ind w:left="5"/>
        <w:spacing w:after="0" w:line="233" w:lineRule="auto"/>
        <w:rPr>
          <w:sz w:val="20"/>
          <w:szCs w:val="20"/>
          <w:color w:val="auto"/>
        </w:rPr>
      </w:pPr>
      <w:r>
        <w:rPr>
          <w:rFonts w:ascii="Arial" w:cs="Arial" w:eastAsia="Arial" w:hAnsi="Arial"/>
          <w:sz w:val="19"/>
          <w:szCs w:val="19"/>
          <w:color w:val="auto"/>
        </w:rPr>
        <w:t>Senior Managing Director</w:t>
      </w:r>
    </w:p>
    <w:p>
      <w:pPr>
        <w:ind w:left="5"/>
        <w:spacing w:after="0" w:line="234" w:lineRule="auto"/>
        <w:rPr>
          <w:sz w:val="20"/>
          <w:szCs w:val="20"/>
          <w:color w:val="auto"/>
        </w:rPr>
      </w:pPr>
      <w:r>
        <w:rPr>
          <w:rFonts w:ascii="Arial" w:cs="Arial" w:eastAsia="Arial" w:hAnsi="Arial"/>
          <w:sz w:val="19"/>
          <w:szCs w:val="19"/>
          <w:color w:val="auto"/>
        </w:rPr>
        <w:t>Hayden IR - Chicago</w:t>
      </w:r>
    </w:p>
    <w:p>
      <w:pPr>
        <w:spacing w:after="0" w:line="1" w:lineRule="exact"/>
        <w:rPr>
          <w:sz w:val="20"/>
          <w:szCs w:val="20"/>
          <w:color w:val="auto"/>
        </w:rPr>
      </w:pPr>
    </w:p>
    <w:p>
      <w:pPr>
        <w:ind w:left="5" w:right="9520" w:hanging="5"/>
        <w:spacing w:after="0" w:line="26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396-8696 (o) </w:t>
      </w:r>
      <w:r>
        <w:rPr>
          <w:rFonts w:ascii="Arial" w:cs="Arial" w:eastAsia="Arial" w:hAnsi="Arial"/>
          <w:sz w:val="18"/>
          <w:szCs w:val="18"/>
          <w:u w:val="single" w:color="auto"/>
          <w:color w:val="0000FF"/>
        </w:rPr>
        <w:t>brian@haydenir.com IR@palladyneai.com</w:t>
      </w:r>
    </w:p>
    <w:p>
      <w:pPr>
        <w:spacing w:after="0" w:line="10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Palladyne AI Press Contact:</w:t>
      </w:r>
    </w:p>
    <w:p>
      <w:pPr>
        <w:spacing w:after="0" w:line="7" w:lineRule="exact"/>
        <w:rPr>
          <w:sz w:val="20"/>
          <w:szCs w:val="20"/>
          <w:color w:val="auto"/>
        </w:rPr>
      </w:pPr>
    </w:p>
    <w:p>
      <w:pPr>
        <w:ind w:left="5"/>
        <w:spacing w:after="0"/>
        <w:rPr>
          <w:sz w:val="20"/>
          <w:szCs w:val="20"/>
          <w:color w:val="auto"/>
        </w:rPr>
      </w:pPr>
      <w:r>
        <w:rPr>
          <w:rFonts w:ascii="Arial" w:cs="Arial" w:eastAsia="Arial" w:hAnsi="Arial"/>
          <w:sz w:val="19"/>
          <w:szCs w:val="19"/>
          <w:color w:val="auto"/>
        </w:rPr>
        <w:t>Heath Meyer</w:t>
      </w:r>
    </w:p>
    <w:p>
      <w:pPr>
        <w:jc w:val="center"/>
        <w:ind w:left="5" w:right="9440" w:hanging="5"/>
        <w:spacing w:after="0" w:line="27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768-1527 </w:t>
      </w:r>
      <w:r>
        <w:rPr>
          <w:rFonts w:ascii="Arial" w:cs="Arial" w:eastAsia="Arial" w:hAnsi="Arial"/>
          <w:sz w:val="18"/>
          <w:szCs w:val="18"/>
          <w:u w:val="single" w:color="auto"/>
          <w:color w:val="0000FF"/>
        </w:rPr>
        <w:t>PR@palladyneai.com</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IAI Press Contact:</w:t>
      </w:r>
    </w:p>
    <w:p>
      <w:pPr>
        <w:spacing w:after="0" w:line="7" w:lineRule="exact"/>
        <w:rPr>
          <w:sz w:val="20"/>
          <w:szCs w:val="20"/>
          <w:color w:val="auto"/>
        </w:rPr>
      </w:pPr>
    </w:p>
    <w:p>
      <w:pPr>
        <w:ind w:left="5"/>
        <w:spacing w:after="0"/>
        <w:rPr>
          <w:sz w:val="20"/>
          <w:szCs w:val="20"/>
          <w:color w:val="auto"/>
        </w:rPr>
      </w:pPr>
      <w:r>
        <w:rPr>
          <w:rFonts w:ascii="Arial" w:cs="Arial" w:eastAsia="Arial" w:hAnsi="Arial"/>
          <w:sz w:val="19"/>
          <w:szCs w:val="19"/>
          <w:color w:val="auto"/>
        </w:rPr>
        <w:t>Dafna Slyper</w:t>
      </w:r>
    </w:p>
    <w:p>
      <w:pPr>
        <w:ind w:left="485" w:hanging="485"/>
        <w:spacing w:after="0" w:line="233" w:lineRule="auto"/>
        <w:tabs>
          <w:tab w:leader="none" w:pos="485" w:val="left"/>
        </w:tabs>
        <w:numPr>
          <w:ilvl w:val="0"/>
          <w:numId w:val="4"/>
        </w:numPr>
        <w:rPr>
          <w:rFonts w:ascii="Arial" w:cs="Arial" w:eastAsia="Arial" w:hAnsi="Arial"/>
          <w:sz w:val="19"/>
          <w:szCs w:val="19"/>
          <w:color w:val="auto"/>
        </w:rPr>
      </w:pPr>
      <w:r>
        <w:rPr>
          <w:rFonts w:ascii="Arial" w:cs="Arial" w:eastAsia="Arial" w:hAnsi="Arial"/>
          <w:sz w:val="19"/>
          <w:szCs w:val="19"/>
          <w:color w:val="auto"/>
        </w:rPr>
        <w:t>523189797</w:t>
      </w:r>
    </w:p>
    <w:p>
      <w:pPr>
        <w:ind w:left="5"/>
        <w:spacing w:after="0"/>
        <w:rPr>
          <w:rFonts w:ascii="Arial" w:cs="Arial" w:eastAsia="Arial" w:hAnsi="Arial"/>
          <w:sz w:val="19"/>
          <w:szCs w:val="19"/>
          <w:color w:val="auto"/>
        </w:rPr>
      </w:pPr>
      <w:r>
        <w:rPr>
          <w:rFonts w:ascii="Arial" w:cs="Arial" w:eastAsia="Arial" w:hAnsi="Arial"/>
          <w:sz w:val="19"/>
          <w:szCs w:val="19"/>
          <w:u w:val="single" w:color="auto"/>
          <w:color w:val="0000FF"/>
        </w:rPr>
        <w:t>daravitz@iai.co.il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588010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3"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23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47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47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346"/>
    </w:lvl>
  </w:abstractNum>
  <w:abstractNum w:abstractNumId="2">
    <w:nsid w:val="2AE8944A"/>
    <w:multiLevelType w:val="hybridMultilevel"/>
    <w:lvl w:ilvl="0">
      <w:lvlJc w:val="left"/>
      <w:lvlText w:val="(%1)"/>
      <w:numFmt w:val="decimal"/>
      <w:start w:val="858"/>
    </w:lvl>
  </w:abstractNum>
  <w:abstractNum w:abstractNumId="3">
    <w:nsid w:val="625558EC"/>
    <w:multiLevelType w:val="hybridMultilevel"/>
    <w:lvl w:ilvl="0">
      <w:lvlJc w:val="left"/>
      <w:lvlText w:val="(%1)"/>
      <w:numFmt w:val="decimal"/>
      <w:start w:val="97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2026-06-08T06:09:11Z</dcterms:created>
  <dcterms:modified xsi:type="dcterms:W3CDTF">2026-06-08T06:09:11Z</dcterms:modified>
</cp:coreProperties>
</file>