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4100" w:right="2860" w:hanging="4083"/>
        <w:spacing w:after="0" w:line="303" w:lineRule="auto"/>
        <w:tabs>
          <w:tab w:leader="none" w:pos="468"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3" w:lineRule="exact"/>
        <w:rPr>
          <w:sz w:val="24"/>
          <w:szCs w:val="24"/>
          <w:color w:val="auto"/>
        </w:rPr>
      </w:pPr>
    </w:p>
    <w:p>
      <w:pPr>
        <w:ind w:left="460" w:right="120" w:hanging="443"/>
        <w:spacing w:after="0" w:line="290" w:lineRule="auto"/>
        <w:tabs>
          <w:tab w:leader="none" w:pos="4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80" w:type="dxa"/>
            <w:vAlign w:val="bottom"/>
            <w:gridSpan w:val="5"/>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Commission File Number 001-39897</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3"/>
        </w:trPr>
        <w:tc>
          <w:tcPr>
            <w:tcW w:w="3720" w:type="dxa"/>
            <w:vAlign w:val="bottom"/>
          </w:tcPr>
          <w:p>
            <w:pPr>
              <w:spacing w:after="0"/>
              <w:rPr>
                <w:sz w:val="24"/>
                <w:szCs w:val="24"/>
                <w:color w:val="auto"/>
              </w:rPr>
            </w:pPr>
          </w:p>
        </w:tc>
        <w:tc>
          <w:tcPr>
            <w:tcW w:w="3880" w:type="dxa"/>
            <w:vAlign w:val="bottom"/>
            <w:gridSpan w:val="6"/>
          </w:tcPr>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Palladyne AI Corp.</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20" w:type="dxa"/>
            <w:vAlign w:val="bottom"/>
            <w:vMerge w:val="restart"/>
          </w:tcPr>
          <w:p>
            <w:pPr>
              <w:jc w:val="center"/>
              <w:ind w:left="183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640" w:type="dxa"/>
            <w:vAlign w:val="bottom"/>
            <w:vMerge w:val="restart"/>
          </w:tcPr>
          <w:p>
            <w:pPr>
              <w:jc w:val="center"/>
              <w:ind w:right="1913"/>
              <w:spacing w:after="0"/>
              <w:rPr>
                <w:sz w:val="20"/>
                <w:szCs w:val="20"/>
                <w:color w:val="auto"/>
              </w:rPr>
            </w:pPr>
            <w:r>
              <w:rPr>
                <w:rFonts w:ascii="Times New Roman" w:cs="Times New Roman" w:eastAsia="Times New Roman" w:hAnsi="Times New Roman"/>
                <w:sz w:val="14"/>
                <w:szCs w:val="14"/>
                <w:b w:val="1"/>
                <w:bCs w:val="1"/>
                <w:color w:val="auto"/>
              </w:rPr>
              <w:t>85-2838301</w:t>
            </w:r>
          </w:p>
        </w:tc>
        <w:tc>
          <w:tcPr>
            <w:tcW w:w="0" w:type="dxa"/>
            <w:vAlign w:val="bottom"/>
          </w:tcPr>
          <w:p>
            <w:pPr>
              <w:spacing w:after="0"/>
              <w:rPr>
                <w:sz w:val="1"/>
                <w:szCs w:val="1"/>
                <w:color w:val="auto"/>
              </w:rPr>
            </w:pPr>
          </w:p>
        </w:tc>
      </w:tr>
      <w:tr>
        <w:trPr>
          <w:trHeight w:val="134"/>
        </w:trPr>
        <w:tc>
          <w:tcPr>
            <w:tcW w:w="37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tcPr>
          <w:p>
            <w:pPr>
              <w:jc w:val="center"/>
              <w:ind w:left="183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jc w:val="center"/>
              <w:ind w:right="1913"/>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720" w:type="dxa"/>
            <w:vAlign w:val="bottom"/>
          </w:tcPr>
          <w:p>
            <w:pPr>
              <w:jc w:val="center"/>
              <w:ind w:left="185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3"/>
            <w:vMerge w:val="restart"/>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650 South 500 West, Suite 150</w:t>
            </w:r>
          </w:p>
        </w:tc>
        <w:tc>
          <w:tcPr>
            <w:tcW w:w="3640" w:type="dxa"/>
            <w:vAlign w:val="bottom"/>
          </w:tcPr>
          <w:p>
            <w:pPr>
              <w:jc w:val="center"/>
              <w:ind w:right="191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3"/>
            <w:vMerge w:val="continue"/>
          </w:tcPr>
          <w:p>
            <w:pPr>
              <w:spacing w:after="0"/>
              <w:rPr>
                <w:sz w:val="13"/>
                <w:szCs w:val="13"/>
                <w:color w:val="auto"/>
              </w:rPr>
            </w:pP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Salt Lake City, Utah, 84101</w:t>
            </w: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gridSpan w:val="4"/>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3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gridSpan w:val="3"/>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(888) 927-7296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8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3880" w:type="dxa"/>
            <w:vAlign w:val="bottom"/>
            <w:gridSpan w:val="6"/>
          </w:tcPr>
          <w:p>
            <w:pPr>
              <w:jc w:val="center"/>
              <w:ind w:right="80"/>
              <w:spacing w:after="0" w:line="163" w:lineRule="exact"/>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3"/>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720" w:type="dxa"/>
            <w:vAlign w:val="bottom"/>
          </w:tcPr>
          <w:p>
            <w:pPr>
              <w:jc w:val="center"/>
              <w:ind w:left="633"/>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3"/>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640" w:type="dxa"/>
            <w:vAlign w:val="bottom"/>
          </w:tcPr>
          <w:p>
            <w:pPr>
              <w:jc w:val="center"/>
              <w:ind w:right="673"/>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68"/>
        </w:trPr>
        <w:tc>
          <w:tcPr>
            <w:tcW w:w="3720" w:type="dxa"/>
            <w:vAlign w:val="bottom"/>
            <w:tcBorders>
              <w:top w:val="single" w:sz="8" w:color="auto"/>
            </w:tcBorders>
          </w:tcPr>
          <w:p>
            <w:pPr>
              <w:jc w:val="center"/>
              <w:ind w:left="613"/>
              <w:spacing w:after="0"/>
              <w:rPr>
                <w:sz w:val="20"/>
                <w:szCs w:val="20"/>
                <w:color w:val="auto"/>
              </w:rPr>
            </w:pPr>
            <w:r>
              <w:rPr>
                <w:rFonts w:ascii="Times New Roman" w:cs="Times New Roman" w:eastAsia="Times New Roman" w:hAnsi="Times New Roman"/>
                <w:sz w:val="13"/>
                <w:szCs w:val="13"/>
                <w:color w:val="auto"/>
              </w:rPr>
              <w:t>Common Stock, $0.0001 par value per share</w:t>
            </w:r>
          </w:p>
        </w:tc>
        <w:tc>
          <w:tcPr>
            <w:tcW w:w="6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PDYN</w:t>
            </w: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640" w:type="dxa"/>
            <w:vAlign w:val="bottom"/>
            <w:tcBorders>
              <w:top w:val="single" w:sz="8" w:color="auto"/>
            </w:tcBorders>
          </w:tcPr>
          <w:p>
            <w:pPr>
              <w:jc w:val="center"/>
              <w:ind w:right="673"/>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258"/>
        </w:trPr>
        <w:tc>
          <w:tcPr>
            <w:tcW w:w="43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Redeemable warrants, exercisable for shares of Common Stock at an exercise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gridSpan w:val="3"/>
            <w:vMerge w:val="restart"/>
          </w:tcPr>
          <w:p>
            <w:pPr>
              <w:jc w:val="center"/>
              <w:ind w:right="840"/>
              <w:spacing w:after="0"/>
              <w:rPr>
                <w:sz w:val="20"/>
                <w:szCs w:val="20"/>
                <w:color w:val="auto"/>
              </w:rPr>
            </w:pPr>
            <w:r>
              <w:rPr>
                <w:rFonts w:ascii="Times New Roman" w:cs="Times New Roman" w:eastAsia="Times New Roman" w:hAnsi="Times New Roman"/>
                <w:sz w:val="13"/>
                <w:szCs w:val="13"/>
                <w:color w:val="auto"/>
              </w:rPr>
              <w:t>PDYNW</w:t>
            </w:r>
          </w:p>
        </w:tc>
        <w:tc>
          <w:tcPr>
            <w:tcW w:w="3640" w:type="dxa"/>
            <w:vAlign w:val="bottom"/>
          </w:tcPr>
          <w:p>
            <w:pPr>
              <w:jc w:val="center"/>
              <w:ind w:right="673"/>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93"/>
        </w:trPr>
        <w:tc>
          <w:tcPr>
            <w:tcW w:w="3720" w:type="dxa"/>
            <w:vAlign w:val="bottom"/>
            <w:vMerge w:val="restart"/>
          </w:tcPr>
          <w:p>
            <w:pPr>
              <w:jc w:val="center"/>
              <w:ind w:left="613"/>
              <w:spacing w:after="0"/>
              <w:rPr>
                <w:sz w:val="20"/>
                <w:szCs w:val="20"/>
                <w:color w:val="auto"/>
              </w:rPr>
            </w:pPr>
            <w:r>
              <w:rPr>
                <w:rFonts w:ascii="Times New Roman" w:cs="Times New Roman" w:eastAsia="Times New Roman" w:hAnsi="Times New Roman"/>
                <w:sz w:val="13"/>
                <w:szCs w:val="13"/>
                <w:color w:val="auto"/>
              </w:rPr>
              <w:t>price of $69.00 per share</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3"/>
            <w:vMerge w:val="continue"/>
          </w:tcPr>
          <w:p>
            <w:pPr>
              <w:spacing w:after="0"/>
              <w:rPr>
                <w:sz w:val="8"/>
                <w:szCs w:val="8"/>
                <w:color w:val="auto"/>
              </w:rPr>
            </w:pPr>
          </w:p>
        </w:tc>
        <w:tc>
          <w:tcPr>
            <w:tcW w:w="3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40" w:lineRule="exact"/>
        <w:rPr>
          <w:sz w:val="24"/>
          <w:szCs w:val="24"/>
          <w:color w:val="auto"/>
        </w:rPr>
      </w:pPr>
    </w:p>
    <w:p>
      <w:pPr>
        <w:ind w:right="3940"/>
        <w:spacing w:after="0" w:line="222"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4"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63"/>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3000"/>
              <w:spacing w:after="0"/>
              <w:rPr>
                <w:sz w:val="20"/>
                <w:szCs w:val="20"/>
                <w:color w:val="auto"/>
              </w:rPr>
            </w:pPr>
            <w:r>
              <w:rPr>
                <w:rFonts w:ascii="Times New Roman" w:cs="Times New Roman" w:eastAsia="Times New Roman" w:hAnsi="Times New Roman"/>
                <w:sz w:val="13"/>
                <w:szCs w:val="13"/>
                <w:color w:val="auto"/>
              </w:rPr>
              <w:t>Accelerated filer</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5"/>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30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6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160" w:type="dxa"/>
            <w:vAlign w:val="bottom"/>
          </w:tcPr>
          <w:p>
            <w:pPr>
              <w:ind w:left="3000"/>
              <w:spacing w:after="0"/>
              <w:rPr>
                <w:sz w:val="20"/>
                <w:szCs w:val="20"/>
                <w:color w:val="auto"/>
              </w:rPr>
            </w:pPr>
            <w:r>
              <w:rPr>
                <w:rFonts w:ascii="Times New Roman" w:cs="Times New Roman" w:eastAsia="Times New Roman" w:hAnsi="Times New Roman"/>
                <w:sz w:val="13"/>
                <w:szCs w:val="13"/>
                <w:color w:val="auto"/>
              </w:rPr>
              <w:t>Emerging growth company</w:t>
            </w:r>
          </w:p>
        </w:tc>
        <w:tc>
          <w:tcPr>
            <w:tcW w:w="8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0"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1"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1"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w:t>
      </w:r>
      <w:r>
        <w:rPr>
          <w:rFonts w:ascii="Times New Roman" w:cs="Times New Roman" w:eastAsia="Times New Roman" w:hAnsi="Times New Roman"/>
          <w:sz w:val="13"/>
          <w:szCs w:val="13"/>
          <w:color w:val="231F20"/>
        </w:rPr>
        <w:t>s.</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34"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000000"/>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6"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3"/>
          <w:szCs w:val="13"/>
          <w:color w:val="auto"/>
        </w:rPr>
        <w:t>As of June 30, 2025, the last day of the registrant's most recently completed second fiscal quarter, the aggregate market value of the voting and non-voting common equity held by non-affiliates of the registrant, based on the closing price of the shares of common stock on the Nasdaq Global Market, was approximately $315.5 million.</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20, 2026, the registrant had 46,494,865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680720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with the Securities and Exchange Commission in connection with the registrant's 2026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2025. Except with respect to information specifically incorporated by reference, the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663575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FF"/>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3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500" w:type="dxa"/>
            <w:vAlign w:val="bottom"/>
            <w:gridSpan w:val="3"/>
          </w:tcPr>
          <w:p>
            <w:pPr>
              <w:spacing w:after="0"/>
              <w:rPr>
                <w:sz w:val="20"/>
                <w:szCs w:val="20"/>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39"/>
        </w:trPr>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439"/>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440" w:type="dxa"/>
            <w:vAlign w:val="bottom"/>
            <w:gridSpan w:val="2"/>
          </w:tcPr>
          <w:p>
            <w:pPr>
              <w:spacing w:after="0"/>
              <w:rPr>
                <w:sz w:val="20"/>
                <w:szCs w:val="20"/>
                <w:color w:val="auto"/>
              </w:rPr>
            </w:pP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5"/>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92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 Item 1A Risk Factors of this Report. The following is a summary of the principal risks we face:</w:t>
      </w:r>
    </w:p>
    <w:p>
      <w:pPr>
        <w:spacing w:after="0" w:line="270"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expect to incur significant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yet to achieve positive operating cash flow and our ability to generate positive cash flow is uncertain.</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or limited previous history or experience with commercializing our products and may not be able to do so efficiently, effectively or at all. We were unsuccessful in our efforts to commercialize our legacy hardware technologies that we and our predecessor companies developed over the past several decades.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issues in the development and use of our AI/ML Foundational Technology or AI-enabled products, or issues in products developed by others, may result in reputational harm or liability.</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AI/ML Foundational Technology and other technologies and products are technologies and the timing and magnitude of revenues from customers is uncertain. If we cannot successfully commercialize our technologies and products on our expected schedule, if our technology does not offer our potential customers the features, functionality and return on investment that they expect and/or if potential customers are not willing to pay for our products at the rates that we currently expect, our ability to generate material revenues will be materially impaired.</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generate material revenues from our products before we exhaust our financial resources, we may need to cease business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attract or retain customers at sufficient rates or in sufficient numbers or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with our licensing sales model for our software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assumptions about market demand, pricing, adoption rates and sales cycles for our products may be inaccurate.</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products require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we expect competition to increase. Our products may not be competitive with other alternatives.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enhance our product offerings through our research and development efforts.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design flaws, errors, defects, glitches, bugs or malfunctions in our technologies, products and services, failure of our software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"open source" software, which could negatively affect our ability to offer our technologies and products and subject us to possible litigation.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depend significantly on our ability to build our brands. We may not succeed in establishing, maintaining and strengthening effective brands, and our brands and reputation could be harmed by negative publicity regarding us or our technology, products or services.</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business, we may not be able to develop, market and commercialize our technologies and products successfully.</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associated with our operations in order to achieve profitability.</w:t>
      </w:r>
    </w:p>
    <w:p>
      <w:pPr>
        <w:spacing w:after="0" w:line="11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research and development costs and devote significant resources to developing and commercializing our AI/ML Foundational Technology and products, and we may never reach profitability and/or achieve significant or any licensing revenue.</w:t>
      </w:r>
    </w:p>
    <w:p>
      <w:pPr>
        <w:spacing w:after="0" w:line="53" w:lineRule="exact"/>
        <w:rPr>
          <w:rFonts w:ascii="Times New Roman" w:cs="Times New Roman" w:eastAsia="Times New Roman" w:hAnsi="Times New Roman"/>
          <w:sz w:val="18"/>
          <w:szCs w:val="18"/>
          <w:color w:val="auto"/>
        </w:rPr>
      </w:pPr>
    </w:p>
    <w:p>
      <w:pPr>
        <w:jc w:val="both"/>
        <w:ind w:left="380" w:right="2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6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period to period due to fluctuations in our operating costs, revenues, product demand and other factors.</w:t>
      </w:r>
    </w:p>
    <w:p>
      <w:pPr>
        <w:spacing w:after="0" w:line="53"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our senior management and other key employees and, if we are unable to attract, integrate and retain a sufficient number of qualified employees, our ability to design and commercialize our technologies and products.</w:t>
      </w:r>
    </w:p>
    <w:p>
      <w:pPr>
        <w:spacing w:after="0" w:line="53"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53"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subject to risks associated with strategic relationships, acquisitions or transactions and may not identify or form desired strategic relationships in the future.</w:t>
      </w:r>
    </w:p>
    <w:p>
      <w:pPr>
        <w:spacing w:after="0" w:line="53"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manufacturing or engineering processes and services do not comply with applicable regulatory requirements, or if we manufacture or design products containing defects, demand for our services may decline and we may be subject to liability claims.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involves significant risks and uncertainties that may not be covered by indemnity or insurance.</w:t>
      </w:r>
    </w:p>
    <w:p>
      <w:pPr>
        <w:spacing w:after="0" w:line="117" w:lineRule="exact"/>
        <w:rPr>
          <w:rFonts w:ascii="Times New Roman" w:cs="Times New Roman" w:eastAsia="Times New Roman" w:hAnsi="Times New Roman"/>
          <w:sz w:val="18"/>
          <w:szCs w:val="18"/>
          <w:color w:val="auto"/>
        </w:rPr>
      </w:pPr>
    </w:p>
    <w:p>
      <w:pPr>
        <w:jc w:val="both"/>
        <w:ind w:left="380" w:hanging="378"/>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new or changing governmental regulations relating to the design, manufacturing, development, marketing, licensing, distribution or use of our technology and products or to the providing of customer service or in connection with the entry into certain transactions with foreign entities, and a failure to comply with such regulations could lead to delays in launching our products and/or withdrawal of our products from the market, delay our projected revenues, increase costs and/or make our business unviable.</w:t>
      </w:r>
    </w:p>
    <w:p>
      <w:pPr>
        <w:spacing w:after="0" w:line="18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0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28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and achieve the expected benefits of the acquisitions;</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our full-stack, closed-loop autonomy software ("AI/ML Foundational Technology") and related products and the capabilities and functionality of our AI/ML Foundational Technology and related products;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timeline for commercial release of our products and receipt of corresponding revenues;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overcome supply chain challenges, including increases in the cost of and an interruption in the supply or shortage of materials;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size of the markets that we are targeting;</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roadmaps, including expected timing of new product releases and target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rapid technological changes;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future businesses and technologies and the potential advantages of our products as compared to competitors;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expenses;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evolving laws and regulations applicable to our business;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with the necessary experience, including employees who are instrumental to our business strategy;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and operating information and estimates of market size and opportunities;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that meet our customers’ requirements and to successfully transition to high volume manufacturing of our products by third-party manufacturers or by us;</w:t>
      </w:r>
    </w:p>
    <w:p>
      <w:pPr>
        <w:spacing w:after="0" w:line="12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contingency plans to further limit operations and reduce costs and/or seek additional financing should licensing revenue not materialize in time or sufficient amount to support our operations;</w:t>
      </w:r>
    </w:p>
    <w:p>
      <w:pPr>
        <w:spacing w:after="0" w:line="13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health epidemics and global economic and geopolitical conditions and international conflicts on our business and the business of our customers;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for our products and services;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and the outcome of any known and unknown litigation and regulatory proceedings;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"aim," "target" or similar expressions.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known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information about us contained elsewhere in this Report, including the information set forth in our consolidated financial statements and the related notes. Some of the information contained in this section or set forth elsewhere in this Report, including information with respect to our plans and strategy for our business, includes forward-looking statements that involve risks and uncertainties. You should read Part I Item 1A Risk Factors and the section titled "Special Note Regarding Forward-Looking Statements" for a discussion of important factors that could cause actual results to differ materially from the results described in or implied by the forward-looking statements contained in the following discussion and throughout this Report. We use the terms "Palladyne AI," "the Company," "we," "us," and "our" to refer to Palladyne AI Corp.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U.S.-based technology company developing and offering embodied artificial intelligence ("AI") software and collaborative autonomy solutions, advanced avionics, unmanned aerial vehicles ("UAVs"), advanced UAV engineering services and precision-manufactured components for defense and commercial/industrial markets. Our core AI software offerings, Palladyne IQ, SwarmOS and Palladyne Pilot, consist of full-stack, closed-loop autonomy software that is intended to enhance the functionality and operational effectiveness of third-party robotic systems across a range of applications. These products are designed to be hardware agnostic, enabling integration across a wide range of robotic platforms, whether third-party or our own proprietary platforms, including industrial robots, collaborative robots ("cobots"), UAVs, unmanned ground vehicles ("UGVs"), and remotely operated vehicles ("ROVs") across multiple domains.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positioning our defense business as a mid-tier U.S. technology prime defense contractor aiming to combine innovative autonomy, practical engineering and American production to bring intelligent systems into active service faster, safer and more cost-effectively than legacy approaches. We seek to harness our advanced, ethical embodied AI to provide cost-effective lethality and precision harm mitigation through rapidly delivering scalable, low-cost, intelligent and collaborative attritable weapons, including by developing proprietary, UAVs incorporating our avionics and AI technologies. We support these efforts and those of other defense contractors and commercial customers through our vertically integrated aircraft engineering design services, enhanced avionics compute hardware and machining and fabrication services. Palladyne SwarmOS is designed for unmanned platforms and includes advanced autonomy and coordination capabilities that enable multiple UAVs to swarm, collaborate and execute complex missions through distributed tasking and edge-native orchestration. Our embodied AI is designed to operate in complex, contested and high-risk environments, enabling distributed tasking, human-on-the-loop oversight, degraded-communications resilience, multi-domain coordination and real-time responsiveness. Our platform-agnostic autonomy stack combines real-time sensor fusion, adaptive AI models, and edge-native orchestration to support autonomous and collaborative systems across air, ground, maritime and industrial domains where performance, resilience, trust and mission assurance are critical to operational outcomes. These capabilities are intended to meet the performance and reliability requirements of military and defense customers, particularly in applications where it is essential to conduct coordinated multi-vehicle operations in contested environments with degraded communications.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commercial and industrial customers in particular, Palladyne IQ is designed to enable poly-functional robots, including industrial robots and cobots, to become capable of performing multiple tasks across dynamic real-world industrial environments. Palladyne IQ enables industrial robots and cobots to adapt to variability in tasks, parts, and environments, thereby reducing the need for rigid automation, custom fixtures, and manual intervention. We believe Palladyne IQ has applications across manufacturing, logistics, warehousing, and other industrial settings where unstructured or semi-structured environments have historically limited the adoption of automation. We also offer Palladyne Pilot, a derivative version of SwarmOS tailored to meet the requirements of public safety and commercial customers by delivering core autonomy capabilities with reduced system complexity and cost.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focus our efforts on leveraging our technologies and businesses to meet the needs of customers in two, broadly-defined markets: (1) the Defense and Public Safety market and (2) the Commercial and Industrial market.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Defense and Public Safety (Defense)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vision is to become a leading innovative, nimble and pioneering supplier of next-generation enabling AI and UAV technologies, components and complete systems for the defense and public safety sectors. We aim to combine the affordability and agility of a small enterprise with the impact of a much larger one. We believe our products, technologies and capabilities are aligned with key U.S. Department of War initiatives. In particular, we focus on:</w:t>
      </w:r>
    </w:p>
    <w:p>
      <w:pPr>
        <w:spacing w:after="0" w:line="68" w:lineRule="exact"/>
        <w:rPr>
          <w:sz w:val="20"/>
          <w:szCs w:val="20"/>
          <w:color w:val="auto"/>
        </w:rPr>
      </w:pPr>
    </w:p>
    <w:p>
      <w:pPr>
        <w:ind w:left="760" w:right="14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Ethical embodied AI. We integrate our AI/ML Foundational Technology into our products to enhance mission effectiveness, reduce unintended collateral damage and be a force multiplier for the U.S. military and U.S. allies.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ind w:left="760" w:right="10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low-cost and effective systems. We design our systems with a view toward rapid, scalable and affordable deployment. We believe that economic advantage is a warfighting advantage and therefore that cost-effective military systems are critical to future military success.</w:t>
      </w:r>
    </w:p>
    <w:p>
      <w:pPr>
        <w:ind w:left="760" w:right="260" w:hanging="378"/>
        <w:spacing w:after="0" w:line="253"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U.S.-based capabilities. We believe it is strategically imperative for the United States to build and maintain a strong domestic supply chain for its military needs, from raw materials and manufacturing capability to cutting-edge technologies. As a result, we seek to support that imperative and can provide U.S.-based stand-alone or vertically integrated solutions to U.S. government customers or other U.S. government prime contractors, including fabrication and precision-machining capabilities, advanced avionics, advanced UAV design and engineering services and leading AI robotics and unmanned systems software.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and Industrial (Commercial)</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aim to help commercial and industrial customers increase productivity by leveraging our AI/ML Foundational Technology to enable robotic systems to perform tasks in arbitrary, changing environments that have historically been too complex for traditional automation. We have intentionally designed our AI/ML Foundational Technology to:</w:t>
      </w:r>
    </w:p>
    <w:p>
      <w:pPr>
        <w:spacing w:after="0" w:line="68"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robotic systems to be poly-functional, learn multiple tasks and handle disruptions or obstacles efficiently and without human intervention.</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rapid programming and reprogramming of robotic systems with minimal inputs.</w:t>
      </w:r>
    </w:p>
    <w:p>
      <w:pPr>
        <w:spacing w:after="0" w:line="9" w:lineRule="exact"/>
        <w:rPr>
          <w:rFonts w:ascii="Times New Roman" w:cs="Times New Roman" w:eastAsia="Times New Roman" w:hAnsi="Times New Roman"/>
          <w:sz w:val="18"/>
          <w:szCs w:val="18"/>
          <w:color w:val="auto"/>
        </w:rPr>
      </w:pPr>
    </w:p>
    <w:p>
      <w:pPr>
        <w:ind w:left="760" w:right="20" w:hanging="378"/>
        <w:spacing w:after="0" w:line="26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“on the edge” and without the need to connect to the cloud or incur the costs and compute time associated with the use of large-language models (LLMs).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AI/ML Foundational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294005</wp:posOffset>
            </wp:positionV>
            <wp:extent cx="1619885" cy="1619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9885"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Foundational Technology is full stack, closed-loop embodied autonomy software designed to enable robotic systems to observe, learn, reason and act in a manner similar to that of humans to solve tasks in arbitrary environments that have been too complex for traditional automation. It operates on the edge by using real-time sensor inputs to adjust to a changing environment and accomplish the assigned task without the need to connect to the cloud to try to find and process an applicable LLM. Specifically, our AI/ML Foundational Technology incorporates internal and external environmental inputs that allow robotic systems to comprehend their environment, determine reasonable behavior given these inputs and to act in real time to achieve the expected task. Each newly learned task will then be incorporated and used to perform future tasks. We believe this closed-loop autonomy approach is the key to how our software can apply human-like reasoning to arbitrary environments to expedite robotic system training, expand the tasks that a robotic system can perform, enable collaboration and maximize capabilities.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AI/ML Foundational Technology addresses current challenges in automation by:</w:t>
      </w:r>
    </w:p>
    <w:p>
      <w:pPr>
        <w:spacing w:after="0" w:line="117" w:lineRule="exact"/>
        <w:rPr>
          <w:sz w:val="20"/>
          <w:szCs w:val="20"/>
          <w:color w:val="auto"/>
        </w:rPr>
      </w:pPr>
    </w:p>
    <w:p>
      <w:pPr>
        <w:ind w:left="1020" w:right="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rapid programming and reprogramming of robotic systems through intuitive, minimal training via teleoperation or natural language instruction, allowing re-training with just a few examples, thereby reducing costly delays associated with traditional reprogramming;</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robots to dynamically reason and adjust to environmental changes in real time, reducing the need for constant reprogramming and making operations more flexible such that robots can switch between varying and/or changing tasks easily, and operate in dynamic environments generally;</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entirely "on the edge," providing real-time human-like reasoning and decision-making without relying on cloud connectivity, thereby eliminating the cost, latency and dependency of cloud-based AI computing;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perception functionality to assess and navigate environments, distinguishing between relevant components, obstacles and irrelevant factors, without relying on LLMs or cloud databases.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ability to operate "on the edge" without the need to access large data sets or connect to the cloud is a key differentiator of our AI/ML Foundational Technology and related products. Unlike traditional LLMs, which predict outcomes and make recommendations, our system allows robots to make real-time decisions and take action using minimal data. In many instances, we believe our solution will be significantly more data-efficient as compared to deep learning-based methods, such as LLMs, due to its ability to make decisions with just hundreds of parameters obtained through training and real-time sensor inputs rather than billions obtained through the cloud as with LLMs. Without the need to use large amounts of cloud-based computing, our AI/ML Foundational Technology can efficiently operate autonomously in dynamic environments while reacting to new circumstances without the need to access and process new data sets, with the accompanying delays, imprecision and costs, or be reprogrammed or retrained. In addition, our AI/ML Foundational Technology is designed to fuse multi-sensor data inputs together to improve system situational awareness, increasing its flexibility and adaptability.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AI/ML Foundational Technology empowers robots with human-like reasoning, enabling them to learn multiple tasks and handle disruptions or obstacles efficiently. Once initial training/programming is completed, our closed-loop autonomy architecture allows robots to adapt to environmental changes without human intervention or reprogramming. After minimal initial training, robots using our AI/ML Foundational Technology are expected to operate in a closed-loop to continuously observe, learn, reason and act so that they can adapt and continue to complete the desired tasks in the face of a changing environment.</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products will enable autonomous functionality to address challenging and arbitrary environments for industries that can benefit from a high degree of adaptability and efficiency. These industries typically encounter limitations on the tasks a robotic system can perform, while also engaging in lengthy and costly efforts to program, manage and modify such systems. Our products are designed to enable robotic systems to function with human-like reasoning through flexible and adaptable learning capabilities such that a robotic system can perform a variety of tasks without the need for costly reprogramming efforts. We believe our AI/ML Foundational Technology will expedite robotic system training, expand task capabilities, enable collaboration among robotic systems and reduce human labor requirements all while significantly decreasing costly programming costs, leading to increased productivity and a higher return on investment for robotic system deployments across various use-cases.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Palladyne IQ</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Palladyne IQ was our first product based on our AI/ML Foundational Technology. It has been developed for use with industrial robots and cobots to empower robots with human-like reasoning, enabling them to learn multiple tasks and handle disruptions or obstacles efficiently thereby reducing the need for rigid automation, custom fixtures, and manual intervention. Use cases on which we are initially focused include:</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material handling;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kitting and parts sequencing;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surface preparation;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inspection.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Palladyne IQ enables industrial robots and cobots to do the following:</w:t>
      </w:r>
    </w:p>
    <w:p>
      <w:pPr>
        <w:spacing w:after="0" w:line="113" w:lineRule="exact"/>
        <w:rPr>
          <w:sz w:val="20"/>
          <w:szCs w:val="20"/>
          <w:color w:val="auto"/>
        </w:rPr>
      </w:pPr>
    </w:p>
    <w:p>
      <w:pPr>
        <w:ind w:left="1020" w:right="60" w:hanging="503"/>
        <w:spacing w:after="0" w:line="286" w:lineRule="auto"/>
        <w:tabs>
          <w:tab w:leader="none" w:pos="10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Observe: Advanced perception and observation to improve situational awareness. </w:t>
      </w:r>
      <w:r>
        <w:rPr>
          <w:rFonts w:ascii="Times New Roman" w:cs="Times New Roman" w:eastAsia="Times New Roman" w:hAnsi="Times New Roman"/>
          <w:sz w:val="18"/>
          <w:szCs w:val="18"/>
          <w:color w:val="auto"/>
        </w:rPr>
        <w:t>Using sensors like vision, LiDAR, radar and acoustic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devices, robots gain situational awareness to perceive a dynamic and unstructured environment.</w:t>
      </w:r>
    </w:p>
    <w:p>
      <w:pPr>
        <w:spacing w:after="0" w:line="46" w:lineRule="exact"/>
        <w:rPr>
          <w:rFonts w:ascii="Times New Roman" w:cs="Times New Roman" w:eastAsia="Times New Roman" w:hAnsi="Times New Roman"/>
          <w:sz w:val="18"/>
          <w:szCs w:val="18"/>
          <w:b w:val="1"/>
          <w:bCs w:val="1"/>
          <w:color w:val="auto"/>
        </w:rPr>
      </w:pPr>
    </w:p>
    <w:p>
      <w:pPr>
        <w:ind w:left="1020" w:right="220" w:hanging="503"/>
        <w:spacing w:after="0" w:line="259" w:lineRule="auto"/>
        <w:tabs>
          <w:tab w:leader="none" w:pos="10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Learn: intelligent machine learning to accelerate onboarding for new and complex tasks</w:t>
      </w:r>
      <w:r>
        <w:rPr>
          <w:rFonts w:ascii="Times New Roman" w:cs="Times New Roman" w:eastAsia="Times New Roman" w:hAnsi="Times New Roman"/>
          <w:sz w:val="18"/>
          <w:szCs w:val="18"/>
          <w:color w:val="auto"/>
        </w:rPr>
        <w:t>. With Palladyne IQ, robots typically learn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task in approximately one to five human-controlled demonstrations via a variety of methods including, remote manipulation, virtual reality manipulation or natural language instruction. We believe our dynamic reasoning model requires much less training data than traditional models. Using this learning data, Palladyne IQ creates a mathematical model of the data and stores it as a task. The model is then updated over time as more data is obtained. Over time, each robot will create its own library of tasks (a "Task Library"). By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1020" w:right="220"/>
        <w:spacing w:after="0" w:line="282" w:lineRule="auto"/>
        <w:rPr>
          <w:sz w:val="20"/>
          <w:szCs w:val="20"/>
          <w:color w:val="auto"/>
        </w:rPr>
      </w:pPr>
      <w:r>
        <w:rPr>
          <w:rFonts w:ascii="Times New Roman" w:cs="Times New Roman" w:eastAsia="Times New Roman" w:hAnsi="Times New Roman"/>
          <w:sz w:val="18"/>
          <w:szCs w:val="18"/>
          <w:color w:val="auto"/>
        </w:rPr>
        <w:t>operating "on the edge" and not accessing external large data sets, the learning process can happen faster and cheaper and without the need for a connection to the cloud.</w:t>
      </w:r>
    </w:p>
    <w:p>
      <w:pPr>
        <w:spacing w:after="0" w:line="50" w:lineRule="exact"/>
        <w:rPr>
          <w:sz w:val="20"/>
          <w:szCs w:val="20"/>
          <w:color w:val="auto"/>
        </w:rPr>
      </w:pPr>
    </w:p>
    <w:p>
      <w:pPr>
        <w:ind w:left="1020" w:right="60" w:hanging="503"/>
        <w:spacing w:after="0" w:line="268" w:lineRule="auto"/>
        <w:tabs>
          <w:tab w:leader="none" w:pos="10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human-like, AI-based reasoning to determine best course of action without human intervention</w:t>
      </w:r>
      <w:r>
        <w:rPr>
          <w:rFonts w:ascii="Times New Roman" w:cs="Times New Roman" w:eastAsia="Times New Roman" w:hAnsi="Times New Roman"/>
          <w:sz w:val="18"/>
          <w:szCs w:val="18"/>
          <w:color w:val="auto"/>
        </w:rPr>
        <w:t>. When an unexpected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unknown event occurs, robots can reason using probabilistic ML techniques in a similar manner to human logic. The software enables robots to infer how to adjust their actions to complete the task in the changed environment.</w:t>
      </w:r>
    </w:p>
    <w:p>
      <w:pPr>
        <w:spacing w:after="0" w:line="62" w:lineRule="exact"/>
        <w:rPr>
          <w:rFonts w:ascii="Times New Roman" w:cs="Times New Roman" w:eastAsia="Times New Roman" w:hAnsi="Times New Roman"/>
          <w:sz w:val="18"/>
          <w:szCs w:val="18"/>
          <w:b w:val="1"/>
          <w:bCs w:val="1"/>
          <w:color w:val="auto"/>
        </w:rPr>
      </w:pPr>
    </w:p>
    <w:p>
      <w:pPr>
        <w:ind w:left="1020" w:right="60" w:hanging="503"/>
        <w:spacing w:after="0" w:line="268" w:lineRule="auto"/>
        <w:tabs>
          <w:tab w:leader="none" w:pos="10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precise robotic control and completion of tasks. </w:t>
      </w:r>
      <w:r>
        <w:rPr>
          <w:rFonts w:ascii="Times New Roman" w:cs="Times New Roman" w:eastAsia="Times New Roman" w:hAnsi="Times New Roman"/>
          <w:sz w:val="18"/>
          <w:szCs w:val="18"/>
          <w:color w:val="auto"/>
        </w:rPr>
        <w:t>Palladyne IQ translates observations into control messages that adjust robot behavior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safe and controlled manner in real time, ensuring tasks continue without the need for production stoppages. For example, robotic arms running Palladyne IQ can perceive and work around unexpected obstacles to continue performing their tasks.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Palladyne IQ enables each robot to have a unique Task Library such that each robot can perform multiple tasks in a variety of situations and switch between them quickly with no reprogramming and minimal, if any, retraining. We expect other important future capabilities to include solving for system stability, enhanced computational efficiencies achieved through the use of our domain-specific language models and the use of dynamic model inference methods to generalize with only a few demonstrations.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Palladyne IQ is delivered to customers with compute hardware that houses the software. We are also developing a cloud-based customer portal to facilitate Palladyne IQ software purchases, updates and online customer support. This customer portal will include data analytics, operational tools and the functionality to monitor, configure and train Palladyne IQ.</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Palladyne IQ is designed to be hardware agnostic so as to work with most industrial robots being sold today, we expect that this product can benefit a wide variety of industries such as industrial manufacturing, defense, infrastructure maintenance and repair, energy and aerospace and aviation, among others. Based on product testing and trials, we expect Palladyne IQ to increase productivity across a variety of use-cases, while significantly reducing associated costs of programming and deploying robotic systems.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work to continuously improve our products through debugging and other reliability, stabilizing and functional improvements to improve the customer experience, better meet customer needs and enable our products to address increasingly complex use cases.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Palladyne SwarmOS and Pilot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Palladyne SwarmOS is also based on our AI/ML Foundational Technology and is designed for use with unmanned platforms to enable persistent detection, identification, tracking and classification of objects of interest and/or lethal mission objectives by sharing situational awareness information across multiple drones (including attritable systems and loitering munitions) that is derived by fusing multi-modal sensor data. Palladyne SwarmOS is designed to integrate with third-party autopilot systems thereby enhancing a network of collaborating drones and sensors that can self-orchestrate to provide superior capabilities for applications including intelligence, surveillance and reconnaissance. SwarmOS enables unmanned platforms to swarm – to make collective decisions in support of one or more shared missions and objectives while adapting to contested environments and attrition of participants in the swarm, all with minimal human oversight. These capabilities are intended to meet the performance and reliability requirements of military and defense customers, particularly in applications where coordinated multi-vehicle operations in communication constrained environments are essential.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Palladyne SwarmOS development efforts are focused on enabling UAVs to do the following:</w:t>
      </w:r>
    </w:p>
    <w:p>
      <w:pPr>
        <w:spacing w:after="0" w:line="113" w:lineRule="exact"/>
        <w:rPr>
          <w:sz w:val="20"/>
          <w:szCs w:val="20"/>
          <w:color w:val="auto"/>
        </w:rPr>
      </w:pPr>
    </w:p>
    <w:p>
      <w:pPr>
        <w:ind w:left="1020" w:right="200" w:hanging="503"/>
        <w:spacing w:after="0" w:line="268" w:lineRule="auto"/>
        <w:tabs>
          <w:tab w:leader="none" w:pos="10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Observe: advanced perception for enhanced situational awareness. </w:t>
      </w:r>
      <w:r>
        <w:rPr>
          <w:rFonts w:ascii="Times New Roman" w:cs="Times New Roman" w:eastAsia="Times New Roman" w:hAnsi="Times New Roman"/>
          <w:sz w:val="18"/>
          <w:szCs w:val="18"/>
          <w:color w:val="auto"/>
        </w:rPr>
        <w:t>Improves target detection and tracking by adaptively controlling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sensor parameters (e.g., vision, LiDAR, radar, acoustic inputs) and integrating multi-source, multi-modal information, with one or multiple UAVs for multi-vehicle collaboration, enhancing UAV-to-target tracking assignments even when targets are temporarily obscured.</w:t>
      </w:r>
    </w:p>
    <w:p>
      <w:pPr>
        <w:spacing w:after="0" w:line="62" w:lineRule="exact"/>
        <w:rPr>
          <w:rFonts w:ascii="Times New Roman" w:cs="Times New Roman" w:eastAsia="Times New Roman" w:hAnsi="Times New Roman"/>
          <w:sz w:val="18"/>
          <w:szCs w:val="18"/>
          <w:b w:val="1"/>
          <w:bCs w:val="1"/>
          <w:color w:val="auto"/>
        </w:rPr>
      </w:pPr>
    </w:p>
    <w:p>
      <w:pPr>
        <w:ind w:left="1020" w:right="220" w:hanging="503"/>
        <w:spacing w:after="0" w:line="268" w:lineRule="auto"/>
        <w:tabs>
          <w:tab w:leader="none" w:pos="10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Learn: dynamic learning improves detection and surveillance capabilities. </w:t>
      </w:r>
      <w:r>
        <w:rPr>
          <w:rFonts w:ascii="Times New Roman" w:cs="Times New Roman" w:eastAsia="Times New Roman" w:hAnsi="Times New Roman"/>
          <w:sz w:val="18"/>
          <w:szCs w:val="18"/>
          <w:color w:val="auto"/>
        </w:rPr>
        <w:t>Leverages edge computing to enable real-time learning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decision-making for persistent target tracking and monitoring by integrating various information streams into a single, coherent view, ultimately empowering a single operator - on the loop - to simultaneously operate multiple drone platforms as a coordinated swarm.</w:t>
      </w:r>
    </w:p>
    <w:p>
      <w:pPr>
        <w:spacing w:after="0" w:line="62" w:lineRule="exact"/>
        <w:rPr>
          <w:rFonts w:ascii="Times New Roman" w:cs="Times New Roman" w:eastAsia="Times New Roman" w:hAnsi="Times New Roman"/>
          <w:sz w:val="18"/>
          <w:szCs w:val="18"/>
          <w:b w:val="1"/>
          <w:bCs w:val="1"/>
          <w:color w:val="auto"/>
        </w:rPr>
      </w:pPr>
    </w:p>
    <w:p>
      <w:pPr>
        <w:ind w:left="1020" w:right="100" w:hanging="503"/>
        <w:spacing w:after="0" w:line="286" w:lineRule="auto"/>
        <w:tabs>
          <w:tab w:leader="none" w:pos="10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 dynamic reasoning improves data sharing and collaboration. </w:t>
      </w:r>
      <w:r>
        <w:rPr>
          <w:rFonts w:ascii="Times New Roman" w:cs="Times New Roman" w:eastAsia="Times New Roman" w:hAnsi="Times New Roman"/>
          <w:sz w:val="18"/>
          <w:szCs w:val="18"/>
          <w:color w:val="auto"/>
        </w:rPr>
        <w:t>Dynamic reasoning facilitates detection and continued tracking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targets that exhibit dynamic, changing behavior. Further, the quick</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1020" w:right="120"/>
        <w:spacing w:after="0" w:line="282" w:lineRule="auto"/>
        <w:rPr>
          <w:sz w:val="20"/>
          <w:szCs w:val="20"/>
          <w:color w:val="auto"/>
        </w:rPr>
      </w:pPr>
      <w:r>
        <w:rPr>
          <w:rFonts w:ascii="Times New Roman" w:cs="Times New Roman" w:eastAsia="Times New Roman" w:hAnsi="Times New Roman"/>
          <w:sz w:val="18"/>
          <w:szCs w:val="18"/>
          <w:color w:val="auto"/>
        </w:rPr>
        <w:t>processing of contextual sensor information from individual UAVs in the network enables persistent target tracking, the timeliness of which is critical for real-time decision making and situational awareness.</w:t>
      </w:r>
    </w:p>
    <w:p>
      <w:pPr>
        <w:spacing w:after="0" w:line="50" w:lineRule="exact"/>
        <w:rPr>
          <w:sz w:val="20"/>
          <w:szCs w:val="20"/>
          <w:color w:val="auto"/>
        </w:rPr>
      </w:pPr>
    </w:p>
    <w:p>
      <w:pPr>
        <w:ind w:left="1020" w:right="240" w:hanging="503"/>
        <w:spacing w:after="0" w:line="268" w:lineRule="auto"/>
        <w:tabs>
          <w:tab w:leader="none" w:pos="10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Act and Collaborate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transforms UAVs into an autonomously collaborating swarm. </w:t>
      </w:r>
      <w:r>
        <w:rPr>
          <w:rFonts w:ascii="Times New Roman" w:cs="Times New Roman" w:eastAsia="Times New Roman" w:hAnsi="Times New Roman"/>
          <w:sz w:val="18"/>
          <w:szCs w:val="18"/>
          <w:color w:val="auto"/>
        </w:rPr>
        <w:t>Intelligent coordination of information allows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UAVs to autonomously share low-bandwidth data, informing a network of collaborating drones and sensors sufficiently to self-orchestrate and work together on mission objectives such that a single operator is capable of managing multiple UAVs.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Palladyne SwarmOS to be provided to customers in the form of a software download or to come preloaded onto our proprietary drones or original equipment manufacturer ("OEM") partner products that have embedded Palladyne SwarmOS. In addition, we have combined SwarmOS with our BRAIN avionics product to create IntelliSwarm for customers who can benefit from both products.</w:t>
      </w:r>
    </w:p>
    <w:p>
      <w:pPr>
        <w:spacing w:after="0" w:line="68"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Palladyne Pilot is a derivative of Palladyne SwarmOS designed to address the less stringent specific requirements of public safety and commercial users rather than defense customers. While SwarmOS is focused on defense missions and military concepts of operation, Pilot is intended to bring similar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vehicle collaboration, perception and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edge reasoning capabilities to customers in sectors such as private security, critical infrastructure monitoring and industrial inspection, with feature sets and integrations tuned for public safety and civilian operational environments with reduced system complexity, features and cost. We also intend to develop a cloud-based customer portal to facilitate SwarmOS/Pilot software purchases, updates and online customer support.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BRAIN Avionics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recently-acquired GuideTech business has developed a line of advanced avionics flight computers known as BRAIN for autonomous or semi-autonomous UAV platforms, particularly for defense applications. The BRAIN products fuse high-performance avionics, AI/ML compute and multi-sensor perception into a single compact module that can replace conventional avionics at a fraction of the cost and weight. With BRAIN X2, our NDAA-compliant flight computer product, intelligent systems can coordinate missions autonomously enabling distributed platforms to: overwhelm adversary air defenses through synchronized, adaptive attack patterns; detect, track and prioritize threats in real time without external guidance; share sensor data to expand coverage, reduce risk and accelerate decision cycles; and allow continued navigation and targeting in communications-disrupted environments.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IntelliSwarm</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IntelliSwarm is our product combining our SwarmOS autonomy software and our BRAIN X2 guidance, navigation and control ("GNC") flight computer. We have successfully test-flown our proprietary Gremlin-X (formerly Project Banshee) loitering munition platform equipped with IntelliSwarm in collaboration with Red Cat drone platforms. The flexibility of both SwarmOS and BRAIN X2 was demonstrated by the quick three-week integration effort that resulted in IntelliSwarm. By integrating GNC with autonomous swarming capabilities into a single, unified stack that embeds perception, decision-making, flight control and coordinated behavior at the edge, we are delivering real-time performance in GPS- and communications-denied environments. Unlike centralized command or homogeneous fleet approaches, IntelliSwarm enables platforms from different manufacturers with varying roles, payloads, and performance characteristics, to autonomously operate as intelligent, collaborative peers within a secure mesh network. This decentralized design supports graceful degradation, mission resilience, alignment with Department of War open-systems requirements, robust security, and operator oversight.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UAVs and Missiles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developing two drone munitions platforms, Gremlin-X and SwarmStrike. Gremlin-X is an autonomous, precision UAV reusable mini bomber designed to deliver precision strike effects at a fraction of the cost per effect of current platforms. SwarmStrike is a cruise-class autonomous platform designed to offer hundreds of miles of range and an attritable price point, featuring a 30-pound warhead. Built to operate in GPS- and communications-denied environments, SwarmStrike embodies the convergence of artificial intelligence, affordability, and scalable lethality. It is engineered to deliver decisive effects through mass deployment, empowering the U.S. Department of War and its allied forces with a cost-effective, attritable system that maintains precision and ethical control in contested battle spaces. Both Gremlin-X and SwarmStrike have been successfully test-flown.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Services</w:t>
      </w:r>
    </w:p>
    <w:p>
      <w:pPr>
        <w:spacing w:after="0" w:line="186"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GuideTech provides design-to-field advanced engineering design services that take aerospace programs from early concept through flight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ready prototype in compressed timelines, while engineering every stage for manufacturability and scale. We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spacing w:after="0" w:line="238" w:lineRule="exact"/>
        <w:rPr>
          <w:sz w:val="20"/>
          <w:szCs w:val="20"/>
          <w:color w:val="auto"/>
        </w:rPr>
      </w:pPr>
      <w:r>
        <w:rPr>
          <w:rFonts w:ascii="Times New Roman" w:cs="Times New Roman" w:eastAsia="Times New Roman" w:hAnsi="Times New Roman"/>
          <w:sz w:val="18"/>
          <w:szCs w:val="18"/>
          <w:color w:val="auto"/>
        </w:rPr>
        <w:t>offer deep missile and UAV design experience, combining model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design, advanced modeling and simulation, avionics and flight software development, hardware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loop testing, environmental and flight qualification, and design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manufacture to refine systems for performance, reliability and cost. Through our advanced, proprietary design technology, we enable customers to move from digital model to integrated flight article in months rather than years, while ensuring new systems are optimized for attritable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 and U.S. production.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Through our Palladyne Manufacturing business, comprised of Warnke Precision Machining and MKR Fabricators (companies we recently acquired), we provide precision U.S. manufacturing capabilities to both Defense and Commercial customers. Our operations include machining, fabrication and assembly of aerospace and defense components, supporting major programs such as the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35, Tomahawk, Harpoon and Bradley Fighting Vehicle. By supplying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parts to leading U.S. defense prime contractors and emerging defense companies, we deliver a U.S.-based, defense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production backbone to customers and provide ourselves with an opportunity to leverage those capabilities in the production of our own proprietary platforms and products.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Solutions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combining our manufacturing and engineering design services with our software and hardware products, we are able to offer comprehensive, vertically integrated solutions to customers. For example, GuideTech could help a customer design a loitering munition UAV that incorporates IntelliSwarm and is produced by Palladyne Manufacturing. Similarly, we believe we can leverage these capabilities for the design and production of our own autonomous platforms and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 and Customers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platform-agnostic approach allows customers to deploy our Palladyne IQ and SwarmOS/Pilot software products on existing robotic and UAV fleets or new platforms without being locked into proprietary hardware ecosystems. We believe this flexibility supports broader adoption across industries, platforms and use cases, accelerates deployment timelines, enables integration with customers’ existing robotic ecosystems and supports scalable growth. We expect to continue to advance and evolve our technology and products in response to the evolving demands of our customers in the various industries we expect to serve. Our products are in various stages of development and early commercialization, and we expect to continue product development, quality and assurance testing, debugging and similar activities as we seek continuous improvement and to bring products to market successfully.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focused on commercializing Palladyne IQ, SwarmOS/Pilot and IntelliSwarm, as well as growing our avionics, engineering services and manufacturing businesses. Our current customers include U.S. defense prime contractors, commercial businesses and the U.S. government. We recently launched Palladyne IQ 2.0 and have secured our first paid customer for that product. We believe that near- to mid-term customer growth opportunities exist for both our Commercial and Defense businesses. We expect initial customer engagement with our products to begin with lower volume trials and then move to higher volumes as customers experience our products’ benefits and capabilities.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Palladyne Defense</w:t>
      </w:r>
    </w:p>
    <w:p>
      <w:pPr>
        <w:spacing w:after="0" w:line="186"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Palladyne Defense targets a large and rapidly evolving market for intelligent, attritable mission systems driven by shifting defense priorities,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 mandates and the Department of War’s push for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enabled capabilities. We believe defense customers are seeking domestically manufactured systems that combine advanced autonomy, rapid design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field cycles and lower unit costs, creating demand for loitering munitions, cruise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autonomous platforms and mission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avionics that can be produced at scale rather than as bespoke assets. By uniting SwarmOS, advanced avionics, UAV munitions and missiles, engineering services and manufacturing into a vertically integrated solution, Palladyne Defense is positioned to offer U.S. and allied governments a path to fielding collaborative swarming,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domain systems that are both operationally flexible and economically replicable.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Palladyne Commercial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Palladyne IQ will expand the market for industrial robotics, including cobots, by enabling poly-functional industrial robotic systems that address the desire to automate tasks in arbitrary human environments. The market for industrial robotic systems has been experiencing, and is expected to continue to experience, significant growth. We believe this growth is driven by a desire for more efficient and flexible manufacturing processes. Companies such as ABB, Fanuc, Kawasaki, KUKA and Universal Robots are prominent in providing robotic systems to a wide range of industries. We believe Palladyne IQ can augment the capabilities that these systems offer, enabling Palladyne IQ to be complementary rather than competitive to these existing product offerings. We believe Palladyne Pilot fills a void in current UAV capabilities by facilitating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collaboration between multiple UAVs, enhancing tracking through fusing multi-modal sensor data and enabling autonomous navigation functionality. Further, our engineering services and manufacturing businesses also serve Commercial customers. Our products and services have the potential to make private security, critical infrastructure monitoring and industrial inspection more effective and efficient.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our sales and marketing efforts are focused initially on U.S. markets, but we are also exploring opportunities in select non-U.S. markets on a more limited basis. Our sales and marketing efforts include engaging with potential customers with which we built relationships through our previous hardware efforts, contacting potential customers that we believe could benefit from our products, working with manufacturers of robotic systems and systems integrators to offer our products along with theirs to end users, building brand and product capability awareness through targeted activities such as attending trade shows, increasing our presence in social media channels, increasing public relations, increasing earned media, and engaging in speakerships, blogs and white papers. We also collaborate with third-party drone companies, such as Red Cat and Draganfly. We currently conduct sales and marketing activities primarily through our direct, internal sales and business development teams and our internal marketing team. We have organized our sales and business development teams generally with resources focused on either Defense or Commercial customers. We intend to continue investing in our sales and marketing efforts in support of the commercialization of our products and services.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Palladyne IQ is being offered through a term-based licensing model that we expect to result in recurring revenue streams, while Palladyne SwarmOS/Pilot is offered through a device-based licensing model. We may also offer add-on functionality for an additional license fee. While we plan to charge an upfront fee for the hardware associated with Palladyne IQ, we may choose to embed the cost in the license fee in the future. Based on interaction with dozens of potential customers, we believe that the sales cycle for Palladyne IQ is likely to be between 12 and 18 months, or even longer, while the sales cycle for Palladyne SwarmOS/Pilot is unknown. System integrators and potential customers of Palladyne IQ have indicated that recent changes in U.S. trade policy have caused some potential customers to re-evaluate their automation priorities which we believe has and will continue to delay certain investment decisions in the near term but will overall create greater opportunities for Palladyne IQ deployments in the United States in the medium and long term.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redefining automation to bring human-like reasoning, intelligence and autonomy to robotics through an innovative and distinctive application of AI and ML that will provide significant benefits to customers as compared to alternative approaches. Our products will compete with companies that have developed or are developing both directly and indirectly competing solutions and capabilities. Many of our competitors and potential competitors have products that are commercially available and/or in development. We expect some products currently in development by such competitors and potential competitors to become commercially available in the next few years.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SwarmOS/Pilot will face competition from a variety of other UAV software solutions currently available on the market, which may include software developed by manufacturers for use with their proprietary UAVs. These include solutions offered by Anduril, Shield AI and Skydio. While certain competitors offer individual functionalities similar to what Palladyne SwarmOS/Pilot provides, they do not deliver the full suite of features offered by our product. Some competitors sell both UAV hardware and its corresponding software. Other competitors that sell UAV software as a standalone product tend to focus on software functionality for larger UAVs, which may nonetheless be competitive with SwarmOS/Pilot with certain UAVs or use cases.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Large defense prime contractors with UAV, aviation or missile programs, such as Lockheed Martin, Northrop Grumman, Boeing and RTX, along with manufacturing companies, represent formidable potential competitors of ours, particularly as they accelerate investments in attritable autonomous systems, loitering munitions and AI-enabled avionics. These incumbents leverage established program relationships, large R&amp;D budgets and certified production lines to develop integrated solutions like other low-cost attritable weapons such as the Leidos Black Arrow, which could compete with SwarmStrike.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engineering services may compete with companies such as ModalAI, ArkElectronics, Applied Navigation, and other organizations such as Georgia Tech Research Institute and similar organizations that sell or otherwise provide similar services. We believe that our competitors provide solutions for more broadly applicable use cases, while our engineering services provide solutions for nonstandard or specialized products or use cases where more generic competitor solutions are less suitable.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While there are many automation-centric companies who are active, especially in early-adopter segments such as warehouse and logistics and select manufacturing or assembly verticals, we believe our primary competitors for Palladyne IQ are those who are focused on addressing key challenges in robotic deployments via autonomy or automation-enhancing software capabilities. In the broader automation landscape, our direct and indirect competitors include companies such as Bright Machines, Intrinsic, Liquid AI, Mujin, Physical Intelligence, Rapid Robotics and Skild AI. We believe that our competitors generally are seeking to solve the same or similar industry challenges as we are, but that most are focused on a particular aspect of the problem we are addressing with Palladyne IQ than a fully competitive solution.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view industrial robotics manufacturers, large system integrators and consulting companies such as Fanuc, KUKA, ABB, Yasakawa, Honeywell, Reply and Rockwell Automation, as potential target customers and/or channel partners for Palladyne IQ, we also recognize that these companies could also emerge as formidable competitors through their own internal development efforts or future technology partnerships with and acquisitions of our direct competitors. They may bring their robust customer relationships, channels and significant financial resources to help accelerate the market viability of their own products or those of one or more of our direct or indirect competitors.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expect that we will compete favorably against potential competitors due to our technical innovation and product cost, features and performance, many of our potential competitors have greater financial, technical and other resources than we have. Our competitors may be able to deploy greater resources to the design, development, distribution, promotion, sales, marketing and support of competitive products than we can. Additionally, some of our competitors have greater name recognition, longer operating histories, larger sales forces, broader customer and industry relationships and other tangible and intangible resources than we have. These competitors also compete with us in recruiting and retaining qualified research and development, sales, marketing and management personnel, as well as in acquiring technologies complementary to, or necessary for, our products. Additional mergers and acquisitions by our existing or potential competitors may result in even more resources being concentrated with our competitors. Our competitor base may change as other companies introduce products that provide solutions to the same problems addressed by our products or we develop new functionality or products that overlap with current or future products offered by others. Competitors may develop new technologies or products that provide superior results to customers and/or are less expensive than our products. Our technologies and products could be rendered obsolete by such developments. See Part I Item 1A Risk Factors - "</w:t>
      </w:r>
      <w:r>
        <w:rPr>
          <w:rFonts w:ascii="Times New Roman" w:cs="Times New Roman" w:eastAsia="Times New Roman" w:hAnsi="Times New Roman"/>
          <w:sz w:val="18"/>
          <w:szCs w:val="18"/>
          <w:i w:val="1"/>
          <w:iCs w:val="1"/>
          <w:color w:val="auto"/>
        </w:rPr>
        <w:t>We operate in a competitive industry that is subject to rapid technological change, and we expect competition to increase. Our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not be competitive with other alternatives."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research and development efforts are primarily focused on (1) the further improvement of our AI/ML Foundational Technology and improvement and enhancement of our related software products, Palladyne IQ and Palladyne SwarmOS/Pilot, (2) the BRAIN family of advanced avionics computers and (3) our UAV and missiles projects, Gremlin-X and SwarmStrike. We pursue continuous improvement of our AI/ML Foundational Technology and other technologies, and related products, as well as to develop additional functionalities and performance enhancements. For example, we continue to improve product reliability and the user interface and product documentation and to create new Task Libraries for Palladyne IQ. We believe that as we show the commercial viability and benefits of our products in our initial target markets and use-cases, customers and potential customers will want to use our products to address other use-cases that previously have not been conducive to automation. As our products are highly complex, we want to ensure that we continue to develop new systems and solutions to address new markets and use-cases and thereby grow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create, obtain and maintain intellectual property is important to our business. We rely upon a combination of protections afforded to owners of patents, copyrights, trade secrets and trademarks, along with employee and third-party non-disclosure agreements and other contractual restrictions to establish and protect our intellectual property rights.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pursue patent protection at times when we believe we have developed a patentable invention and the benefits of obtaining a patent outweigh the risks of making the invention public through patent filings. We have been issued U.S. Patent No. 12,452,957 B2, titled “Closed Loop Tasking and Control of Heterogeneous Sensor Networks,” which protects Palladyne AI’s core architecture that allows multiple autonomous systems, including drones, robots, and sensors, to work together as an intelligent, coordinated team across domains, resulting in a heterogeneous swarm. We are in the process of attempting to secure patent protection for other aspects of our AI/ML Foundational Technology as well.</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fact that our extensive patent portfolio is expensive to maintain, we have been and continue to be in the process of culling patents and applications from our portfolio that we do not believe are essential or likely to add value to our ongoing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business operations. Many of our previously issued patents have expired, with others set to expire on dates ranging from 2026 to 2045, exclusive of any patent term adjustment or patent term extension. We do not know whether our pending patent applications will result in issued patents or whether the examination process will require a narrowing of claimed subject matter. Considering the highly active fields of technology in which we are involved, particularly the field of artificial intelligence, our patents and pending patent applications may not provide us with broad-level protection.</w:t>
      </w:r>
    </w:p>
    <w:p>
      <w:pPr>
        <w:spacing w:after="0" w:line="72" w:lineRule="exact"/>
        <w:rPr>
          <w:sz w:val="20"/>
          <w:szCs w:val="20"/>
          <w:color w:val="auto"/>
        </w:rPr>
      </w:pPr>
    </w:p>
    <w:p>
      <w:pPr>
        <w:ind w:right="1740"/>
        <w:spacing w:after="0" w:line="407" w:lineRule="auto"/>
        <w:rPr>
          <w:sz w:val="20"/>
          <w:szCs w:val="20"/>
          <w:color w:val="auto"/>
        </w:rPr>
      </w:pPr>
      <w:r>
        <w:rPr>
          <w:rFonts w:ascii="Times New Roman" w:cs="Times New Roman" w:eastAsia="Times New Roman" w:hAnsi="Times New Roman"/>
          <w:sz w:val="18"/>
          <w:szCs w:val="18"/>
          <w:color w:val="auto"/>
        </w:rPr>
        <w:t xml:space="preserve">To protect our brand, we also pursue the registration of various trademarks in the United States and in select international locations. </w:t>
      </w:r>
      <w:r>
        <w:rPr>
          <w:rFonts w:ascii="Times New Roman" w:cs="Times New Roman" w:eastAsia="Times New Roman" w:hAnsi="Times New Roman"/>
          <w:sz w:val="18"/>
          <w:szCs w:val="18"/>
          <w:b w:val="1"/>
          <w:bCs w:val="1"/>
          <w:color w:val="auto"/>
        </w:rPr>
        <w:t>Human Capital</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 experienced and talented team with deep operational expertise. Our team is led by Benjamin Wolff, our President and Chief Executive Officer, who has served in various capacities with the Company for more than 10 years and who has many years of executive-level, operational and corporate board experience for public and private companies. Our engineering efforts are led by Denis Garagić, our Chief Technology Officer and a co-founder of our AI software business, with over 25 years of experience in AI and ML. Our recent acquisitions of GuideTech, Warnke Precision Machining and MKR Fabricators have brought experienced aerospace and manufacturing executive leadership into our organization with teams of engineers with expertise and decades of experience with defense prime contractors and defense manufacturers. The addition of these executives and their teams enables us to provide our engineering services, manufacturing and vertically integrated solutions. Members of our board of directors have extensive experience across a wide array of disciplines, including significant defense and national security expertise brought by Admiral Eric T. Olsen (Ret.) and Lt. Gen. (Ret.) Stephen Twitty.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February 3, 2026, we had approximately 161 full-time and part-time employees, with approximately 61 located in our Salt Lake City, Utah office 44 in our Michigan facilities. We also engage consultants and contractors to supplement our permanent workforce on an as-needed basis. Approximately 48% of our employees are involved in engineering functions, including research and development. To date, we have not experienced any organized work stoppages and consider our relationship with our employees to be good. None of our employees are subject to a collective bargaining agreement or represented by a labor union.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limited set of suppliers for our products. We expect most of our suppliers to be based in the United States and expect most of our supplier relationships to be purchase order based rather than long-term supply contracts.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For additional information related to supply chain issues, see "</w:t>
      </w:r>
      <w:r>
        <w:rPr>
          <w:rFonts w:ascii="Times New Roman" w:cs="Times New Roman" w:eastAsia="Times New Roman" w:hAnsi="Times New Roman"/>
          <w:sz w:val="18"/>
          <w:szCs w:val="18"/>
          <w:i w:val="1"/>
          <w:iCs w:val="1"/>
          <w:color w:val="auto"/>
        </w:rPr>
        <w:t>Risk Factors— The products related to our AI/ML Foundational Technology require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U.S. federal, state and local laws and regulations governing the occupational health and safety of our employees and wage regulations, including the requirements of the U.S. Occupational Safety and Health Act, as amended, and complementary state requirements (including the Utah Occupational Safety and Health Division's Utah State Plan) that protect and regulate employee health and safety.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subject to U.S. laws and regulations that may limit and restrict the export of our products and services and may restrict our ability to transact with certain potential customers, suppliers, business partners and other persons. These laws and regulations include outright prohibitions on certain types of transactions and impose license or other government authorization requirements on others. We must also comply with export restrictions and other laws affecting trade and investments imposed by other countries to the extent applicable. We maintain export compliance controls and procedures as part of our broader compliance efforts, but, as with any compliance program, there are risks that these controls might not prevent every instance of non-compliance, in which case we could be exposed to legal liability. Compliance with these laws has not significantly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hampered our efforts to engage and transact with third parties but could limit them in the future. Further changes in, and responses to, U.S. trade policy could reduce the competitiveness of our products by making it difficult or impossible to enter affected markets, which could have a material adverse effect on our business, prospects, financial condition or results of operations.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Aspects of our use of sensors in connection with our products must comply with the rules of the Federal Communications Commission ("FCC"), including with respect to: the use of any RF spectrum utilized for such components as the remote control or teleoperation system; the power level and frequency of any RF energy emitted (intentionally or otherwise); and any conditions imposed by the FCC on the device certification(s) issued to us or to third parties for any modular transmitters installed in our products. Such rules require, among other things, specific consumer disclosures with respect to RF emissions and proper installation and operation of the device components and any modular transmitters in our products.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a U.S. government contractor, we are subject to various government procurement and other laws, regulations and contract requirements, including provisions and clauses of the Federal Acquisition Regulation ("FAR"), the Defense Federal Acquisition Regulation Supplement ("DFARS") and other agency-specific regulations. These U.S. government contracting requirements further implicate a broad variety of subjects in addition to the areas described above, including security, data management and disclosure, cybersecurity, supply chain, cost and pricing activity and finance.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operate primarily from our facilities in Salt Lake City, Utah and also have offices in Lenexa, Kansas, Tucson, Arizona, a fabrication facility in Saginaw, Michigan and a machining facility in Oxford, Michigan totaling approximately 160,000 square feet. The lease of our Salt Lake City facility expires in May 2033 and has two options to extend the lease for a three-year period each. We believe that should we need additional or different space, we will be able to obtain such space on commercially reasonable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Corporate Information and Website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Palladyne AI is the result of a decades-long effort in research and development of robotic systems and solutions. Our original predecessor was spun-out of the University of Utah in 1983. In 2007, our predecessor was acquired by Raytheon and was operated until 2014 as a division of Raytheon known as Raytheon Sarcos. During this period, Raytheon Sarcos was focused primarily on developing cutting-edge technologies for use by U.S. governmental agencies. In December 2014, the assets of Raytheon Sarcos were acquired by a consortium led by the former Raytheon Sarcos President and our Chief Innovation Officer, Dr. Fraser Smith, and technology and telecom entrepreneur Benjamin Wolff, our Chief Executive Officer, President and member of the Board of Directors. This acquisition was the basis for the establishment of Sarcos Corp., a Utah corporation ("Old Sarcos"), which was incorporated in Utah in February 2015. On September 24, 2021, Old Sarcos merged with Rotor Acquisition Corp. ("Rotor"), a Delaware corporation and Rotor changed its name to Sarcos Technology and Robotics Corporation ("Sarcos"). In April 2022, we acquired RE2, Inc., a Pittsburgh, Pennsylvania based robotics company. On November 14, 2023, we announced a pivot in business strategy to prioritize the development and commercialization of our AI/ML Foundational Technology and suspend further commercialization efforts on hardware robotics products. As part of the business pivot and to reflect the new focus of the company, on March 18, 2024, the Company changed its name to Palladyne AI Corp. On November 14, 2025, we acquired GuideTech, LLC an engineering company, MKR Fabrication, LLC (also known as MKR Fabricators), a fabrication company, and Warnke Precision Machining, LLC, a precision machining company.</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pioneer in the robotic systems industry, we benefit from lessons learned over 30-plus years and significant investment in research and development. Through our hardware product development efforts over many years, including our related software development efforts, we have developed a significant amount of advanced technology and understanding of robotic systems that we are leveraging to develop and commercialize our AI/ML Foundational Technology and related products. Our extensive robotics history gives us valuable perspective on how to use software to tackle the challenges associated with training and managing robotic systems to solve complex tasks in arbitrary human environments.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historical innovations in the development of our legacy hardware products and our related early AI software development for our own hardware, including human like dexterity and immersive teleoperation technology for natural extended reality interactions between humans and robots, have enabled us to transition our previous software development into our hardware agnostic AI/ML Foundational Technology that has the potential for a wide range of use cases and that is compatible with a broad base of robots and unmanned platforms such as UAVs, ROVs and UGVs.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spent many years working with and listening to people with experience in the industries we expect to target, including advisors and potential customers. These early engagements have helped us form relationships with potential customers, helped fund our development efforts and provided critical customer insight and feedback into our development plans and software design. We believe our early efforts to get this feedback and build these relationships with potential customers situate us well to effectively commercialize our products.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offices are located at 650 South 500 West, Suite 150, Salt Lake City, Utah, 84101. Our telephone number is 888-927-7296.</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 company website with the address www.palladyneai.com. We are not including the information contained on our website as a part of, or incorporating it by reference into, this Annual Report on Form 10-K. We make available free of charge through the www.palladyneai.com website our Annual Reports on Form 10-K, Quarterly Reports on Form 10-Q and Current Reports on Form 8-K, and amendments to these reports filed or furnished pursuant to Section 13(a) or 15(d) of the Exchange Act, as soon as reasonably practicable after we electronically file such material with, or furnish such material to, the SEC. These reports and other information are also available, free of charge, at www.sec.gov. In addition, our Code of Business Conduct and Ethics is available through the www.palladyneai.com website and any amendments to or waivers of the Code of Conduct will be disclosed on that website.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"Management's Discussion and Analysis of Financial Condition and Results of Operations" and our audited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expect to incur significant losses for the foreseeable future.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losses from operations and negative cash flows from operations since inception and are likely to continue to incur losses from operations and negative cash flows from operations in the near term. We incurred a loss from operations of $32.4 million and $26.9 million for the years ended December 31, 2025 and 2024, respectively. As of December 31, 2025, we had an accumulated deficit of $480.8 million and working capital of $46.9 million. We expect to incur significant losses for the foreseeable future. Forecasting the timing and amounts of expected revenue and our quarterly and annual results is challenging, in particular because the sales cycle, product acceptance, product pricing and customer adoption rates of our products are uncertain. Even if we are able to successfully attract customers for commercial sales, we may not become profitable. Our potential profitability is dependent upon the successful commercialization and adoption on a large scale of our technology products and services and our ability to lower costs, none of which may occur. We may not be successful in achieving meaningful revenues from these products. Further, the timing, amount and growth rate of any such revenues are unknown.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likely to continue to incur losses in future periods as we:</w:t>
      </w:r>
    </w:p>
    <w:p>
      <w:pPr>
        <w:spacing w:after="0" w:line="22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commercialize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sales and marketing activities and develop our sales and customer service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technology, products and services and in our cybersecurity measures, policies and controls;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general and administrative functions and systems to support our operations and to operate as a publicly-traded company.</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will incur costs and expenses from these and other efforts before we receive significant product revenue, we expect to incur losses in future periods, which could be significant. In addition, we may find that these efforts are more expensive than we currently anticipate or that these efforts may result in less than expected or no additional revenue, which would further increase our losses and affect our ability to continue operations. We may have to obtain additional capital from external sources, and additional financing may not be available when needed or, if available, may not be available on terms favorable to us or to our stockholders. See "</w:t>
      </w:r>
      <w:r>
        <w:rPr>
          <w:rFonts w:ascii="Times New Roman" w:cs="Times New Roman" w:eastAsia="Times New Roman" w:hAnsi="Times New Roman"/>
          <w:sz w:val="18"/>
          <w:szCs w:val="18"/>
          <w:i w:val="1"/>
          <w:iCs w:val="1"/>
          <w:color w:val="auto"/>
        </w:rPr>
        <w:t>Our business plans require a significant amount of capital. We may sell additional equity or debt securities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early stage company, with no or limited previous experience commercializing our products. Our projected financial and operating information reflect estimates of future performance and are based on multiple business, financial, technical and operational assumptions, including product strategy, timely hiring or retention of needed personnel, timing and successful commercialization of our products, the level of demand for our products and services, the size of our target markets, the performance and utilization of our products, product and services pricing and the nature and length of the sales cycle (which we believe to be long). However, given our limited commercial experience, many of these assumptions may prove to be incorrect. Projections and other statements about future expectations are forward-looking statements that are inherently subject to significant risks, uncertainties and contingencies, many of which are beyond our control (in addition to the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jc w:val="both"/>
        <w:spacing w:after="0" w:line="284" w:lineRule="auto"/>
        <w:rPr>
          <w:sz w:val="20"/>
          <w:szCs w:val="20"/>
          <w:color w:val="auto"/>
        </w:rPr>
      </w:pPr>
      <w:r>
        <w:rPr>
          <w:rFonts w:ascii="Times New Roman" w:cs="Times New Roman" w:eastAsia="Times New Roman" w:hAnsi="Times New Roman"/>
          <w:sz w:val="18"/>
          <w:szCs w:val="18"/>
          <w:color w:val="auto"/>
        </w:rPr>
        <w:t>contained in these Risk Factors,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yet to achieve positive operating cash flow, and our ability to generate positive cash flow is uncertain.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had negative cash flow from operating activities of $27.6 million and $22.6 million for the years ended December 31, 2025 and 2024, respectively. We expect to continue to have negative cash flow from operating activities for the foreseeable future as we expect to incur research and development, sales and marketing and general and administrative expenses in our efforts to commercialize our products, increase sales and engage in continuous development work. We may not achieve positive cash flow in the near future or at all. Our business also may at times require significant amounts of working capital to support sales growth, capital expenditures or additional product development efforts. An inability to generate positive cash flow for the near term may adversely affect our ability to raise capital for our business on reasonable terms or at all, adversely affect our ability to pursue our business objectives, diminish customer willingness to enter into transactions with us and have other adverse effects, all of which would affect our ability to continue operations. See </w:t>
      </w:r>
      <w:r>
        <w:rPr>
          <w:rFonts w:ascii="Times New Roman" w:cs="Times New Roman" w:eastAsia="Times New Roman" w:hAnsi="Times New Roman"/>
          <w:sz w:val="18"/>
          <w:szCs w:val="18"/>
          <w:i w:val="1"/>
          <w:iCs w:val="1"/>
          <w:color w:val="auto"/>
        </w:rPr>
        <w:t>"We are an early stage company with a history of losses, and expect to incur significant losses for the foreseeable future."</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or limited previous history or experience with commercializing our products and may not be able to do so efficiently, effectively or at all. We were unsuccessful in our efforts to commercialize our legacy hardware technologies that we and our predecessor companies developed over the past several decades.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 or limited experience commercializing our products and may not be able to do so efficiently or effectively or at all. Historically we were unsuccessful in our efforts to commercialize our legacy hardware products. Moreover, commercialization may be delayed due to the challenges discussed under "</w:t>
      </w:r>
      <w:r>
        <w:rPr>
          <w:rFonts w:ascii="Times New Roman" w:cs="Times New Roman" w:eastAsia="Times New Roman" w:hAnsi="Times New Roman"/>
          <w:sz w:val="18"/>
          <w:szCs w:val="18"/>
          <w:i w:val="1"/>
          <w:iCs w:val="1"/>
          <w:color w:val="auto"/>
        </w:rPr>
        <w:t>Successful commercialization of our technology and products may be delayed beyond our current expectations and therefore product availability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customer acquisition and receipt of product revenue could be delayed.</w:t>
      </w:r>
      <w:r>
        <w:rPr>
          <w:rFonts w:ascii="Times New Roman" w:cs="Times New Roman" w:eastAsia="Times New Roman" w:hAnsi="Times New Roman"/>
          <w:sz w:val="18"/>
          <w:szCs w:val="18"/>
          <w:color w:val="auto"/>
        </w:rPr>
        <w:t>" The commercialization of our products is a complex and 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that involves the development of new and emerging technologies, continued investment, including in privacy, safety and security efforts and potential collaborations with other companies, developers, partners and other participants. Market acceptance of our products is uncertain and we may need to change product features to meet customer needs. We regularly evaluate our product roadmaps and make significant changes as our understanding of the technological challenges and market landscape and our product ideas and designs evolve. We also may be unsuccessful in our research and product development efforts.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key element of our long-term business strategy involves sales, marketing, training and customer service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products and services. In addition, certain decisions we make regarding priorities and staffing in these areas in our efforts to responsibly manage our financial resources could have unintended negative effects on our revenue, such as by weakening the sales and marketing infrastructures or lowering the quality of customer service.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Successful commercialization of our technology and products may be delayed beyond our current expectations and therefore product availability to customers, customer acquisition and receipt of product revenue could be delayed.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our technology and products. Product testing and customer use regularly provide feedback on how we can improve our products. If we are unable to demonstrate that our products deliver the performance, reliability, functionality and/or safety that we or our potential customers expect or quickly address discovered issues, commercial success may be delayed as we work to address the deficiencies. As a result of such delays, we may receive product revenue later than expected or not at all if our potential customers decide to seek alternative solutions to our products, adversely affecting our results of operations and financial condition. If we are unable to recruit and retain employees as needed to commercialize our products, we may be unable to do so in a timely manner or at all.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recent years we experienced, and we continue to experience, these challenges, which have at times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macro-economic conditions, such as changes in United States trade policy, including tariffs, inflation and high interest rates and geopolitical events, such as the current war between Russia and Ukraine, have contributed to price increases and otherwise affected financial and business markets and activities, and may continue to do so. If we are unable to develop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and commercialize our products in a cost efficient manner, our financial results, financial condition and prospects would be materially and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issues in the development and use of our AI/ML Foundational Technology or AI-enabled products, or issues in products developed by others, may result in reputational harm or liability.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issues in the development or use of our AI/ML Foundational Technology or AI-enabled products, or issues in products developed by others may result in reputational harm or liability. As with many innovations, AI presents risks, challenges and unintended consequences that could affect its adoption, and therefore our business. AI algorithms and training methodologies may be flawed, ineffective or inadequate. AI development or deployment practices by us or others could result in incidents that impair the acceptance of AI solutions or cause harm to individuals or society. These deficiencies and other failures of AI systems could subject us to competitive harm, regulatory action, legal liability and brand or reputational harm. If we enable or offer AI solutions that are controversial because of their impact on human rights, privacy, employment or other social, economic or political issues, we may experience competitive, brand or reputational harm or legal and/or regulatory action. Further, incorporating AI gives rise to litigation risk and risk of non-compliance and unknown costs of compliance, as AI is an emerging technology for which the legal and regulatory landscape is not fully developed. See "</w:t>
      </w:r>
      <w:r>
        <w:rPr>
          <w:rFonts w:ascii="Times New Roman" w:cs="Times New Roman" w:eastAsia="Times New Roman" w:hAnsi="Times New Roman"/>
          <w:sz w:val="18"/>
          <w:szCs w:val="18"/>
          <w:i w:val="1"/>
          <w:iCs w:val="1"/>
          <w:color w:val="auto"/>
        </w:rPr>
        <w:t>Issues in the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use of AI/ML, combined with an uncertain regulatory environment, may result in reputational harm, liability or other adverse consequences to our business operations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AI/ML Foundational Technology and other technologies and products are new, and customer trials and discussions may not result in purchases.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AI/ML Foundational Technology and other technologies and products are new technologies. As of the date of this Report, we have revenue generating contracts with commercial and U.S. government customers relating to our UAV engineering services, advanced avionics computers and precision manufacturing and we also have revenue generating contracts with U.S. government customers relating to various aspects of our AI/ML Foundational Technology and related products. However, while we continue to engage with numerous other potential customers, we currently have no commercial customers for our AI/ML Foundational Technology related products. Our products contain advanced software and control technologies that we have developed over many years. The design of our products is significantly influenced by feedback from potential customers and reflects the needs they express. Even if we are able to successfully incorporate that feedback into our products, customers who initially expressed an interest in our products during the design or testing phase may not purchase our products. If we cannot commercialize our technologies and products generally on our expected schedule, if our products do not offer our potential customers the features, functionality and return on investment that they expect, if potential customers are unwilling or hesitant to adopt new technologies and products such as ours and/or if potential customers are not willing to pay for our products and services at the rates that we currently expect, our ability to generate material revenues will be materially impaired.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interaction with dozens of potential customers, we believe that the sales cycle for Palladyne IQ is likely to be between 12 and 18 months, or even longer, while the sales cycles for Palladyne Pilot, SwarmOS and IntelliSwarm are unknown. We have limited actual knowledge of or experience with the sales cycle of our products including the customer testing that will be required for customers to ultimately license our software products. As a result, customer testing may take longer than we anticipate, and we may not be able to provide such testing to the satisfaction of prospective customers, which could result in longer sales cycles and fewer purchases than anticipated. We may not be able to adapt our products to reflect customer feedback successfully or at all. If customers who initially express an interest in our products and influenced their designs do not license or purchase our products, or if they adopt a competitors' technology, our business, prospects, financial condition and operating results would be adversely affected.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build and maintain our business, we must maintain confidence among customers and potential customers in our technologies, products and services, long-term financial viability and prospects. Maintaining such confidence may be particularly complicated by certain factors including those that are largely outside of our control, such as our limited commercial software experience, customer unfamiliarity with our software and other products, any delays in development or testing, product performance, competition and uncertainty regarding the future of AI and robotics. If we do not generate sufficient revenue, our business, prospects, financial condition and operating results would be materially and adversely affected. Further, if investors, analysts, rating agencies and other third parties are not confident in our technologies, products and services, our ability to commercialize our products, our financial viability or our prospects, we may not be able to raise any needed funding which would materially and adversely affect our financial condition and prospects and ability to continue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target markets and the industries we seek to serve do not continue to develop as we anticipate, or if potential customers do not adopt our technologies, products and services and license or purchase our products and services, our sales will not grow as quickly as expected, or at all, and our business, operating results and financial condition would be harmed.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markets for our AI/ML Foundational Technology, other technologies and products and applications similar to ours are relatively new and evolving. We are developing our products to respond to an increasingly global and complex business environment with rigorous regulatory standards. If organizations do not allocate their budgets as we expect or if we do not succeed in convincing potential customers to license or purchase our products and services, our sales will not grow as quickly as anticipated, or at all. Economic uncertainty or future deterioration in general economic conditions might also cause our customers to cut or delay their spending, and such cuts might disproportionately affect businesses like ours to the extent customers view our products and services as too costly or discretionary. For example, the effects of changes in U.S. trade policy, including tariffs, are unknown and may have the effect of diminishing customer willingness to enter into transactions with us. Moreover, market acceptance of our technologies and products is critical to our continued success. Even if the market grows as expected, if potential customers do not adopt our technologies, products and services, our business, operating results, financial condition and growth prospects will be materially and adversely affected. If we are not able to generate material revenues from our products and services before we exhaust our financial resources, we may need to cease business operations. See "</w:t>
      </w:r>
      <w:r>
        <w:rPr>
          <w:rFonts w:ascii="Times New Roman" w:cs="Times New Roman" w:eastAsia="Times New Roman" w:hAnsi="Times New Roman"/>
          <w:sz w:val="18"/>
          <w:szCs w:val="18"/>
          <w:i w:val="1"/>
          <w:iCs w:val="1"/>
          <w:color w:val="auto"/>
        </w:rPr>
        <w:t>We are an early stage company with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history of losses, and expect to incur significant losses for the foreseeable future.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introduce and implement enhancements, new features or modifications to our technologies and products, our business would be harmed.</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we are unable to successfully introduce and implement new products, applications, enhancements or features, or fail to develop new products or applications that achieve market acceptance or that keep pace with rapid technological developments, our business, operating results, financial condition and growth prospects would be adversely affected. The success of enhancements and new products and applications depends on several factors, including timely completion, introduction and market acceptance.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must continue to meet the changing expectations and requirements of our customers. Any failure of our software or other products to operate effectively with future software, such as third-party robotic operating systems, technologies and third-party platforms or to evolve and scale to address the changing needs of our customers could reduce the demand for our products or result in customer dissatisfaction. Further, uncertainties about the timing and nature of new software, technologies or third-party platforms, or modifications to our software or products or existing software, technologies or platforms, could increase our research and development expenses. If we are not successful in developing modifications and enhancements to our products or if we fail to introduce new products and applications to market in a timely fashion, our products might become less marketable, less competitive or obsolete, and consequently our revenue growth might be significantly impaired and our business, operating results and financial condition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customers at sufficient rates or in sufficient numbers or at all.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 or limited experience commercializing our products and may not be able to do so efficiently or effectively or at all. To create and grow our customer base, we must sell and/or license our software, products and services to new customers, which we may not be able to do in sufficient numbers or at all. Even if we are able to attract customers, these customers may not maintain a high level of commitment to our technology, products or services. In addition, we will incur marketing, sales and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certain of our technologies and products to be used with robots and UAVs operating in a wide variety of environments and for a broad range of complex uses. Our success depends on our ability, and the ability of our customers, to implement our products successfully in these environments. Customer retention will also be largely dependent on the quality and effectiveness of our customer service operations, which may be handled internally by our personnel and also by third-party service providers. We expect that we will need to often assist our customers in implementing our software and other products. If we or our customers are unable to implement our products successfully, or are unable to do so in a timely manner, inadequate performance might result and customer perceptions of our technology, products and company might be impaired, our reputation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and brand might suffer, we may face legal claims, customers might choose not to renew or expand the use of our products and we might lose opportunities for additional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previous history with our licensing sales model for our software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 experience with licensing software as a business model. The success of our strategy to build recurring revenue streams through software licenses depends on our ability to successfully market our software products and their benefits to customers and to successfully develop a network of ongoing customers that maintain or renew their licenses, pay for upgrades, license additional functionality or expand the use of the software within their robotic systems. The likelihood of our success must be considered in light of these risks, and our license model may not prove successful.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competitors may offer different pricing models that may be more attractive to potential customers. We may be required to adjust our sales model in response to these changes, which could adversely affect our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assumptions about market demand, pricing, adoption rates and sales cycles for our products and services may be inaccurate.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demand for our products is unproven, and important assumptions about the characteristics of targeted markets, pricing, adoption rates and sales cycles may be inaccurate. Based on interaction with dozens of potential customers, we believe that the sales cycle for Palladyne IQ is likely to be between 12 and 18 months, or even longer, while the sales cycles for our other products, including Palladyne Pilot, SwarmOS, IntelliSwarm, avionics and UAVs, are unknown.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evolving nature of the markets in which we operate, it is difficult to predict customer demand or adoption rates for our products or the future growth of the markets we target. If one or more of the targeted markets experience a shift in customer demand, whether due to new solutions that better address customer needs or otherwise, our products may not compete as effectively, if at all. If customer demand does not develop as expected, or if we do not achieve forecasted pricing, adoption rates and sales cycles for our products, our business, results of operations and financial condition will be adversely affected, perhaps materially.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of our AI/ML Foundational Technology and related products to customers and projected return on investment have not been substantiated through customer use.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AI/ML Foundational Technology and related products have not been commercially used by customers. Our products may not perform consistent with customers' expectations or consistent with other products that may be or may become available. Any failure of our products to perform as expected could harm our reputation and result in adverse publicity, lost revenue, license cancellation, harm to our brand, delays in availability, product liability claims and significant warranty and other expenses and could have a material adverse impact on our business, prospects, financial condition and operating results.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intend to target many customers that are large businesses, including large U.S. government prime contractors, with substantial negotiating power, exacting product standards and potentially competitive internal solutions. If we are unable to sell our software products to these customers, our prospects and results of operations will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many of our potential customers will be large businesses, including large U.S. government prime contractors, with substantial negotiating power relative to us and, in some instances, may have internal solutions that are competitive to our AI/ML software products and other products and services. These large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customers from these or other businesses or we may be unable to generate meaningful revenue from these potential customers. If our products and services are not selected by these large businesses or if these businesses develop or acquire competitive technology, it may have a material adverse effect on our business, prospects, financial condition and operating results.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is currently and will continue to be generated by contracts with government entities, which makes us subject to a number of uncertainties, challenges and risks.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a portion of our business prospects and future growth will come from government contracts, many of which are subject to competitive procurement processes, lengthy evaluation periods and uncertainty as to timing and outcome. Even after we are awarded with a government contract, contracts with government entities are subject to a number of risks. The procurement process can be highly competitive, expensive and time-consuming, often requiring significant upfront time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expense without any assurance that these efforts will generate revenue. Other factors that could impede our ability to generate revenue from government contracts include: changing political environments and shifts in government priorities; national security focus areas; impacts and changes to government spending; and budgetary or staffing cuts, including those related to government shutdowns resulting from lapses in government appropriations. The impact of any of these factors or other factors that affect government spending could result in cancellations of our contracts or in delays or terminations of opportunities that we are currently pursuing and negatively impact our business, financial condition and results of operations. For example, in the past due to government shutdowns, furloughs or reductions, we have experienced delays in our interactions with certain government agencies and these have affected our collection efforts and our ability to consummate new government contracts and may prevent us from maintaining or renewing certain government contracts. The duration of a shutdown could have a compounding effect, and the longer it continues, the more significant the potential adverse impact may be on our anticipated revenues. Further, U.S. government spending may be reduced as a result of changes in policy, and other factors affecting the U.S. government such as national security focus areas, budget deficits and the national debt. Even if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Additionally, during lapses in federal appropriations, agencies may delay new contract awards or modifications, interrupt funding or refuse to obligate additional funds, furlough personnel or reduce administrative and contracting support. Government entities may have statutory, contractual or other legal rights to terminate our contracts for convenience or default. Also see "</w:t>
      </w:r>
      <w:r>
        <w:rPr>
          <w:rFonts w:ascii="Times New Roman" w:cs="Times New Roman" w:eastAsia="Times New Roman" w:hAnsi="Times New Roman"/>
          <w:sz w:val="18"/>
          <w:szCs w:val="18"/>
          <w:i w:val="1"/>
          <w:iCs w:val="1"/>
          <w:color w:val="auto"/>
        </w:rPr>
        <w:t>We are subject to laws, regulations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provisions as a government contractor or subcontractor, which may pose increased risk of potential liability and expenses related thereto, which could have a material adverse effect on our business, operating results and financial condition.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we expect competition to increase. Our products may not be competitive with other alternatives.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AI/ML software, robotics and UAV industries and other industries we seek to serve are subject to rapid technological change, and we expect competition to increase in the future. Our research and development efforts may be unable to keep up with changes in technology or its alternatives and, as a result, our competitiveness may suffer. Developments in alternative technologies or solutions may materially and adversely affect our competitiveness in ways we do not currently anticipate. While we plan to upgrade and adapt our products and services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decreased revenue and a loss of market share to competitors.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SwarmOS/Pilot will face competition from a variety of other UAV software solutions currently available on the market, which may include software developed by manufacturers for use with their proprietary UAVs. These include solutions offered by Anduril, Shield AI and Skydio. While certain competitors offer individual functionalities similar to what Palladyne SwarmOS/Pilot provides, they do not deliver the full suite of features offered by our product. Some competitors sell both UAV hardware and its corresponding software. Other competitors that sell UAV software as a standalone product tend to focus on software functionality for larger UAVs, which may nonetheless be competitive with SwarmOS/Pilot with certain UAVs or use cases.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Large defense prime contractors with UAV, aviation or missile programs, such as Lockheed Martin, Northrop Grumman, Boeing and RTX, along with manufacturing companies, represent formidable potential competitors of ours, particularly as they accelerate investments in attritable autonomous systems, loitering munitions and AI-enabled avionics. These incumbents leverage established program relationships, large R&amp;D budgets and certified production lines to develop integrated solutions like other low-cost attritable weapons such Leidos Black Arrow, which could compete with SwarmStrike.</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there are many automation-centric companies who are active, especially in early-adopter segments such as warehouse and logistics and select manufacturing or assembly verticals, we believe our primary competitors for Palladyne IQ are those who are focused on addressing key challenges in robotic deployments via autonomy or automation-enhancing software capabilities. In the broader automation landscape, our direct and indirect competitors include companies such as Bright Machines, Intrinsic, Liquid AI, Mujin, Physical Intelligence, Rapid Robotics and Skild AI. We believe that our competitors generally are seeking to solve the same or similar industry challenges as we are, but that most are focused on a particular aspect of the problem we are addressing with Palladyne IQ than a fully competitive solution.</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view industrial robotics manufacturers, large system integrators and consulting companies such as Fanuc, KUKA, ABB, Yasakawa, Honeywell, Reply and Rockwell Automation, as potential target customers and/or channel partners for Palladyne IQ, we also recognize that these companies could also emerge as formidable competitors through their own internal</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efforts or future technology partnerships with and acquisitions of our direct competitors. They may bring their robust customer relationships, channels and significant financial resources to help accelerate the market viability of their own products or those of one or more of our direct or indirect competitors.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engineering services may compete with companies such as ModalAI, ArkElectronics, Applied Navigation, and other organizations such as Georgia Tech Research Institute and similar organizations that sell or otherwise provide similar services. We believe that our competitors provide solutions for more broadly applicable use cases, while our engineering services provide solutions for nonstandard or specialized products or use cases where more generic competitor solutions are less suitable.</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competitors and potential competitors have products that are commercially available and/or in development. We expect some products currently in development to become commercially available in the next few years. Further, our products may not be competitive with other alternatives.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software and other products in the future. Competitors may develop products that utilize advanced technology similar to ours (such as computer vision, AI and ML) in a more effective way, or new technologies or products that provide superior results to customers or are less expensive than our products. Our technologies and products could be rendered obsolete by such developments.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provided by any of our competitors with whom they may have an existing relationship. If we are not able to compete effectively, our business, prospects, financial condition and operating results will be adversely affected.</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because we operate in new and evolving markets, the actions of our competitors could adversely affect our business. Adverse events such as product defects or legal claims with respect to competing or similar products could cause reputational harm to the AI/ML software or robotics markets as a whole and, accordingly,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technological and manufacturing process expertise, our business could be adversely affected.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for our manufacturing and engineering services is characterized by rapidly changing technology and continuing process development. We are continually evaluating the advantages and feasibility of new manufacturing processes. We believe that our future success will depend upon our ability to develop and provide products that meet our customers’ changing needs. This requires that we maintain technological leadership and successfully anticipate or respond to technological changes in manufacturing processes on a cost-effective and timely basis. Our failure to maintain our technological and manufacturing process expertise could have a material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enhance our product offerings through our research and development efforts.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continue to advance and evolve our technologies and products in response to the evolving demands of our customers in the various industries we expect to serve. Palladyne IQ, Palladyne Pilot, SwarmOS, BRAIN and IntelliSwarm are in the early stages of commercialization and we continue to undergo reliability testing, debugging, and other stabilizing improvements. Gremlin-X and SwarmStrike are still in initial product development. We will incur significant additional product development efforts and expenses, and we may not be successful in commercializing or marketing our products at all or within our currently expected timelines or available resources. In addition, we continue to make iterative improvements to our products, as well as work to develop the next versions of our products. If we fail to adequately communicate to customers product improvements, or if customer feedback is not adequately reflected in our product improvements, customers may not be persuaded of the value of our products. If we fail to generate demand by developing products that incorporate features desired by customers, we may fail to generate revenue sufficient to achieve or maintain profitability. We have in the past experienced and may in the future experience delays in various phases of product development, including during research and development, release testing and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products, or to purchase competitors' products. Even if we are able to successfully develop and commercialize our products when and as anticipated, we may not produce sales in excess of the costs of development, and our products may be quickly rendered obsolete by changing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customer preferences or the introduction by competitors of products embodying new technologies or features. If we are unable to successfully manage our product development and communications with customers, customers may choose to not adopt or purchase our products, which would adversely affect our business, prospects,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and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recent acquisitions of GuideTech, Warnke Precision Machining and MKR Fabricators is subject to numerous risks and uncertainties, including integration risks.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we completed our acquisitions of GuideTech, Warnke Precision Machining and MKR Fabricators. We believe that these businesses are complementary to ours, and that we and the acquired companies will benefit from the combination of the businesses. Upon consummation of the acquisitions, we became subject to risks associated with these acquired businesses, many of which are the same risks that we currently face. Other risks include:</w:t>
      </w:r>
    </w:p>
    <w:p>
      <w:pPr>
        <w:spacing w:after="0" w:line="28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products, services and technologies of the acquired businesses;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risks, such as risks associated with combining multiple organizations and cultures in multiple geographies and integrating systems and maintaining IT security;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focus on business and product development objectives;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customer and supplier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allocate resources appropriately across product lines and service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or claims arising from the prior operations of the acquired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retain employees;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whether we can achieve the expected benefits of the acquisitions.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these and any other risks resulting from the acquisitions, the value of our investment in one or more of the acquired companies may be adversely affected and the expected benefits of the acquisitions may not be realized.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 the early stages of integrating the acquired businesses. While we believe that the organizations share common values and cultures and that the acquisitions will help us expand our product portfolio, offer additional services, integrate additional technologies, serve additional markets and further our product development efforts, integration involves significant risk and management attention. If these efforts divert management time and company resources from our product development efforts, commercialization of our technologies and services could be delayed. The development and sales of the products and services of the acquired businesses could also be adversely affected. Delays in the development and commercialization of either our AI/ML Foundational Technology and related products or the products and services of the acquired businesses would adversely impact our ability to generate revenue, our overall profitability and our operating performance, and the value of our investments in the acquired businesses could be adversely affected. If we are unable to realize the benefits of the acquisitions, we may be required to write-down the value of acquired assets or incur goodwill impairment charges.</w:t>
      </w:r>
    </w:p>
    <w:p>
      <w:pPr>
        <w:spacing w:after="0" w:line="4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or perceived design flaws, errors, defects, glitches, bugs or malfunctions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in our technologies, products and services, failure of our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design, development and use of our technologies and products involve certain inherent risks. New products generally suffer from flaws that are found, often as a result of customer use, and fixed over time. Real or perceived flaws in our products or designs, connectivity issues, unanticipated or unintended use of our products, user errors or inadequate disclosure of risks relating to the use of our products, among others, can lead to injury, property damage or other adverse events. We have conducted, are conducting and plan to continue to conduct extensive testing of our software products, in some instances in collaboration with our customers, to ensure that any such issues can be identified and addressed. However, we may not be able to identify all such issues or, if identified, efforts to address them may not be effective in all cases, and our product testing may not be adequate. We plan to conduct investigations, where applicable, to identify the cause or causes of incidents and, when appropriate, implement changes to testing protocols or to the products to prevent such incidents from reoccurring. However,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color w:val="auto"/>
        </w:rPr>
        <w:t>any implemented improvements may not fully prevent similar or other incidents in the future. Moreover, because of the size and weight of the third-party systems that may in the future use our technologies and products, and the nature and variability of the environments in which we expect our products to be used, adverse events relating to the use of our products could include significant injuries or even death. To the extent that flaws or connectivity issues are discovered during or after product development, we may experience delays in the development and/or sale of our products while the issues are resolved. For example, we continue our efforts to increase product reliability and stability and conduct ordinary course product testing and debugging, which may result in product development or commercialization delays. If any flaws and related issues that may arise cannot be adequately resolved, product sales may not occur and/or resume.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not be aware of flaws until injury to person or property has occurred. Such adverse events could lead to safety alerts relating to our products (either voluntary or required by governmental authorities), and could result, in certain cases, in the removal of our products from the market. Flaws could also result in negative publicity, damage to our reputation or, in the event of regulatory developments, delays in new product approvals.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Complex software may frequently experience errors, especially when first introduced. Our software products are complex and may experience errors or performance problems in the future. A failure of any part of our technology and products could result in property damage, serious injury or even death. We plan to implement bug fixes and upgrades as part of our regular software maintenance, which may lead to downtime. Even if we are able to implement bug fixes and upgrades in a timely manner, customers and operators also may fail to install updates and fixes to the software for several reasons, including poor connectivity or inattention. Any such occurrence could cause delay in market acceptance of our software products, damage to our reputation, increased service and warranty costs, product liability claims and loss of revenue.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that in the ordinary course of business we may be subject to product liability claims alleging flaws in the design of our products. A product liability claim, regardless of its merit or eventual outcome, could result in significant legal defense costs and high punitive damage payments, damage our reputation or require significant costs to redesign or fix our software or products. Although we maintain product liability insurance, the coverage is subject to deductibles and limitations, and may not be adequate to cover future claims.</w:t>
      </w:r>
    </w:p>
    <w:p>
      <w:pPr>
        <w:spacing w:after="0" w:line="3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our technologies and products perform properly and our products are used as intended, if personal injuries occur while operating our products or third-party products that incorporate our technologies and products, we could be exposed to liability and our results of operations, financial condition and reputation may be adversely affected.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technologies and products will contain complex technology and must be used as designed and intended in order to operate safely and effectively. Even if our products are used as designed and intended, customers may not operate our products or complex third-party systems and platforms that use our products safely and effectively. In addition, we cannot predict all the ways in which the proper use or misuse of our products can lead to injury or damage to property, and our training resources and safety systems may not be successful at preventing all incidents. If personal injury or damage to property were to occur while operating our products in a manner consistent with our training and instructions or otherwise, we could be exposed to liability and our results of operations, financial condition and reputation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which could negatively affect our ability to offer our technologies and products and subject us to possible litigation.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Foundational Technology, other technologies and products incorporate "open source" software provided by third parties. Open source software is generally freely accessible, usable and modifiable, and is made available to the general public on an "as-is" basis under the terms of a non-negotiable license. Use and distribution of open source software may entail greater risks than use of third-party commercial software or internally developed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may require us to offer for no cost the components of our software that incorporate the open source software, to make available source code for modifications or derivative works we create by incorporating or using the open source software or to license our modifications or derivative works under the terms of the particular open source license. If we 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required under the terms of an open source license to release our proprietary source code to the public, competitors could create similar products with lower development effort and time, which ultimately could result in a loss of sales for us.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face claims alleging noncompliance with open source license terms or infringement, misappropriation or other violation of open source technology. These claims could result in litigation or require us to purchase a costly license, devote additional research and development resources to re-engineer our software, discontinue the sale of our software products if re-engineering could not be accomplished on a timely or cost-effective basis, or make generally available our proprietary code in source code form, any of which would have a negative effect on our business and operating results, including being enjoined from the offering of the components of our software that contained the open source software. We could also be subject to lawsuits by parties claiming ownership of what we believe to be open source software. Litigation could be costly for us to defend, have a negative effect on our operating results and financial condition and require us to devote additional research and development resources to re-engineer our software.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monitor use of open source software and try to ensure that none is used in a manner that would subject our software to unintended conditions, few courts have interpreted open source licenses, and there is a risk that these licenses could be construed in a way that could impose unanticipated conditions or restrictions on our ability to commercialize our AI/ML Foundational Technology, other technologies and products. We cannot guarantee that we will incorporate open source software in our software in a manner that will not subject us to liability, or in a manner that is consistent with our current policies and procedures.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our brands. We may not succeed in establishing, maintaining and strengthening effective brands, and our brands and reputation could be harmed by negative publicity regarding us or our technologies, products or services.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and prospects are dependent on our ability to develop, maintain and strengthen our brands. If we do not continue to establish, maintain and strengthen our brands, we may lose the opportunity to build a critical mass of customers. We believe that our inability to successfully commercialize our legacy hardware products, and our resulting financial performance, damaged our prior brand. Promoting and positioning our brands will likely depend significantly on our ability to provide high quality software, other products and services and to engage with our customers as intended. To promote our brands, we may be required to change or expand our customer development and branding practices, including increased marketing activities, which could result in substantially increased expenses. If we do not develop and maintain strong brands, our business, prospects, financial condition and operating results will be materially and adversely impacted.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safety incidents occur or are perceived to have occurred, whether or not such incidents are our fault, we could be subject to adverse publicity or resistance by our customers. In particular, given the popularity of social media, any negative publicity, whether true or not, could quickly proliferate and harm perceptions and confidence in our brands. Furthermore, there is the risk of potential adverse publicity related to our partners whether or not such publicity is related to their collaboration with us. Our ability to successfully position our brand could also be adversely affected by perceptions about the quality of our competitors' products.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team has broad discretion in making strategic decisions to execute our growth plans and may devote time and company resources to new or expanded product and services offerings, potential acquisitions or strategic alliances, prospective customers or other initiatives that do not necessarily improve our operating results or contribute to our growth. For example, in November 2025, we acquired GuideTech, an engineering company, MKR Fabricators, a fabrication company, and Warnke Precision Machining, a precision machining company, to complement our business. Our management must make strategic and operational decisions in the context of limited financial and human resources. As a result, we have in the past and may in the future forgo opportunities we may have otherwise pursued given sufficient resources, some of which might have had greater likelihood of success.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and ability to continue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business, we may not be able to develop, market and commercialize our technologies and products successfully.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Any failure to manage our business effectively could materially and adversely affect our prospects, financial condition and operating results. As we work to grow our business, we may need to manage the following activities, among others:</w:t>
      </w:r>
    </w:p>
    <w:p>
      <w:pPr>
        <w:spacing w:after="0" w:line="270"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management, engineering and other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recruiting individuals with the appropriate relevant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our AI/ML Foundational Technology, other technologies and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demand for our engineering services and manufacturing, including any associated capital expenditures;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manufacturing partners and third-party manufacturers and/or expanding our internal manufacturing capabilities;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revenue, managing expenses and implementing enterprise resource planning, or ERP,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service providers or partners, including in relation to the commercialization of our AI/ML Foundational Technology, other technologies and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sales and customer service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 and customer trials of our software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controls and processes.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 in order to achieve profitability.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successfully commercializing our AI/ML Foundational Technology, other technologies and products, growing our engineering services and manufacturing businesses, establishing or expanding our design, research and development, sales and maintenance and service capabilities and building our brands. We have incurred and expect to continue incurring significant expenses which will impact our profitability, including research and development expenses, sales and marketing expenses as we build our brands and market our products and general and administrative expenses. We may incur significant capital expenditures for the purchase of additional equipment to support growth in our manufacturing business. It may be difficult to reduce expenses further or maintain current levels while pursuing our business objectives. Some of the factors that may lead to cost increases or difficulty further reducing cost are outside of our control, such as national or global geopolitical and economic conditions, including tariffs, inflation and interest rates. In addition, we may incur significant costs upgrading or fixing flaws in our products. Our ability to continue our operations in the long term and potentially become profitable in the future will not only depend on our ability to commercialize our products to meet customer needs and identify and investigate new areas of demand, but also on our ability to license or sell our products at prices needed to achieve sufficient revenues and margins to cover our cash outlay, including the risks and costs associated with any warranty obligations. If we are unable to efficiently develop, market, deploy, distribute and service our products in a cost-effective manner, our operating results, financial condition and prospects would be materially and adversely affected and we may not achieve profitability.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research and development costs and devote significant resources to developing and commercializing our AI/ML Foundational Technology, other technologies and products, and we may never reach profitability and/or achieve significant or any licensing revenue.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our AI/ML Foundational Technology, other technologies and products to new applications and customer requirements and introducing new features and functionality that achieve market acceptance. We expect to incur substantial, and potentially increasing, research, development, sales and marketing costs as part of our efforts to develop, enhance and commercialize our technologies and products. Our research and development program may not produce successful results or be sufficient to adapt to new or changing technologies (such as AI), and our products may not achieve market acceptance, create meaningful or any revenue or become profitable.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require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limited set of suppliers for the minimal hardware components that are required for use of our Palladyne IQ product and our BRAIN products, including IntelliSwarm. Our Gremlin-X and SwarmStrike products are hardware products under development. As of December 31, 2025, most of our key suppliers are based in the United States.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However, some of the components used in our products may have to be purchased by us from a single source and some may only be available from a sole source. If our third-party suppliers are unable or unwilling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products. If we are unable to obtain components and materials used in our products from our suppliers, our business would be adversely affected.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fluctuations or shortages in raw materials or components and other economic conditions, including due to tariffs, may cause us to experience significant increases in freight charges and material costs. Substantial increases in the prices for our materials would increase our operating costs and could reduce our margins if the increased costs cannot be recouped through increased sales prices.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significant risks and uncertainties that may not be covered by indemnity or insurance.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business relates to designing, developing and manufacturing advanced defense and technology products and systems. New technologies may be untested or unproven. Failure of some of these products and services could result in extensive loss of life or property damage. Accordingly, we may incur liabilities that are unique to our products and services. In some but not all circumstances, we may be entitled to certain legal protections or indemnifications from our customers, either through U.S. Government indemnifications under Public Law 85-804, 10 U.S.C. 3861, the Commercial Space Launch Act or the Price-Anderson Act, qualification of our products and services by the Department of Homeland Security under the SAFETY Act provisions of the Homeland Security Act of 2002, contractual provisions or otherwise.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seek to obtain insurance coverage from established and reputable insurance carriers to the extent available in order to cover these risks and liabilities. However, the amount of insurance coverage that we maintain or that is available to purchase in the market may not be adequate to cover all claims or liabilities and we may self-insure certain types of risk. Insurance coverage is subject to the terms and conditions of the insurance contract and is further subject to any sublimits, exclusions, restrictions, or defenses, including standard exclusions for acts of war. Existing coverage is renewed annually and may be canceled pursuant to the terms of the policies while we remain exposed to the risk and it is not possible to obtain insurance to protect against all operational risks, natural hazards and liabilities. In addition, under certain classified fixed-price development and production contracts, we are unable to insure risk of loss to government property because of the classified nature of the contracts and the inability to disclose classified information necessary for underwriting and claims to commercial insurers. Even if insurance coverage is available, we may not be able to obtain it in an amount, at a price or on terms acceptable to us. Some insurance providers may be unable or unwilling to provide us insurance given the nature of our business or products. Additionally,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disputes with insurance carriers over coverage terms or the insolvency of one or more of our insurance carriers may significantly affect the amount or timing of our cash flows.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 costs resulting from an accident, failure of or defect in our products or services, natural catastrophe or other incident, or liability arising from our products and services in excess of any legal protection, indemnity, and our insurance coverage (or for which indemnity or insurance is not available or not obtained) could adversely impact our financial condition and operating results. Any accident, failure of, or defect in our products or services, even if fully indemnified or insured, could negatively affect our reputation among our customers and the public and make it more difficult for us to compete effectively. It also could affect the cost and availability of adequate insurance in the future.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wars, natural disasters, health epidemics and other calamities and supply chain disruption, any of which could significantly disrupt our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facilities or operations, or any potential third-party suppliers, partners, or service providers could be adversely affected by events outside of our or their control, such as natural disasters, wars, health epidemics, macro-economic conditions and other calamities and force majeure events. This may also include supply chain disruptions, inflation and high interest rates as a result of changes in U.S. trade policy, including tariffs and geopolitical events such as the current wars and conflicts between Russia and Ukraine. The effects of the foregoing are unknown and may have the effect of diminishing customer willingness to enter into transactions with us.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cybersecurity incidents or similar events. Any of the foregoing events may give rise to interruptions, breakdowns, system failures, technology platform failures or internet failures, which could cause the loss or corruption of data or the malfunction of software or hardware, which could significantly disrupt our operations. Additionally, depending upon any potential health pandemics, epidemics or outbreaks that may emerge, our potential customers and partners may suspend or delay their engagement with us or take other actions or experience their own negative impacts, any of which could result in a material adverse effect on our financial condition and ability to meet current timelines. Health pandemics, epidemics or outbreaks may also adversely affect our ability to recruit skilled employees to join our team, conduct research and development activities and engage with development customers and may impede our product development timelines.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Events impacting our supply chain could be caused by factors beyond the control of our suppliers or us, including labor actions, increased demand, problems in production or distribution and/or disruptions in third-party logistics, information technology or transportation systems. Some of our key suppliers are relatively small companies that could be especially susceptible to these risks. In addition, global events in recent years have resulted in widespread global supply chain disruptions to vendors including critical supply chain shortages, labor shortages, significant material cost inflation and extended lead times for items that are required for our operations. Any such interruptions to our supply chain could increase our costs and could limit the availability of products critical to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additional financing to bolster our cash reserves and ensure our ability to continue to pursue our business objectives. Our current business plans may require us, or we may deem it advisable, to secure additional financing prior to achieving positive operating cash flows, and we do not anticipate achieving positive operating cash flows in the near term.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research and development costs and pursue business objectives, including the potential acquisition of businesses, services or technologies. Any delays in the successful commercialization and sales of our products and services will negatively impact our ability to generate revenue, our profitability and our overall operating performance and result in the need to raise additional capital sooner than expected. For further information on our financing activities, see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Operations—Liquidity and Capital Resources.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Even if we generate positive operating cash flows, we may need to raise significant amounts of additional capital to fund our business thereafter, including to finance ongoing research and development costs, any significant unplanned or accelerated expenses and new strategic alliances or acquisitions. The fact that we have limited experience commercializing our technologies and products, coupled with our belief that our AI/ML Foundational Technology represents a significant technology advancement, means we have limited to no historical data on the demand for our products. In addition, we expect our expenses to continue to be significant in the foreseeable future as we continue development activities and bring our products to market, and that our level of cash usage will be significantly affected by customer demand for our products. As a result, our future capital requirements are uncertain and actual capital requirements may be different from those we currently anticipate. We may need to seek equity or debt financing to finance our expenses and capital expenditures, and such financing might not be available to us in a timely manner or on terms that are acceptable, or at all. Even if available, the sale of additional equity or equity-linked securities could dilute our stockholders, and the incurrence of indebtedness would result in debt service obligations and could result in operating and financing covenants that would restrict our operations.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financing may not be available to us when we need it or it may not be available on favorable terms. Our ability to obtain any necessary financing to carry out our business plan is subject to a number of factors, including general market conditions and investor acceptance of our business model. Current capital market conditions, including the impact of inflation, have increased borrowing rates and can be expected to significantly increase our cost of capital as compared to prior periods should we seek additional funding. Moreover, capital markets domestically and abroad are undergoing a period of significant volatility and uncertainty, and such financing alternatives may not be available to us in the future on favorable terms or at all should we determine it necessary or advisable to seek additional capital.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buying or selling assets, making capital expenditures or declaring dividends.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may make the timing, amount, terms and conditions of such financing unattractive or unavailable to us. If we are unable to raise sufficient funds if and when needed, we will have to significantly reduce our spending, delay or cancel our planned activities or substantially change our corporate structure or potentially cease operations and liquidate. We might not be able to obtain any funding, and might not have sufficient resources to conduct our business as projected or at all, either of which could mean that we would be forced to curtail or discontinue our operations.</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we cannot raise additional funds when we need or want them, our operations, prospects and financial condition would be materially and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due to fluctuations in our operating costs, revenues, product demand and other factors.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period-to-period financial results to vary based on our operating costs and demand for our products and services, both of which we anticipate will fluctuate over time. Additionally, as we commercialize our technologies and products and/or enter into or complete government or development contracts, we expect our revenue from period to period to fluctuate, including as we introduce new products, features or functionality or introduce our technologies, products and services to new markets for the first time. As a result of these factors, we believe that quarter-to-quarter comparisons of our operating results, especially in the near term, are not necessarily meaningful and that these comparisons cannot be relied upon as indicators of future performance. Moreover, our operating results may not meet expectations of equity research analysts, ratings agencies or investors, who may be particularly focused on quarterly financial results. If any of this occurs, the trading price of our securities could fall substantially, either suddenly or over time, and/or experience significant volatility.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senior management and other key employees and, if we are unable to attract, integrate and retain a sufficient number of qualified employees, our ability to develop and commercialize our technologies and products, offer our services, operate our business and compete could be harmed.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For example, we are highly dependent on the services of Benjamin G. Wolff, our President and Chief Executive Officer and on our AI/ML Foundational Technology leadership team, in particular our Chief Technology Officer, Dr. Denis Garagic. Dr. Garagic has a significant influence on our AI/ML Foundational Technology development efforts and our business plan. If key members of our senior management were to discontinue service due to death, disability or any other reason, we may be significantly disadvantaged and their departure or the departure of other key contributors to our software and technology development efforts could result in delays in product development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commercialization, or potentially an inability to successfully commercialize our technologies and products at all, which would materially and adversely harm our business, results of operations and financial condition. Further, we may have difficulty finding, or be unable to find, qualified successors to any such persons should they depart the Company. If we are unable to successfully continue development and commercialization of our technologies and products in a timely manner, whether due to the departure of any such persons or otherwise, we may not have sufficient time or resources to pursue alternative plans or opportunities and may need to cease operations. We do not maintain key-person insurance for any of our senior management. For these reasons, we may incur significant costs to retain our senior management team and key personnel.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and may continue to experience changes in our senior management team, including as a result of our recent acquisitions. If we do not successfully implement and adapt to these changes they may not lead to the desired improvement in our business and results of operation. This in turn, could have a material adverse effect on our business. Any inability to successfully manage these changes could be viewed negatively by our customers, employees, investors and other third-party partners, and could have an adverse impact on our business and results of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also depends, in part, on our ability to identify, hire, attract, train and develop other highly qualified personnel as needed, specifically AI/ML software engineers. Because of the innovative and advanced nature of our technology, individuals with the necessary experience have not been, and likely will continue not to be, readily available to hire, and as a result, we may need to expend significant time and expense to recruit and retain experienced employees and appropriately train any newly hired employees. Integrating new employees can also cause disruptions to processes, projects, culture, priorities and our company as a whole. We face intense competition for experienced and highly skilled employees, specifically AI/ML software engineers, from numerous other companies, including other software and technology companies, many of whom have greater financial and other resources than we do,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We may incur significant costs to attract and retain qualified personnel, including significant expenditures related to salaries and benefits and compensation expenses related to equity awards, and we may lose new employees to competitors or other companies before we realize the benefit of our investment in recruiting and training them. Moreover, new employees may not be or become as productive as we expect, or may not fit culturally, and long-term employees may not embrace new leaders, priorities, methods, processes or other changes and may decide to leave or not perform as well as they did in the past, as we may face challenges in adequately or appropriately integrating them into our workforce and culture.</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headquarters are in Salt Lake City, Utah, which has fewer highly skilled employees in the AI/ML software and robotics fields than some other major metropolitan areas. To attract and retain key personnel, we may need to open offices in other areas of the country, which could increase costs and reduce productivity. Any failure by our management team and our employees to perform as expected may have a material adverse effect on our ability to design and launch our software products or to operate our business and compete, as well as on our business, prospects, financial condition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expenses and administrative burdens as a publicly-traded company, which could have a material adverse effect on our business, prospects, financial condition and operating results.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publicly-traded company, we are incurring legal, accounting and other expenses that we previously did not have, and these expenses may increase as we continue to implement and strengthen controls, processes and systems and employ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the Nasdaq Stock Market LLC. Our management and other personnel devote a substantial amount of time to these compliance initiatives. We may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expensive for us to obtain appropriate director and officer liability insurance coverage than we incurred as a private company. We cannot accurately predict or estimate the amount or timing of all the additional costs we may incur.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consume significant financial resources and any increases could have a material adverse effect on our business, financial condition and operating results.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the requirements of the Exchange Act, the Sarbanes-Oxley Act and the rules and regulations of Nasdaq will continue to result in significant legal, accounting and financial compliance costs, make some activities more difficult, time-consuming and costly, and place significant strain on personnel, systems and resources.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We have been aligning our finance and accounting systems following our recent acquisitions and a delay or other issues could impact our ability or prevent us from timely reporting our operating results, timely filing required reports with the SEC and complying with Section 404 of the Sarbanes-Oxley Act.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previously identified material weaknesses in our internal control over financial reporting, and undertook remediation efforts to address the identified deficiencies and concluded that each material weakness was remediated. 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 In addition, if our financial statements are not filed on a timely basis, we could be subject to sanctions, enforcement actions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currently required to formally attest to the effectiveness of our internal control over financial reporting under Section 404(b) of the Sarbanes-Oxley Act. Should we become subject to Section 404(b), our independent registered public accounting firm may issue a report that is adverse if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operating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current law, U.S. federal net operating loss carryforwards generated in taxable periods beginning after December 31, 2017, may be carried forward indefinitely, but the deductibility of such net operating loss carryforwards is limited to 80% of taxable income. Additional or different limitations may apply under state law. Suspensions or other restrictions on the use of net operating losses or tax credits, possibly with retroactive effect, may result in our existing net operating losses or tax credits expiring or otherwise being unavailable to offset future income tax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risks associated with strategic relationships, acquisitions or transactions and may not identify or form desired strategic relationships in the future.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strategic alliances, joint ventures, minority equity investments, acquisitions, collaborations and in-license arrangements with third parties. Some of our third-party relationships are not governed by formal agreements and this may also be true for future relationships. These partnerships, relationships or arrangements may not lead to binding agreements, lasting or successful business relationships or any other anticipated benefits. If any of these relationships are established, they may subject us to a number of risks, including risks associated with sharing proprietary information, non-performance or significant delays in 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When appropriate opportunities arise, we have in the past, and may in the future acquire additional assets, products, technologies or businesses.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and we will become subject to risks associated with any acquired business.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all of which could adversely affect our financial position. For example, we previously experienced an impairment of all of the goodwill associated with an acquisition we completed in 2022. In connection with acquisitions, we may enter into post-closing financial arrangements such as purchase price adjustments, earn-out obligations, and indemnification obligations, which may have unpredictable financial results. For example, there is an earn-out obligation associated with one of the acquisitions we recently completed. Moreover, the costs of identifying and consummating acquisitions may be significant and we could experience difficulty in integrating personnel, operations, and financial and other controls and systems and retaining key employees and customers.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Claims and Regulatory Compliance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AI/ML, combined with an uncertain regulatory environment, may result in reputational harm, liability or other adverse consequences to our business operations.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AI/ML technologies are complex and rapidly evolving, and we face significant competition from other companies as well as an evolving regulatory landscape. The introduction of AI/ML technologies into new or existing products may result in new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enhanced governmental or regulatory scrutiny, litigation, confidentiality or security risks, technical or operational risks, safety risks, ethical concerns or other complications that could adversely affect our business, reputation or financial results or limit the functionality of our software or our ability to sell our software products. Governmental bodies have implemented laws and regulations and are considering further control of AI/ML technologies that could negatively impact our ability to use and develop software products incorporating these technologies.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on March 13, 2024, the European Parliament adopted the European Union's Artificial Intelligence Act (the "AI Act"). The AI Act, which is scheduled to become effective over time through August 2, 2026, proposes a framework of prohibitions and disclosure, transparency and other regulatory obligations based on various levels of risk for businesses introducing AI systems in the EU. Once the AI Act becomes effective, certain provisions could require us to alter or restrict our use of AI, depending on respective levels of risk-categorization, types of systems, and manner of use, under the AI Act. The AI Act also may require us to comply with monitoring and reporting requirements. Noncompliance with the AI Act could result in fines of up to €35 million or 7% of annual global turnover for the previous year, whichever is higher. Other jurisdictions may adopt similar or more restrictive legislation that may render the use of such technologies challenging. Numerous other laws and bills have been enacted or proposed at the U.S. federal and state level, as well as internationally, aimed at regulating the development, deployment or provision of AI systems and services.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efforts to comply with the AI Act and other legislation or regulations, whether now in effect or as may be proposed or enacted in the future, relating to AI/ML technologies may be difficult, onerous and costly, and could adversely affect our business, reputation, financial condition, results of operations and growth prospects. We may need to devote substantial time and resources to evaluate our obligations under the AI Act and other legislation and regulations and to develop and execute a plan designed to ensure compliance. Further, the intellectual property ownership and license rights, including copyright, surrounding AI/ML technologies have not been fully addressed by U.S. courts or other federal or state laws or regulations, and the use or adoption by our customers of third-party AI/ML technologies into robotic products and services may result in or otherwise expose us to claims of copyright infringement or other intellectual property misappropriation or infringement.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Uncertainty around new and emerging AI/ML technologies, may require additional investment in the development and maintenance of proprietary datasets and ML models, development of new approaches and processes to provide attribution or remuneration to creators of training data, and development of appropriate protections and safeguards for handling the use of data with AI technologies, which may be costly and could impact our expenses as we utilize AI/ML technologies within our products. The use of AI/ML technologies presents emerging ethical and social issues, and if we enable or offer solutions that draw scrutiny or controversy due to their perceived or actual impact on customers or on society as a whole, we may experience brand or reputational harm, competitive harm and/or legal liability. These challenges may make it harder for us to conduct our business using AI, and may lead to regulatory fines or penalties, require us to change our product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manufacturing or engineering processes and services do not comply with applicable regulatory requirements, or if we manufacture or design products containing defects, demand for our services may decline and we may be subject to liability claims.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Products we manufacture or design for customers in defense industries, as well as the processes we use to produce them, are regulated by the Department of War and the Federal Aviation Authority, which have increased their focus and penalties related to counterfeit materials. In addition, our customers’ products and the manufacturing processes or engineering services or documentation that we use to produce or design them often are highly complex. As a result, products that we manufacture or our engineering may at times contain defects, and our manufacturing processes or engineering designs may be subject to errors or noncompliance with applicable statutory and regulatory requirements. Defects in the products we manufacture or design, whether caused by a design, manufacturing or component failure or error, or deficiencies in our manufacturing processes or engineering designs, may result in delayed shipments to customers or reduced or cancelled customer orders. If these defects or deficiencies are significant, our business reputation could also be damaged. The failure of our products, manufacturing processes or engineering designs or facilities to comply with applicable statutory and regulatory requirements could subject us to fines or penalties and, in some cases, require us to shut down or incur considerable expense to correct a product, design, process or facility. In addition, these defects may result in liability claims against us or expose us to liability to pay for the recall of a product. The magnitude of any such claim may increase as we expand our defense manufacturing and engineering services as defects in defense devices or systems could seriously harm or kill users of these products and others. Even if our customers are responsible for the defects, they may not, or may not have resources to, assume responsibility for any costs or liabilities arising from these defects, which could expose us to additional liability claims.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cash flows, results of operations or financial condition.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the tax laws, regulations, and policies of several taxing jurisdictions. Changes in tax laws, as well as other factors, could cause us to experience fluctuations in our tax obligations and effective tax rates or otherwise adversely affect our tax positions and/or our tax liabilities. For example, on July 4, 2025, the United States enacted tax legislation commonly referred to as the One Big Beautiful Bill Act (the “OBBB Act”). In addition, the Organisation for Economic Co-operation and Development ("OECD") has introduced a global minimum tax initiative, which is in various stages of adoption. On January 5, 2026, the OECD announced a side-by-side elective safe harbor that would exempt U.S.-parented multinationals from certain provisions of this initiative for fiscal years beginning on or after January 1, 2026. Any new tax laws or changes to existing tax laws could adversely affect our effective tax rate, operating results, tax credits or incentives or tax payments, or require our potential customers to pay additional taxes, which could have a material adverse effect on our business, cash flows, results of operations or financial condition.</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development, marketing, licensing, distribution or use of our technology and products or to the providing of customer service or in connection with the entry into certain transactions with foreign entities, and a failure to comply with such regulations could lead to delays in launching our products and/or withdrawal of our products from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our projected revenues, increase costs and/or make our business unviable.</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become subject to a variety of existing or new laws and regulations in the United States and international jurisdictions, such as the AI Act, including in the areas of design, manufacturing, privacy, security, safety, competition, consumer protection development, marketing, licensing, distribution, the development and use of our products, and engagement with certain foreign entities. Such laws and regulations may also cover employment, taxation, privacy, data security, data protection, national security and international trade (including tariffs, export controls, and sanctions laws and regulations, laws and regulations related to inbound or outbound foreign investment, laws and regulations related to government contracts, laws related to transfers of sensitive personal data and government data to service providers or vendors located in China or with other specified links to China (and other designated countries), telecommunications laws and regulations and other similar matters), pricing, content, copyrights and other intellectual property, mobile communications, electronic contracts and other communications, the design and operation of websites, and the characteristics and quality of software and services, which may delay or impede the development and commercialization of our technology and products, affect our ability to engage with certain entities, and/or require us to pause sales and modify our products, which could result in a material adverse effect on our revenue, financial condition and/or long-term business strategy,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of our products from the market.</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under certain circumstances we have or may take on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and other sensitive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government contractor and subcontractor, we are subject to the Department of War's ("DoW") cybersecurity requirements, including compliance with the Cybersecurity Maturity Model Certification ("CMMC") program requirements, under which we received Level 2 third-party certification on April 10, 2025. Depending the awarding DoW agency and contract terms, we, and our subcontractors or other third parties on whom we rely, may be required to have CMMC certification to be eligible for award. Likewise, if we, or our subcontractors or other third parties on whom we rely, are unable to maintain the required CMMC certification during contract performance, the government may terminate, or not exercise options to renew, our contract. We are also be required to affirm our CMMC status annually, and obtain recertification of our CMMC status periodically, which may increase our costs of compliance and may cause operational delays to remediate any newly discovered risks. In addition, obligations that may be imposed on us under the CMMC program may be different from or in addition to those otherwise required by applicable laws and regulations, which may cause additional expense for compliance.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established a privacy framework for covered businesses, including an expansive definition of personal information and data privacy rights for California residents. The CCPA includes a framework with potentially severe statutory damages and private rights of action. The CCPA was modified and supplemented by the California Privacy Rights Act ("CPRA"), which went into effect on January 1, 2023. Numerous other states have proposed, and in many cases have enacted, laws addressing privacy and cybersecurity. These laws in many cases are comprehensive privacy statutes similar to the CCPA and CPRA. Additionally, some states have proposed, and in certain cases enacted, laws addressing specific matters such as biometrics or health-related personal information. The U.S. federal government also is contemplating federal privacy legislation.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which generally are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data protection regime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or maintaining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and data processed by us or third-party vendors.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operations may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Some of our employees work remotely which has increased security risks. In addition, the risk of state-supported and geopolitical-related cybersecurity attacks is believed to be heightened, both because of our position as a U.S. government contractor as well as in connection with international conflicts and any related political or economic responses and counter-responses.</w:t>
      </w:r>
    </w:p>
    <w:p>
      <w:pPr>
        <w:spacing w:after="0" w:line="200" w:lineRule="exact"/>
        <w:rPr>
          <w:sz w:val="20"/>
          <w:szCs w:val="20"/>
          <w:color w:val="auto"/>
        </w:rPr>
      </w:pP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at risk for interruptions, outages and breaches of (1) operational systems, including business, financial, accounting, product development, data processing or production processes, owned by us or our third-party vendors or suppliers; (2) facility security systems, owned by us or our third-party vendors or suppliers; (3) in-product technology, owned by us or our third-party vendors; (4) our software, including third-party software we license; and (5) customer data that we process or our third-party vendors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or others; jeopardize the security of our facilities; or affect the performance of in-product technology and the integrated software in our systems. Certain disruption, hacking or other efforts may be state-sponsored or supported by significant financial and technological resources, making them even more difficult to detect, remediate and otherwise respond to.</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may face objections to our intended collection or use of data, which may require us to implement new or modified data handling policies and mechanisms, increase our maintenance costs and costs associated with data processing and handling, and harm our prospects. The use of AI/ML technologies may result in security incidents and our use of AI/ML technologies may create additional cybersecurity risks or increase cybersecurity risks, including risks of security breaches and incidents. Further, AI/ML technologies may be used in connection with certain cybersecurity attacks, including to launch more automated, targeted and coordinated attacks, resulting in heightened risks of security breaches and incidents.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Information Technology ("IT") infrastructure used in our business may be vulnerable, and has been vulnerable in the past, to cybersecurity attacks or security breaches or incidents, and third parties may be able to access data, including personal data and other sensitive 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 development, finance and sales and service processes. These risks may affect our ability to manage our data or deploy and service our products and solutions, offer and perform our services,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or other sensitive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products and services,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regulations and contractual provisions as a government contractor and subcontractor, which may pose increased risk of potential liability and expenses related thereto, which could have a material adverse effect on our business,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and subcontractor, we must comply with laws, regulations and contractual provisions related to the formation, administration and execution of government contracts and other agreements,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products and services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held responsible. Our exposure for violating these laws increases as our international presence expands and as we increase sales and operations in foreign jurisdictions.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laws that could subject us to liability if we are not in compliance with such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provision of products, technology and services are subject to compliance with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software products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international sales of our software and other products may be subject to first obtaining licenses, clearances or authorizations from various regulatory entities, both domestic and foreign. If we are not allowed to export our products or the clearance process is burdensome and costly, our ability to generate revenue would be adversely affected.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changes to our technologies or products or changes in applicable export control, import or economic sanctions laws and regulations may create delays in the introduction and sale of our products, constrain collaboration with suppliers or other business partners or, in some cases, prevent the export or import of our software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products, as well as our decreased ability to export or market our products to potential customers. Any decreased use of our products or limitation on our ability to export or market our products would likely adversely affect our business, prospects, financial condition and operating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Regulators, investors, customers, employees and other stakeholders have focused increasingly on ESG practices and placed increasing importance on the implications and social cost of their investments, purchases and other interactions with companies. Equally, some stakeholders may be opposed to the implementation of such initiatives at all. Anti-ESG sentiment has gained some momentum across the United States, with several states having enacted or proposed "anti-ESG" policies, legislation or issued related legal opinions. If our ESG practices and reporting do not meet investor, customer or employee expectations or legal requirements, which continue to evolve, our brand, reputation and customer retention may be negatively impacted. We could also incur additional costs and need to devote additional resources to monitor, report and implement various ESG practices, including as a result of regulatory developments.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and maintain protection for the intellectual property relating to our AI/ML Foundational Technology and our other technologies and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our AI/ML Foundational Technology and our other technologies and products.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copyright and trade secret law to protect our proprietary software and technologies.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 positions covering software and solutions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technologies or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we are investing fewer resources in filing and prosecuting new patents and on maintaining and enforcing various patents, especially in regions where we currently do not focus our market growth strategy or with respect to patents with less relevance to our current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material to our business after the term of the license and we are unable to use them, it could adversely affect our business and profitability.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software or other technologies that we consider proprietary or our proprietary information may otherwise become known or may be independently developed by our competitors or other third parties. If other parties are able to use our proprietary technology or information, our ability to compete could be harmed. Further, unauthorized use of our intellectual property may have occurred or may occur in the future, without our knowledge.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our intellectual property rights in our target markets or at all.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Filing, prosecuting, maintaining and defending patents and trademarks and seeking to enforce copyrights on our intellectual property in all target markets would be prohibitively expensive and time consuming, and thus our intellectual property rights outside the United States are limited. In addition, the laws of some of our target markets,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of our target markets, or from selling or importing products made using our inventions, technologies or software in the jurisdictions in which we do not have (or are unable to effectively enforce) patent or other intellectual property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software or other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software or other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operating in the robotics software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No assurance can be given that patents containing claims covering our software, other products, technologies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software, other products, technologies or methods. Moreover, there may be pending, published or allowed applications that may disclose, but not claim, subject matter covering our software, other products, technologies or methods, where such pending or published applications may be amended, or one or more continuation or divisional applications may be filed, in an attempt to capture, to the extent possible, such software, other products, technologies or methods that are in the public domain, and which may result in issued patents that our current or future products infringe.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products, unless we can obtain a license to use the technology covered by such patents or can redesign our products so that they do not infringe. A license may not be available on commercially reasonable terms or at all, and we may not be able to redesign our products to avoid infringement. In these circumstances, we may not be able to sell our products at competitive prices or at all, and our business, prospects, financial condition and operating results would be harmed.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to successfully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software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which could severely harm our business. Even if we are successful in defending against these claims, litigation could result in substantial costs and demand on management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or sale of shares of our Common Stock, or rights to acquire shares of our Common Stock could depress the trading price of our Common Stock and may cause dilution to our existing stockholders.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from time to time conduct offerings of our Common Stock or other securities that are convertible into or exercisable for our Common Stock to finance our operations or fund acquisitions, or for other purposes. For further information on our financing activities for the year ended December 31, 2025,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issue additional shares of our Common Stock or rights to acquire shares of our Common Stock, if any of our existing stockholders sells a substantial amount of our Common Stock or if the market perceives that such issuances or sales may occur, the trading price of our Common Stock may significantly decrease. In addition, our issuance of additional shares of Common Stock, including upon exercise of our outstanding warrants, will dilute the ownership interests of our existing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due to the large number of shares of our Common Stock being subject to employee equity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granted and expect to continue to grant equity awards to our directors and employees as additional compensation in an effort to align their interests with those of our stockholders. Because these awards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"Sell-to-cover" transactions are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publicly traded securities have been volatile and may not continue at 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Common Stock and deSPAC Public Warrants (as defined below) began trading on the Nasdaq Global Market, the prices of our publicly traded securities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or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robotics software or other technology companies, or those in our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our company or the market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sell and deliver our software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publicly traded securities, including as a result of the exercise of our deSPAC Public Warrants or the exercise or vesting of employee equity awards;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discussed herein;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to comply with Nasdaq listing requirements (see </w:t>
      </w:r>
      <w:r>
        <w:rPr>
          <w:rFonts w:ascii="Times New Roman" w:cs="Times New Roman" w:eastAsia="Times New Roman" w:hAnsi="Times New Roman"/>
          <w:sz w:val="18"/>
          <w:szCs w:val="18"/>
          <w:i w:val="1"/>
          <w:iCs w:val="1"/>
          <w:color w:val="auto"/>
        </w:rPr>
        <w:t>"Our publicly traded securities are subject to potential delisting from The 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Global Market if we do not meet Nasdaq's continued listing requirements, which would likely impair the liquidity of the trading market for our Common Stock and warrants"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of 2002 or other laws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changes in U.S. trade policy including tariffs and expectations of tariffs, fuel prices, international currency fluctuations and acts of war or terrorism.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publicly traded securities are subject to potential delisting from the Nasdaq Global Market if we do not meet Nasdaq's continued listing requirements, which would likely impair the liquidity of the trading market for our Common Stock and warrants.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listing on the Nasdaq Global Market is contingent upon meeting all the continued listing requirements of the Nasdaq Global Market. On two occasions in the past, we received notice from Nasdaq that we were not in compliance with its continued listing requirements based on the minimum bid price per share of our Common Stock. While in each case we were able to achieve compliance within the compliance period, if we fail to meet any listing requirements, we could again receive notice of non-compliance and in that case may not be able to regain compliance. If our Common Stock or deSPAC Public Warrants are delisted from the Nasdaq Global Market and are not eligible for quotation or listing on another market or exchange, we may be transferred to an over-the-counter market or on an electronic bulletin board established for unlisted securities such as the Pink Sheets or the OTC Bulletin Board. In such event, it could become more difficult to dispose of, or obtain accurate price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t>quotations for our shares, and it would likely also reduce the visibility, liquidity, and value of our Common Stock, reduce institutional investor interest in us, and may increase the volatility of our Common Stock. Delisting could also cause a loss of confidence of potential industry partners, lenders and employees, which may harm our ability to raise capital through alternative financing sources on terms acceptable to us, which could further harm our business and our future prospects. Some or all of these material adverse consequences may contribute to a further decline in our stock price. If an active trading market for our securities is not sustained with sufficient trading volume, you may have limited or no ability to sell your securities.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the price and trading volume of our Common Stock could decline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markets for our Common Stock and deSPAC Public Warrants will be influenced by research and reports that industry or securities analysts may publish about us, our business, our market or our competitors. From time to time, analysts covering us have ceased publishing research or reports about us. If any analyst covering our company now or in the future change their recommendation regarding our stock adversely, or provide more favorable relative recommendations about our competitors, the price of our Common Stock and deSPAC Public Warrants would likely decline. If any analyst covering our company now or in the future were to cease coverage of us or fail to regularly publish reports on us, we could lose visibility in the financial markets, which could cause the prices and trading volumes of the Common Stock and deSPAC Public Warrants to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deSPAC Public Warrants or the deSPAC Private Placement Warrants will ever be in the money, and they may expire worthless.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initial public offering and a concurrent private placement, we issued units with each unit including one sixth of a share of Class A Common Stock and one half of one warrant (the "deSPAC Public Warrants") and certain warrants (the "deSPAC Private Placement Warrants," and together with the deSPAC Public Warrants, the "deSPAC Warrants"). The exercise price of our deSPAC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deSPAC Warrants is $11.50 per warrant. Upon exercise of the deSPAC Warrants the number of shares of Common Stock issuable shall be adjusted 1-for-6, the same ratio as the reverse stock split that was effective as of July 5, 2023, such that each warrant will be exercisable for 1/6 of a share of our Common Stock for a purchase price of $11.50 per warrant. There is no guarantee that the deSPAC Warrants will ever be in the money prior to their expiration, and as such, the deSPAC Warrants may expire worthless.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deSPAC Warrants prior to their exercise at a time that is disadvantageous to deSPAC Warrant holders, thereby making their deSPAC Warrants worthless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deSPAC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deSPAC Warrant holders and provided certain other conditions are met. For additional information on the circumstances in which the deSPAC Public Warrants may be redeemed, see "</w:t>
      </w:r>
      <w:r>
        <w:rPr>
          <w:rFonts w:ascii="Times New Roman" w:cs="Times New Roman" w:eastAsia="Times New Roman" w:hAnsi="Times New Roman"/>
          <w:sz w:val="18"/>
          <w:szCs w:val="18"/>
          <w:i w:val="1"/>
          <w:iCs w:val="1"/>
          <w:color w:val="auto"/>
        </w:rPr>
        <w:t>Description of Securities—Warrants—Public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Warrants</w:t>
      </w:r>
      <w:r>
        <w:rPr>
          <w:rFonts w:ascii="Times New Roman" w:cs="Times New Roman" w:eastAsia="Times New Roman" w:hAnsi="Times New Roman"/>
          <w:sz w:val="18"/>
          <w:szCs w:val="18"/>
          <w:color w:val="auto"/>
        </w:rPr>
        <w:t>" in this Annual Report. If and when the deSPAC Warrants become redeemable by us, we may exercise our redemption right even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unable to register or qualify the underlying securities for sale under all applicable state securities laws. Redemption of the outstanding deSPAC Warrants could force the deSPAC Warrant holders (1) to exercise their deSPAC Warrants and pay the exercise price therefor at a time when it may be disadvantageous for them to do so, (2) to sell their deSPAC Warrants at the then-current market price when they might otherwise wish to hold their deSPAC Warrants or (3) to accept the nominal redemption price which, at the time the outstanding deSPAC Warrants are called for redemption, is likely to be substantially less than the market value of their deSPAC Warrants. None of the deSPAC Private Placement Warrants will be redeemable by us so long as they are held by the initial purchasers or their permitted transferees, subject to certain exceptions. None of the warrants sold in private placement under the Investor Purchase Agreement and the Insider Purchase Agreement are redeemable by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DeSPAC 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there were 20,549,453 deSPAC Warrants outstanding. Each whole deSPAC Warrant entitles the holder to purchase one sixth of a share of our Common Stock at a price of $11.50 per warrant, which is equivalent to approximately 3,424,909 shares of Common Stock. The shares of Common Stock issued upon exercise of our deSPAC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2024 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On November 1, 2024, we issued warrants to purchase up to </w:t>
      </w:r>
      <w:r>
        <w:rPr>
          <w:rFonts w:ascii="Times New Roman" w:cs="Times New Roman" w:eastAsia="Times New Roman" w:hAnsi="Times New Roman"/>
          <w:sz w:val="18"/>
          <w:szCs w:val="18"/>
          <w:color w:val="000000"/>
        </w:rPr>
        <w:t>3,220,805</w:t>
      </w:r>
      <w:r>
        <w:rPr>
          <w:rFonts w:ascii="Times New Roman" w:cs="Times New Roman" w:eastAsia="Times New Roman" w:hAnsi="Times New Roman"/>
          <w:sz w:val="18"/>
          <w:szCs w:val="18"/>
          <w:color w:val="212529"/>
        </w:rPr>
        <w:t xml:space="preserve"> shares of </w:t>
      </w:r>
      <w:r>
        <w:rPr>
          <w:rFonts w:ascii="Times New Roman" w:cs="Times New Roman" w:eastAsia="Times New Roman" w:hAnsi="Times New Roman"/>
          <w:sz w:val="18"/>
          <w:szCs w:val="18"/>
          <w:color w:val="000000"/>
        </w:rPr>
        <w:t>Common Stock</w:t>
      </w:r>
      <w:r>
        <w:rPr>
          <w:rFonts w:ascii="Times New Roman" w:cs="Times New Roman" w:eastAsia="Times New Roman" w:hAnsi="Times New Roman"/>
          <w:sz w:val="18"/>
          <w:szCs w:val="18"/>
          <w:color w:val="212529"/>
        </w:rPr>
        <w:t xml:space="preserve">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2024 Warrants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December 31, 2025, there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were 430,105 2024 Warrants outstanding. Each whole 2024 Warrant entitles the holder to purchase one share of our Common Stock at a price of $2.30 per share. The shares of Common Stock issued upon exercise of our 2024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180" w:lineRule="exact"/>
        <w:rPr>
          <w:sz w:val="20"/>
          <w:szCs w:val="20"/>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board of directors (pursuant to a majority vote of the whole board), the chairperson of the board of directors, or the Chief Executive Officer may call a special meeting;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remove a director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approve certain amendments to the Charter and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Delaware and federal courts as the exclusive forums for certain disputes.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(1) the exemption from the auditor attestation requirements with respect to internal control over financial reporting under Section 404 of the Sarbanes-Oxley Act of 2002, (2) the exemptions from say-on-pay, say-on-frequency and say-on-golden parachute voting requirements and (3) reduced disclosure obligations regarding executive compensation in our periodic reports and proxy statements. As a result, our stockholders may not have access to certain information they deem important. We will remain an emerging growth company until the earlier of (1)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deSPAC Public Warrants that is held by non-affiliates exceeds $700 million as of the last business day of our prior second fiscal quarter, and (2) the date on which we have issued more than $1.0 billion in non-convertible debt during the prior three-year period.</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may find our Common Stock or deSPAC Public Warrants less attractive because we rely on these exemptions and may continue to rely on them to the extent they remain available to us. If some investors find our Common Stock or deSPAC Public Warrants less attractive as a result of these exemptions and reduced disclosure as an emerging growth company, there may be a less active trading market for and/or more price volatility with respect to our Common Stock or deSPAC Public Warrants.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the critical importance of developing, implementing and maintaining robust cybersecurity measures to safeguard our information systems and protect the confidentiality, integrity and availability of our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Managing Material Risks and Integrated Overall Risk Management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implemented a risk-based approach to identify and assess the cybersecurity threats that could affect our business and information systems. Our cybersecurity program is aligned with industry standards and includes technical, administrative and physical controls, including encryption, firewalls, anti-virus systems and well-documented processes and policies. We continue to promote a company-wide culture of cybersecurity risk management. Cybersecurity considerations are integrated in our decision-making processes. We have an experienced IT team led by our Vice President of Information Systems, who has many years of experience in IT management, and reports directly to the Chief Executive Officer and works closely with our management team to evaluate and address cybersecurity risks in alignment with our business objectives and operational needs. Our VP of Information Systems provides regular updates on cybersecurity to the Audit Committee of the board of directors. Our board of directors, as a whole and through the Audit Committee of the board of directors, exercises oversight with respect to cybersecurity and our risk management strategy, consistent with its approach to overseeing our enterprise risk management as a whole.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Engagement of Third Parties on Risk Management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engage with a range of external experts, including cybersecurity assessors, consultants and auditors in evaluating and testing our risk management systems. These partnerships enable us to leverage specialized knowledge and insights. Our collaboration with these third parties includes regular audits, threat assessments and consultation on security enhancements.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Oversight of Third-Party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processes to oversee and manage risks relating to third-party service providers. For example, our Security Operations Center, employs a Security Information and Event Management ("SIEM") and other systems to monitor risks while also conducting security assessments of third-party providers before engagement and maintain ongoing monitoring to ensure compliance with our cybersecurity standards.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from Cybersecurity Threats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encountered cybersecurity challenges that have materially impaired our business strategy, results of operations or financial condition. From time to time, we experience cybersecurity events that require investigation. For additional information regarding whether any risks from cybersecurity threats, including as a result of any cybersecurity incidents are reasonably likely to materially affect our company, including our business strategy, results of operations or financial condition, please refer to Item 1A, "Risk Factors," in this Annual Report on Form 10-K, including the risk factor entitled "</w:t>
      </w:r>
      <w:r>
        <w:rPr>
          <w:rFonts w:ascii="Times New Roman" w:cs="Times New Roman" w:eastAsia="Times New Roman" w:hAnsi="Times New Roman"/>
          <w:sz w:val="18"/>
          <w:szCs w:val="18"/>
          <w:i w:val="1"/>
          <w:iCs w:val="1"/>
          <w:color w:val="auto"/>
        </w:rPr>
        <w:t>We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cybersecurity risks to our operational systems, security systems, infrastructure, and data processed by us or third-party vendors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facility is located in Salt Lake City, Utah consisting of approximately 61,000 square feet of leased space. The Salt Lake City, Utah lease expires in May 2033 and has two options to extend the lease for three-year periods. We have a 65,000 square foot fabrication facility in Saginaw, Michigan. We also, lease a 20,000 square foot machining facility in Oxford, Michigan. The Oxford, Michigan lease expires in 2035 and has an option to extend the lease for a ten year period. Should we need additional space, we believe we will be able to obtain additional space on commercially reasonable terms.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spacing w:after="0" w:line="282" w:lineRule="auto"/>
        <w:rPr>
          <w:sz w:val="20"/>
          <w:szCs w:val="20"/>
          <w:color w:val="auto"/>
        </w:rPr>
      </w:pPr>
      <w:r>
        <w:rPr>
          <w:rFonts w:ascii="Times New Roman" w:cs="Times New Roman" w:eastAsia="Times New Roman" w:hAnsi="Times New Roman"/>
          <w:sz w:val="18"/>
          <w:szCs w:val="18"/>
          <w:color w:val="auto"/>
        </w:rPr>
        <w:t>of operations. Regardless of outcome, litigation can have an adverse impact on us because of defense and settlement costs, diversion of management resources and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and deSPAC Public Warrants are traded on the Nasdaq Global Market under the symbols "PDYN" and "PDYNW,"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20, 2026, there were 340 stockholders of record of our Common Stock and 31 holders of record of our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thereto included elsewhere in this Annual Report.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 Item 1A Risk Factors and elsewhere in this Annual Report. See also Part I Special Note Regarding Forward-Looking Statements in this Annual Report.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U.S.-based technology company developing and offering embodied AI software and collaborative autonomy solutions, advanced avionics, UAVs, advanced UAV engineering services and precision-manufactured components for defense and commercial/industrial markets. Our core AI software offerings, Palladyne IQ, SwarmOS and Palladyne Pilot, consist of full-stack, closed-loop autonomy software that is intended to enhance the functionality and operational effectiveness of third-party robotic systems across a range of applications. These products are designed to be hardware agnostic, enabling integration across a wide range of robotic platforms, whether third-party or our own proprietary platforms, including industrial robots, cobots, UAVs, UGVs, and ROVs across multiple domains.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positioning our defense business as a mid-tier U.S. technology prime defense contractor aiming to combine innovative autonomy, practical engineering and American production to bring intelligent systems into active service faster, safer and more cost-effectively than legacy approaches. We seek to harness our advanced, ethical embodied AI to provide cost-effective lethality and precision harm mitigation through rapidly delivering scalable, low-cost, intelligent and collaborative attritable weapons, including by developing proprietary, UAVs incorporating our avionics and AI technologies. We support these efforts and those of other defense contractors and commercial customers through our vertically integrated aircraft engineering design services, enhanced avionics compute hardware and machining and fabrication services. Palladyne SwarmOS is designed for unmanned platforms and includes advanced autonomy and coordination capabilities that enable multiple UAVs to swarm, collaborate and execute complex missions through distributed tasking and edge-native orchestration. Our embodied AI is designed to operate in complex, contested and high-risk environments, enabling distributed tasking, human-on-the-loop oversight, degraded-communications resilience, multi-domain coordination and real-time responsiveness. Our platform-agnostic autonomy stack combines real-time sensor fusion, adaptive AI models, and edge-native orchestration to support autonomous and collaborative systems across air, ground, maritime and industrial domains where performance, resilience, trust and mission assurance are critical to operational outcomes. These capabilities are intended to meet the performance and reliability requirements of military and defense customers, particularly in applications where it is essential to conduct coordinated multi-vehicle operations in contested environments with degraded communications.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commercial and industrial customers in particular, Palladyne IQ is designed to enable poly-functional robots, including industrial robots and cobots, to become capable of performing multiple tasks across dynamic real-world industrial environments. Palladyne IQ enables industrial robots and cobots to adapt to variability in tasks, parts, and environments, thereby reducing the need for rigid automation, custom fixtures, and manual intervention. We believe Palladyne IQ has applications across manufacturing, logistics, warehousing, and other industrial settings where unstructured or semi-structured environments have historically limited the adoption of automation. We also offer Palladyne Pilot, a derivative version of SwarmOS tailored to meet the requirements of public safety and commercial customers by delivering core autonomy capabilities with reduced system complexity and cost. Please see Part I Item 1A Risk Factors for a discussion of the risks related to these activities, in particular those discussed under "Risks Related to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 Item 1A Risk Factors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Testing and Commercial Launch of our AI/ML Software, Avionics, and UAV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commercialization efforts, internal testing and customer trials for our products throughout 2026. Whether we are successful in these efforts depends on many factors, including those discussed under Part II Item 1A Risk Factors. Such risks may result in delay in achieving product revenues, which would adversely affect our financial condition and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use our cash on hand to continue to enhance our products, conduct product development activities, pursue marketing and sales opportunities and fund operations as we seek to further commercialize and enhance and achieve revenue from our products and services. The amount and timing of our future funding requirements will depend on many factors, including the pace and results of our product commercialization and enhancement efforts, our ability to sell our products and services and thereby recognize associated revenue, capital and human capital requirements to develop and sell products and provide services prior to receiving payments sufficient to cover our costs and our ability to lower costs as volumes increase.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taken and continue to take numerous steps to manage our use of cash. For example, in 2023 we suspended our legacy hardware product development efforts and focused our product development efforts on our AI/ML Foundational Technology and related products, and terminated our operations in Pittsburgh, Pennsylvania in early 2024. During the fourth quarter of 2024 and fiscal year 2025 we raised approximately $68.9 million in gross proceeds from the sale of our Common Stock and warrants. For further information on our financing activities,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we have sufficient liquidity to operate for at least the next 12 months without the need to raise additional capital. However, we may decide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we consider market conditions are good or a favorable opportunity exists. Any delays in the sales of our products and services will negatively impact our ability to generate revenue, our profitability, our cash flows, our overall operating performance and our ability to continue operations and may result in the need to raise additional capital. We will continue to carefully evaluate our use of cash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14, 2025, we acquired GuideTech, LLC an engineering company, MKR Fabrication, LLC (also known as MKR Fabricators), a fabrication company, and Warnke Precision Machining, LLC (also known as Warnke Precision Machining), a precision machining company. Our results presented and discussed below include the operating activity for these acquired companies from the acquisition date through December 31, 2025. Our results for periods prior to the acquisition date do not include the financial information of these acquired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demand for AI/ML software products has grown in recent years, the market continues to evolve. The market demand for our software is unproven, and important assumptions about the characteristics of targeted markets, pricing and sales cycles may be inaccurate. Based on interaction with dozens of potential customers, we believe that the sales cycle for Palladyne IQ is likely to be between 12 and 18 months, or even longer, while the sales cycle for Palladyne Pilot is unknown. While we believe that our products will provide significant benefits and return on investment to customers, as it is a new technology, we are dependent on customers who are willing to adopt, purchase and implement new technologies and products. Further, we have U.S. government revenue-generating contracts related to various aspects of our AI/ML Foundational Technology and our Palladyne IQ and Palladyne Pilot products and we have been affected by government shutdowns. For example, during the U.S. government shutdown in the fourth quarter of 2025, we experienced delays in our interactions with certain government agencies that affected our collection efforts, our ability to consummate new government contracts and our ability to maintain or renew government contracts in a timely manner. The duration of the shutdown could have a compounding effect, and the longer it continues, the more significant the potential adverse impact may be on our anticipated revenues for fiscal years 2025 and 2026. For additional information around the risks associated with our government contracts, see Part I Item 1A Risk Factors "</w:t>
      </w:r>
      <w:r>
        <w:rPr>
          <w:rFonts w:ascii="Times New Roman" w:cs="Times New Roman" w:eastAsia="Times New Roman" w:hAnsi="Times New Roman"/>
          <w:sz w:val="18"/>
          <w:szCs w:val="18"/>
          <w:i w:val="1"/>
          <w:iCs w:val="1"/>
          <w:color w:val="auto"/>
        </w:rPr>
        <w:t>A portion of our revenue is currently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will continue to be generated by contracts with government entities, which makes us subject to a number of uncertainties, challenges and risks." </w:t>
      </w:r>
      <w:r>
        <w:rPr>
          <w:rFonts w:ascii="Times New Roman" w:cs="Times New Roman" w:eastAsia="Times New Roman" w:hAnsi="Times New Roman"/>
          <w:sz w:val="18"/>
          <w:szCs w:val="18"/>
          <w:color w:val="auto"/>
        </w:rPr>
        <w:t>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demand does not develop as expected or we do not accurately estimate pricing, adoption rates and sales cycles for our products, our business, results of operations and financial condition will be adversely affected.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and Innovation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pioneer in the robotic systems industry and benefit from lessons learned over 30-plus years and significant investment in research and development. Through our hardware development efforts over many years, including our related AI-software development efforts, we developed a significant amount of advanced technology that we are leveraging to develop our AI/ML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Foundational Technology and related products. Our recent acquisitions have also brought us additional and new skills and expertise related to the products and services of the acquired companies. We believe our financial performance is dependent on our ability to enhance and update our products. It is important that we continually identify and respond to rapidly evolving customer requirements and competitive threats, develop and introduce innovative products, enhance our products and generate active market demand for and sell our products. If we fail to do this, our market and financial position and revenue may be adversely affected, and our investments in these technologies will not be recovered.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Macro-economic Environment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Geopolitical and macro-economic factors, such as inflation, changes in United States trade policy, including tariffs, interest rates, oil prices, unemployment rates, international conflicts, such as the current wars between Russia and Ukraine and conflict in the middle east, volatility in the stock market and political or social unrest, can have significant impacts on economic activity, which in turn could affect demand for our products or our ability to cost-effectively develop and sell our products. Among other things, these and similar factors can affect our ability to hire or retain qualified personnel, our labor and materials costs, the prices we charge for our products and services and the budgets of our customers and their expected return-on-investment from the purchase of our products and services.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Currently, we conduct business through one operating segment. All long-lived assets are maintained in, and all losses are attributable to, the United States of America. See </w:t>
      </w:r>
      <w:r>
        <w:rPr>
          <w:rFonts w:ascii="Times New Roman" w:cs="Times New Roman" w:eastAsia="Times New Roman" w:hAnsi="Times New Roman"/>
          <w:sz w:val="18"/>
          <w:szCs w:val="18"/>
          <w:i w:val="1"/>
          <w:iCs w:val="1"/>
          <w:color w:val="auto"/>
        </w:rPr>
        <w:t>Note 14, Segment Information,</w:t>
      </w:r>
      <w:r>
        <w:rPr>
          <w:rFonts w:ascii="Times New Roman" w:cs="Times New Roman" w:eastAsia="Times New Roman" w:hAnsi="Times New Roman"/>
          <w:sz w:val="18"/>
          <w:szCs w:val="18"/>
          <w:color w:val="auto"/>
        </w:rPr>
        <w:t xml:space="preserve"> in the accompanying consolidated financial statements for more information about our operating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our revenue from three sources. First, we enter into service contracts to provide research and development, engineering and design services with the U.S. government and commercial customers. Our research and development contracts with the government are leveraged to further our product development efforts where possible. Service revenue consists of revenue arising from different types of contractual arrangements, including cost-type contracts, fixed-price contracts and time and materials contracts.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Second, we sell our products. Product revenue primarily consists of sales of our current and legacy hardware products, including the BRAIN family of guidance and navigation computer chips. We have begun sales activities of our AI/ML software products and expect to derive revenue from licensing fees beginning in 2026. As of December 31, 2025 we have not yet recognized any such licensing revenues. We recently launched Palladyne IQ 2.0 and have secured our first paid customer for that product. We believe that near- to mid-term customer growth opportunities exist for both our Commercial and Defense businesses. We expect initial customer engagement with our products to begin with lower volume trials and then move to higher volumes as customers experience our products’ benefits and capabilities.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 we generate manufacturing revenue through the sale of precision machined and fabricated components, subassemblies and structures and integrated assembly services for both Defense and Commercial customers in a variety of industries. By supplying high-quality parts to leading U.S. defense prime contractors and emerging defense companies, we deliver a U.S.-based, defense-grade production backbone to customers and provide ourselves with an opportunity to leverage those capabilities in the production of our own proprietary platforms and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our AI/ML, software and related technology. Cost-type contracts are generally entered into with the U.S. government. These contracts are billed at cost plus a margin as defined by the contract and the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technology in the area of AI/ML software. Fixed-price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our actual costs vary from the fixed fee, we will generate more or less profit or could incur a loss. In accordance with Accounting Standards Codification 606, for fixed price contracts, we recognize losses at the contract level in earnings in the period in which they are incurred.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Time and materials contracts </w:t>
      </w:r>
      <w:r>
        <w:rPr>
          <w:rFonts w:ascii="Times New Roman" w:cs="Times New Roman" w:eastAsia="Times New Roman" w:hAnsi="Times New Roman"/>
          <w:sz w:val="18"/>
          <w:szCs w:val="18"/>
          <w:color w:val="auto"/>
        </w:rPr>
        <w:t>– Time and materials contracts relate primarily to design-to-field advanced engineering design services that take aerospace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from early concept through flight-ready prototype in compressed timelines, while engineering every stage for manufacturability and scale. Revenue on time and materials contracts is generally recognized over time as services are provided and materials are purchased and used in the project.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product revenue has related to sales of our legacy hardware products, and certain miscellaneous parts, accessories and repair services. As a result of the GuideTech LLC acquisition in November 2025, we now also sell the BRAIN advanced avionics flight computers and also have begun initial sales activities of our Palladyne IQ and Palladyne SwarmOS products. We have also integrated SwarmOS with our BRAIN X2 product to create IntelliSwarm. We recently launched Palladyne IQ 2.0 and have secured our first paid customer for that product. We have generally provided a limited one-year warranty on hardware included in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Palladyne Manufacturing business, comprised of Warnke Precision Machining and MKR Fabricators (companies we recently acquired), we sell precision machined and fabricated components, subassemblies and structures and integrated assembly services to both Defense and Commercial customers. Our operations include machining, fabrication and assembly of aerospace and defense components. Manufacturing revenue is recognized at the point in time when ownership of the goods is transferred, generally at the time of shipment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cost of revenue consists of direct and overhead expenses related to either the sale of our products, our contract services revenue or our manufacturing revenue. Direct expenses include direct labor used in the production of a product or in our services and manufacturing contracts, benefits expense associated with direct labor and materials directly tied to our product sale or services and manufacturing contracts. Overhead expenses include allocable supervisory labor, benefits expense associated with supervisory labor, allocation of facilities expense including rent and utilities and allocation of IT labor support and equipment. Overhead expenses not allocated to cost of revenue are expensed across research and development, general and administrative and sales and marketing expenses, as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are mainly comprised of costs from the continuing development and refinement of our AI/ML Foundational Technology and related products and the continuing research and development costs associated with current and future products. These expenses include labor and related benefit expenses, materials and supplies used in our laboratories, patent expenses and related overhead expenses. Our research and development expenses may fluctuate as a percentage of our revenue from period to period due to the timing and extent of these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employee-related costs for our finance, legal, human resources and other administrative teams, as well as certain executives. In addition, general and administrative expenses include insurance, public company compliance related costs, including outside legal and accounting expenses, other professional fees, facilities and IT expense not allocated to other operating expense categories and related overhead expense.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sales and marketing expenses arise from our activities relating to our efforts to market and sell our products and services. The expenses consist primarily of labor, benefits and employee-related costs, marketing programs and events, customer service, lead generation fees, product marketing expense, public relations fees and travel associated with sales generation and marketing support and related overhead expense.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continue to invest in sales and marketing to grow our customer base and increase our brand awareness. The trend and timing of sales and marketing expenses will depend in part on the timing of the commercial launch of new products and their reception by the market. As our product sales grow, we expect that sales and marketing expenses will increase in absolute dollars in future periods; however, we expect our sales and marketing expenses to decrease as a percentage of our revenue over the long term, although our sales and marketing expenses may fluctuate as a percentage of our revenue from period to period due to the timing and extent of these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 Expense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primarily consists of amortization of identified finite-lived intangible assets that were acquired in connection with business combinations. These costs are amortized on a straight-line basis over their expected useful lives.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received or earned on our cash and marketable securities balances. Portions of our cash resided in money market investments and in U.S. Treasury securities at various points during the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Warrant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warrant liabilities consists of the change in fair value of the deSPAC Warrants and the 2024 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consists primarily of other miscellaneous non-operating items.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consist of taxes currently due plus deferred income taxes related primarily to differences between the tax bases and financial reporting bases of assets and liabilities. Deferred income taxes represent the future tax return consequences of those differences, which will either be taxable or deductible when the assets and liabilities are recovered or settled.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years ended December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r>
      <w:tr>
        <w:trPr>
          <w:trHeight w:val="19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Services Revenue</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4,684</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(436)</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(2,663)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2"/>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 Revenue</w:t>
            </w: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Revenue, net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(2,540)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-162560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-162560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-162560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decreased by $2.5 million, or 33%, from $7.8 million in the year ended December 31, 2024 to $5.2 million in the year ended December 31, 2025, as explained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derived from services contracts decreased by $0.4 million, or 9%, from $5.1 million for the year ended December 31, 2024 to $4.7 million for the year ended December 31, 2025. The decrease was primarily due to available funding and the timing of completion of certain milestones within our product development contracts during the current period, partially offset by increases in design services revenues due to the acquisition of GuideTech in November 2025. We expect future revenue from services contracts to fluctuate due to the timing of new contracts signed and the completion of existing contracts. For the time being, we intend to take on only those prodcut development contracts that we believe support and contribute to our product development efforts. As a result, there may be fewer opportunities to replace completed contract development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derived from product sales decreased by $2.7 million, or 100%, from $2.7 million for the year ended December 31, 2024 to $0.0 million for the year ended December 31, 2025. The decrease was primarily due to one-time legacy hardware product sales during the year ended December 31, 2024 that did not recur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Manufacturing revenue was $0.6 million for the year ended December 31, 2025. We generate manufacturing revenue through our Palladyne Manufacturing business, comprised of Warnke Precision Machining and MKR Fabricators, both of which are companies we acquired in November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years ended December 31, 2025 and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2,462</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0" w:type="dxa"/>
            <w:vAlign w:val="bottom"/>
          </w:tcPr>
          <w:p>
            <w:pPr>
              <w:spacing w:after="0"/>
              <w:rPr>
                <w:sz w:val="17"/>
                <w:szCs w:val="17"/>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6"/>
        </w:trPr>
        <w:tc>
          <w:tcPr>
            <w:tcW w:w="5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37,650</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34,709</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200" w:type="dxa"/>
            <w:vAlign w:val="bottom"/>
            <w:tcBorders>
              <w:top w:val="single" w:sz="8" w:color="CFF0FC"/>
            </w:tcBorders>
          </w:tcPr>
          <w:p>
            <w:pPr>
              <w:spacing w:after="0"/>
              <w:rPr>
                <w:sz w:val="17"/>
                <w:szCs w:val="17"/>
                <w:color w:val="auto"/>
              </w:rPr>
            </w:pPr>
          </w:p>
        </w:tc>
        <w:tc>
          <w:tcPr>
            <w:tcW w:w="140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-162560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-162560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-162560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revenue decreased by $0.8 million, or 23%, from $3.5 million for the year ended December 31, 2024 to $2.7 million for the year ended December 31, 2025. Cost of revenue decreased primarily due to lower product costs, driven by the decline in product revenue, as well as decreased labor and material expenses charged to product development contracts during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$2.5 million, or 24%, from $10.4 million for the year ended December 31, 2024 to $12.9 million for the year ended December 31, 2025. Research and development expenses increased during the year ended December 31, 2025 due primarily to labor and labor related expenses associated with product testing, debugging, stabilization and enhancements of our software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$0.4 million, or 2%, from $16.8 million for the year ended December 31, 2024 to $17.2 million for the year ended December 31, 2025. General and administrative expense increased primarily due to legal and business insurance expenses largely due to the acquisitions completed in November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$0.6 million, or 15%, from $4.1 million for the year ended December 31, 2024 to $4.7 million for the year ended December 31, 2025. This increase was driven by increased marketing program costs for our AI/ML software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Amortization Expense</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Intangible amortization expenses increased to $0.1 million for the year ended December 31, 2025. The increase in intangible amortization expense is attributable to the recognition of amortization related to identified intangible assets acquired in connection with business combinations.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Write-down and Restructuring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asset write-down and restructuring costs for the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(loss) for the years ended December 31, 2025 and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(loss)</w:t>
            </w:r>
          </w:p>
        </w:tc>
        <w:tc>
          <w:tcPr>
            <w:tcW w:w="18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net</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700</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Gain (loss) on warrant liabilities</w:t>
            </w:r>
          </w:p>
        </w:tc>
        <w:tc>
          <w:tcPr>
            <w:tcW w:w="1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37,740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(46,935)</w:t>
            </w: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84,675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02"/>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219</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10,950%</w:t>
            </w:r>
          </w:p>
        </w:tc>
      </w:tr>
      <w:tr>
        <w:trPr>
          <w:trHeight w:val="20"/>
        </w:trPr>
        <w:tc>
          <w:tcPr>
            <w:tcW w:w="4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 (loss)</w:t>
            </w:r>
          </w:p>
        </w:tc>
        <w:tc>
          <w:tcPr>
            <w:tcW w:w="2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39,905</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(45,689)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85,594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increased by $85.6 million from a loss of $45.7 million for the year ended December 31, 2024 to income of $39.9 million for the year ended December 31, 2025. Other income increased almost entirely as a result of changes in the fair value of our outstanding warrants. Additionally, interest income from our investments in marketable securities increased due to an increase in invested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tax benefits of $2.5 million for the year ended December 31, 2025, and had no significant income tax expense for the year ended December 31, 2024. The income tax benefit recorded for the year ended December 31, 2025 is due to the removal of a portion of our previously recorded valuation allowance on our net deferred tax assets due to net deferred tax liabilities recorded as part of the acquisitions closed during 2025, resulting in an income tax benefit recorded. The future reversal of the net deferred tax liabilities is a source of taxable income to be considered by us when determining whether a valuation allowance is needed for our existing net deferred tax assets. For the years ended December 31, 2025 and 2024, our recognized effective tax rate differs from the U.S. federal statutory rate as the Company recorded net losses during the period with a corresponding full valuation allowance on the net deferred tax assets created from the losses.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Total Estimated Contract Value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backlog, as of December 31, 2025, was $13.9 million, $13.5 million of which was funded and $0.4 million of which was unfunded. Our backlog is equal to our remaining performance obligations under contracts or the expected value of exercised contracts, both funded and unfunded, less revenue recognized to date. Our total estimated contract value, which combines backlog with estimated potential contract value, including unexercised options from existing firm contracts, was $20.0 million as of December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cash equivalents and marketable securities were $47.1 million as of December 31, 2025, compared to $40.1 million as of December 31, 2024. We have incurred losses from operations and negative cash flows from operations since inception and are likely to continue to incur losses from operations and negative cash flows from operations in the near term. As of December 31, 2025, we had an accumulated deficit of approximately $480.8 million and working capital of $46.9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31, 2024, we announced that we raised approximately $7 million in gross proceeds from the sale of Common Stock and warrants through a registered offering and two separate private placements. In May 2025, 2,790,700 of the 2024 Warrants were exercised resulting in proceeds of $6.4 million.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2024, we entered into an open market sale agreement (the "Sales Agreement") with Jefferies LLC to sell shares of our Common Stock from time to time through an "at-the-market" equity offering program under which Jefferies is acting as our sales agent and on November 13, 2024, we filed a prospectus supplement with the SEC in connection with the offer and sale of up to $18.0 million of shares of our Common Stock pursuant to the Sales Agreement. As of December 31, 2024, we sold all of the shares offered pursuant to this prospectus supplement consisting of a total of 3,680,543 shares of our Common Stock for gross sales proceeds of approximately $18.0 million, before deducting commission and other expenses. On December 31, 2024 we filed a prospectus supplement in connection with offering for sale an additional $30.0 million of shares pursuant to the Sales Agreement. During the year ended December 31, 2025, all shares under this prospectus supplement were sold, consisting of a total of 3,134,189 shares of our Common Stock under the Sales Agreement for gross sales proceeds of approximately $30.0 million, before deducting commission and other expenses. On August 6, 2025 we filed a prospectus supplement in connection with offering for sale an additional $50.0 million of shares pursuant to the Sales Agreement (the “August 2025 Prospectus Supplement”). As of December 31, 2025, 1,307,852 shares were sold under the August 2025 Prospectus Supplement for gross sales proceeds of approximately $7.5 million, before deducting commission and other expenses. We believe that our cash, cash equivalents and marketable securities on hand will be sufficient to support operations, working capital and capital expenditure requirements for at least the next 12 months from the date of this Report.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use of cash is for operations and administrative activities including employee-related expenses and general, operating and overhead expenses. While we do not have any significant debt, we do have a long-term lease for our facilities in Salt Lake City, Utah. Future capital requirements will depend on many factors, including the timing and extent of development efforts, the expansion and results of sales and marketing activities, the sales cycle for our products, customer acquisition and revenues, revenue growth rate, customer retention, the introduction of new and enhanced product offerings and market acceptance of our products.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taken many steps to reduce our use of cash. For example, in 2023 we suspended our legacy hardware product development efforts and focused our product development efforts on our AI/ML Foundational Technology and related products, and terminated our operations in Pittsburgh, Pennsylvania in early 2024. We plan to use our existing capital to further commercialize and conduct sales and marketing efforts for our commercially available product and services, as well as continue product testing, debugging and stabilization efforts and conduct product development efforts for the next versions of our products.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product development efforts, our ability to commercialize our products and thereby recognize associated revenue and capital requirements to conduct marketing and sales activities prior to receiving payments sufficient to cover our costs. Any delays in the sales of our products and services will negatively impact our ability to generate revenue, profitability, overall operating performance and financial condition. If we are unable to raise additional capital when desired or needed, our business, results of operations and financial condition would be materially and adversely affected.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enter into arrangements to acquire or invest in additional businesses, services and technologies, which may require acquisition capital as well as operational capital for these acquisitions or arrangements. We may be required to seek additional equity or debt financing to facilitate these arrangements. If additional financing is required from outside sources in connection with these arrangements, we may not be able to raise it on terms acceptable to us, or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primarily use cash from equity financings to fund operations and capital expenditures and meet working capital requirements. If additional funds are required to support our working capital requirements, for acquisitions or for other purposes, we may seek to raise funds through additional debt or equity financings or from other sources. We intend to continue monitoring our liquidity, financial and business results and outlook and market conditions, and may be opportunistic and raise capital when market conditions are good or a favorable opportunity exists including under our "at-the-market" equity offering programs. Any delays in the successful further commercialization and sales of our products and services will negatively impact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 For additional information around the risks associated with our capital needs see Part I Item 1A Risk Factors </w:t>
      </w:r>
      <w:r>
        <w:rPr>
          <w:rFonts w:ascii="Times New Roman" w:cs="Times New Roman" w:eastAsia="Times New Roman" w:hAnsi="Times New Roman"/>
          <w:sz w:val="18"/>
          <w:szCs w:val="18"/>
          <w:i w:val="1"/>
          <w:iCs w:val="1"/>
          <w:color w:val="auto"/>
        </w:rPr>
        <w:t>"Our business plans require a significant amount of capital. We may sell additional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2025, our total minimum lease payments are $14.6 million, of which $1.9 million are due in the next 12 months. For detail regarding our lease obligations refer to </w:t>
      </w:r>
      <w:r>
        <w:rPr>
          <w:rFonts w:ascii="Times New Roman" w:cs="Times New Roman" w:eastAsia="Times New Roman" w:hAnsi="Times New Roman"/>
          <w:sz w:val="18"/>
          <w:szCs w:val="18"/>
          <w:i w:val="1"/>
          <w:iCs w:val="1"/>
          <w:color w:val="auto"/>
        </w:rPr>
        <w:t>Note 4 Leases</w:t>
      </w:r>
      <w:r>
        <w:rPr>
          <w:rFonts w:ascii="Times New Roman" w:cs="Times New Roman" w:eastAsia="Times New Roman" w:hAnsi="Times New Roman"/>
          <w:sz w:val="18"/>
          <w:szCs w:val="18"/>
          <w:color w:val="auto"/>
        </w:rPr>
        <w:t xml:space="preserve"> to the consolidated financial statements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 :</w:t>
            </w:r>
          </w:p>
        </w:tc>
        <w:tc>
          <w:tcPr>
            <w:tcW w:w="1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(27,637)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(22,627)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(5,010)</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(24,578)</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(31,454)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0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39,246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15,446</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r>
      <w:tr>
        <w:trPr>
          <w:trHeight w:val="20"/>
        </w:trPr>
        <w:tc>
          <w:tcPr>
            <w:tcW w:w="4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(12,969)</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(21,018)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used in operating activities during the twelve months ended December 31, 2025, increased by $5.0 million to $27.6 million from $22.6 million during the prior year. The increase to net cash used in operating activities was primarily attributable to changes in net income (loss), adjusted for non-cash items.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cash used in investing activities during the twelve months ended December 31, 2025 increased by $31.5 million. The increase in cash used in investing activities is mostly due to $18.6 million of purchases, net of maturities of marketable securities during the twelve months ended December 31, 2025, as compared to $7.1 million of maturities, net of purchases of marketable securities during the twelve months ended December 31, 2024. Additionally, $5.3 million was used for the acquisition of businesses, net of cash acquired during the twelve months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cash provided in financing activities during the twelve months ended December 31, 2025 increased by $15.4 million as compared to the prior year period. This increase was primarily attributable to $42.7 million, after deducting transaction costs, in net proceeds from the sale of our Common Stock and the exercise of warrants during the twelve months ended December 31, 2025, as compared to $23.8 million, after deducting transaction costs, in net proceeds from the sale of our Common Stock and warrants during the twelve months ended December 31, 2024. Partially offsetting this increase, we repaid $3.7 million of debt related to the businesses acquired in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spacing w:after="0" w:line="1" w:lineRule="exact"/>
        <w:rPr>
          <w:sz w:val="20"/>
          <w:szCs w:val="20"/>
          <w:color w:val="auto"/>
        </w:rPr>
      </w:pPr>
    </w:p>
    <w:p>
      <w:pPr>
        <w:ind w:left="280" w:hanging="272"/>
        <w:spacing w:after="0"/>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$1.235 billion or more during such fiscal year (as indexed for inflation),</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U.S. generally accepted accounting principles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estimates include those related 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utilized the purchase method of accounting for business combinations, which requires the allocation of the purchase price to the assets acquired and liabilities assumed based on their estimated fair values at the acquisition date. The excess of consideration transferred over the fair value of net identifiable assets is recorded as goodwill. Determining fair values involves significant management judgment, particularly with respect to identifiable intangible assets and contingent consideration. These estimates require the use of valuation models and assumptions such as projected cash flows, discount rates, customer attrition rates, and royalty rates. Changes in these assumptions could impact the amount of goodwill and intangible assets recognized, as well as future amortization expense or impairment charges.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issued the 2024 Warrants on November 1, 2024. The 2024 Warrants were determined to be liability classified instruments upon issuance. The fair value of the 2024 Warrants are measured using the Black-Scholes valuation model, which includes assumptions related to expected volatility, expected life, risk-free interest rate and expected dividends. These estimates are judgmental and could differ materially in the future. Changes in the fair value of the 2024 Warrants are recorded as a component of other income and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 Basis of Presentation and Summary of Significant Accounting Policies,</w:t>
      </w:r>
      <w:r>
        <w:rPr>
          <w:rFonts w:ascii="Times New Roman" w:cs="Times New Roman" w:eastAsia="Times New Roman" w:hAnsi="Times New Roman"/>
          <w:sz w:val="18"/>
          <w:szCs w:val="18"/>
          <w:color w:val="auto"/>
        </w:rPr>
        <w:t xml:space="preserve"> to consolidated financial statements included elsewhere in this Annual Report on Form 10-K for recently adopted accounting pronouncements and recently issued accounting pronouncements not yet adopted as of the date of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06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060" w:type="dxa"/>
            <w:vAlign w:val="bottom"/>
          </w:tcPr>
          <w:p>
            <w:pPr>
              <w:spacing w:after="0"/>
              <w:rPr>
                <w:sz w:val="19"/>
                <w:szCs w:val="19"/>
                <w:color w:val="auto"/>
              </w:rPr>
            </w:pPr>
          </w:p>
        </w:tc>
      </w:tr>
      <w:tr>
        <w:trPr>
          <w:trHeight w:val="194"/>
        </w:trPr>
        <w:tc>
          <w:tcPr>
            <w:tcW w:w="5360" w:type="dxa"/>
            <w:vAlign w:val="bottom"/>
            <w:tcBorders>
              <w:bottom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185)</w:t>
            </w:r>
          </w:p>
        </w:tc>
        <w:tc>
          <w:tcPr>
            <w:tcW w:w="3820" w:type="dxa"/>
            <w:vAlign w:val="bottom"/>
          </w:tcPr>
          <w:p>
            <w:pPr>
              <w:spacing w:after="0"/>
              <w:rPr>
                <w:sz w:val="16"/>
                <w:szCs w:val="16"/>
                <w:color w:val="auto"/>
              </w:rPr>
            </w:pPr>
          </w:p>
        </w:tc>
        <w:tc>
          <w:tcPr>
            <w:tcW w:w="2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2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7"/>
                <w:szCs w:val="17"/>
                <w:color w:val="auto"/>
              </w:rPr>
            </w:pPr>
          </w:p>
        </w:tc>
        <w:tc>
          <w:tcPr>
            <w:tcW w:w="7060" w:type="dxa"/>
            <w:vAlign w:val="bottom"/>
            <w:gridSpan w:val="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91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28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91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28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640" w:type="dxa"/>
            <w:vAlign w:val="bottom"/>
            <w:tcBorders>
              <w:top w:val="single" w:sz="8" w:color="0000FF"/>
            </w:tcBorders>
            <w:gridSpan w:val="2"/>
          </w:tcPr>
          <w:p>
            <w:pPr>
              <w:spacing w:after="0"/>
              <w:rPr>
                <w:sz w:val="17"/>
                <w:szCs w:val="17"/>
                <w:color w:val="auto"/>
              </w:rPr>
            </w:pPr>
          </w:p>
        </w:tc>
        <w:tc>
          <w:tcPr>
            <w:tcW w:w="564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42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(Deficit)</w:t>
            </w:r>
          </w:p>
        </w:tc>
        <w:tc>
          <w:tcPr>
            <w:tcW w:w="498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31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02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885"/>
        </w:trPr>
        <w:tc>
          <w:tcPr>
            <w:tcW w:w="9180" w:type="dxa"/>
            <w:vAlign w:val="bottom"/>
            <w:gridSpan w:val="10"/>
          </w:tcPr>
          <w:p>
            <w:pPr>
              <w:ind w:left="5540"/>
              <w:spacing w:after="0"/>
              <w:rPr>
                <w:sz w:val="20"/>
                <w:szCs w:val="20"/>
                <w:color w:val="auto"/>
              </w:rPr>
            </w:pPr>
            <w:r>
              <w:rPr>
                <w:rFonts w:ascii="Times New Roman" w:cs="Times New Roman" w:eastAsia="Times New Roman" w:hAnsi="Times New Roman"/>
                <w:sz w:val="18"/>
                <w:szCs w:val="18"/>
                <w:color w:val="auto"/>
              </w:rPr>
              <w:t>61</w:t>
            </w:r>
          </w:p>
        </w:tc>
        <w:tc>
          <w:tcPr>
            <w:tcW w:w="2060" w:type="dxa"/>
            <w:vAlign w:val="bottom"/>
          </w:tcPr>
          <w:p>
            <w:pPr>
              <w:spacing w:after="0"/>
              <w:rPr>
                <w:sz w:val="24"/>
                <w:szCs w:val="24"/>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Palladyne AI Corp.: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Palladyne AI Corp. and subsidiaries (the Company) as of December 31, 2025 and December 31, 2024, the related consolidated statements of operations, comprehensive income (loss), stockholders’ equity (deficit), and cash flows for each of the years in the two-year period ended December 31, 2025, and the related notes (collectively, the consolidated financial statements). In our opinion, the consolidated financial statements present fairly, in all material respects, the financial position of the Company as of December 31, 2025 and December 31, 2024, and the results of its operations and its cash flows for each of the years in the two-year period ended December 31, 2025, in conformity with U.S. generally accepted accounting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r>
      <w:tr>
        <w:trPr>
          <w:trHeight w:val="196"/>
        </w:trPr>
        <w:tc>
          <w:tcPr>
            <w:tcW w:w="7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18,219</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00" w:type="dxa"/>
            <w:vAlign w:val="bottom"/>
          </w:tcPr>
          <w:p>
            <w:pPr>
              <w:spacing w:after="0"/>
              <w:rPr>
                <w:sz w:val="17"/>
                <w:szCs w:val="17"/>
                <w:color w:val="auto"/>
              </w:rPr>
            </w:pPr>
          </w:p>
        </w:tc>
      </w:tr>
      <w:tr>
        <w:trPr>
          <w:trHeight w:val="189"/>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$0.0 million and $0.3 million at December 31, 2025 and</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2024, respectively</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FF0FC"/>
          </w:tcPr>
          <w:p>
            <w:pPr>
              <w:spacing w:after="0"/>
              <w:rPr>
                <w:sz w:val="18"/>
                <w:szCs w:val="18"/>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Unbilled receivables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52,557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42,730</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8,841</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7"/>
                <w:szCs w:val="17"/>
                <w:color w:val="auto"/>
              </w:rPr>
            </w:pPr>
          </w:p>
        </w:tc>
      </w:tr>
      <w:tr>
        <w:trPr>
          <w:trHeight w:val="23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95,712</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56,253</w:t>
            </w:r>
          </w:p>
        </w:tc>
        <w:tc>
          <w:tcPr>
            <w:tcW w:w="100" w:type="dxa"/>
            <w:vAlign w:val="bottom"/>
            <w:shd w:val="clear" w:color="auto" w:fill="CFF0FC"/>
          </w:tcPr>
          <w:p>
            <w:pPr>
              <w:spacing w:after="0"/>
              <w:rPr>
                <w:sz w:val="20"/>
                <w:szCs w:val="20"/>
                <w:color w:val="auto"/>
              </w:rPr>
            </w:pPr>
          </w:p>
        </w:tc>
      </w:tr>
      <w:tr>
        <w:trPr>
          <w:trHeight w:val="183"/>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Borders>
              <w:bottom w:val="single" w:sz="8" w:color="CFF0FC"/>
            </w:tcBorders>
          </w:tcPr>
          <w:p>
            <w:pPr>
              <w:spacing w:after="0"/>
              <w:rPr>
                <w:sz w:val="17"/>
                <w:szCs w:val="17"/>
                <w:color w:val="auto"/>
              </w:rPr>
            </w:pPr>
          </w:p>
        </w:tc>
      </w:tr>
      <w:tr>
        <w:trPr>
          <w:trHeight w:val="19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51,396</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9,957</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21,037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165,000,000 shares authorized as of December 31, 2025 and 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2024; 46,117,164 and 33,883,894 shares issued and outstanding as of December 31, 2025 and December 31, 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r>
      <w:tr>
        <w:trPr>
          <w:trHeight w:val="20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555,451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481,289</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r>
      <w:tr>
        <w:trPr>
          <w:trHeight w:val="202"/>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(480,792)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(490,831)</w:t>
            </w:r>
          </w:p>
        </w:tc>
      </w:tr>
      <w:tr>
        <w:trPr>
          <w:trHeight w:val="20"/>
        </w:trPr>
        <w:tc>
          <w:tcPr>
            <w:tcW w:w="7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(9,533)</w:t>
            </w: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95,712</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56,253</w:t>
            </w:r>
          </w:p>
        </w:tc>
        <w:tc>
          <w:tcPr>
            <w:tcW w:w="100" w:type="dxa"/>
            <w:vAlign w:val="bottom"/>
            <w:shd w:val="clear" w:color="auto" w:fill="CFF0FC"/>
          </w:tcPr>
          <w:p>
            <w:pPr>
              <w:spacing w:after="0"/>
              <w:rPr>
                <w:sz w:val="18"/>
                <w:szCs w:val="18"/>
                <w:color w:val="auto"/>
              </w:rPr>
            </w:pP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-2665095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-2647950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-1996440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-1336675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6"/>
        </w:trPr>
        <w:tc>
          <w:tcPr>
            <w:tcW w:w="6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net</w:t>
            </w:r>
          </w:p>
        </w:tc>
        <w:tc>
          <w:tcPr>
            <w:tcW w:w="18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7,786</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Cost of revenue (exclusive of items shown separately below)</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10,437</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17,199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16,842</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w:t>
            </w:r>
          </w:p>
        </w:tc>
      </w:tr>
      <w:tr>
        <w:trPr>
          <w:trHeight w:val="196"/>
        </w:trPr>
        <w:tc>
          <w:tcPr>
            <w:tcW w:w="6200" w:type="dxa"/>
            <w:vAlign w:val="bottom"/>
            <w:tcBorders>
              <w:top w:val="single" w:sz="8" w:color="CFF0FC"/>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54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37,650</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34,709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(32,404)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(26,923)</w:t>
            </w:r>
          </w:p>
        </w:tc>
      </w:tr>
      <w:tr>
        <w:trPr>
          <w:trHeight w:val="20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Gain (loss) on warrant liabilities</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(46,935)</w:t>
            </w:r>
          </w:p>
        </w:tc>
      </w:tr>
      <w:tr>
        <w:trPr>
          <w:trHeight w:val="203"/>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5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 expense</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(72,612)</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62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54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16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(72,617)</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5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6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(2.71)</w:t>
            </w: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(2.71)</w:t>
            </w: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 share</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38,841,116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26,774,895</w:t>
            </w:r>
          </w:p>
        </w:tc>
        <w:tc>
          <w:tcPr>
            <w:tcW w:w="100" w:type="dxa"/>
            <w:vAlign w:val="bottom"/>
            <w:shd w:val="clear" w:color="auto" w:fill="CFF0FC"/>
          </w:tcPr>
          <w:p>
            <w:pPr>
              <w:spacing w:after="0"/>
              <w:rPr>
                <w:sz w:val="17"/>
                <w:szCs w:val="17"/>
                <w:color w:val="auto"/>
              </w:rPr>
            </w:pPr>
          </w:p>
        </w:tc>
      </w:tr>
      <w:tr>
        <w:trPr>
          <w:trHeight w:val="210"/>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42,125,932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26,774,895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-1885950</wp:posOffset>
            </wp:positionV>
            <wp:extent cx="93980" cy="1708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-1885950</wp:posOffset>
            </wp:positionV>
            <wp:extent cx="93980" cy="1708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-1212850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-1212850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-938530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-938530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8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316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6"/>
        </w:trPr>
        <w:tc>
          <w:tcPr>
            <w:tcW w:w="5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1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(72,617)</w:t>
            </w: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Change in unrealized income on available-for-sale investments</w:t>
            </w:r>
          </w:p>
        </w:tc>
        <w:tc>
          <w:tcPr>
            <w:tcW w:w="17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r>
      <w:tr>
        <w:trPr>
          <w:trHeight w:val="196"/>
        </w:trPr>
        <w:tc>
          <w:tcPr>
            <w:tcW w:w="5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1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7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(72,614)</w:t>
            </w: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-312420</wp:posOffset>
            </wp:positionV>
            <wp:extent cx="939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-312420</wp:posOffset>
            </wp:positionV>
            <wp:extent cx="9398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160" w:type="dxa"/>
            <w:vAlign w:val="bottom"/>
          </w:tcPr>
          <w:p>
            <w:pPr>
              <w:spacing w:after="0"/>
              <w:rPr>
                <w:sz w:val="17"/>
                <w:szCs w:val="17"/>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(72,617)</w:t>
            </w: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(37,740)</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46,935</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investment discount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(1,386)</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(2,541)</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Unbilled receivable</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assets &amp; other non-current assets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(819)</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 and current operating lease liabilities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(904)</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(3,164)</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(1,077)</w:t>
            </w: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00" w:type="dxa"/>
            <w:vAlign w:val="bottom"/>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(22,627)</w:t>
            </w: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(265)</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 of a business, net of cash acquired</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(5,302)</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(75,563)</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(8,859)</w:t>
            </w:r>
          </w:p>
        </w:tc>
      </w:tr>
      <w:tr>
        <w:trPr>
          <w:trHeight w:val="203"/>
        </w:trPr>
        <w:tc>
          <w:tcPr>
            <w:tcW w:w="6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57,000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(24,578)</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6,876</w:t>
            </w: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under ESPP</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exercise of warrants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repurchased for payment of tax withholdings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obligations under finance leases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of debt obligations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(3,696)</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issuance of warrants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4,432</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36,371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20,028</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transaction costs related to issuance of common stock</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(682)</w:t>
            </w:r>
          </w:p>
        </w:tc>
      </w:tr>
      <w:tr>
        <w:trPr>
          <w:trHeight w:val="196"/>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39,246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(12,969)</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8,049</w:t>
            </w:r>
          </w:p>
        </w:tc>
        <w:tc>
          <w:tcPr>
            <w:tcW w:w="100" w:type="dxa"/>
            <w:vAlign w:val="bottom"/>
          </w:tcPr>
          <w:p>
            <w:pPr>
              <w:spacing w:after="0"/>
              <w:rPr>
                <w:sz w:val="17"/>
                <w:szCs w:val="17"/>
                <w:color w:val="auto"/>
              </w:rPr>
            </w:pPr>
          </w:p>
        </w:tc>
      </w:tr>
      <w:tr>
        <w:trPr>
          <w:trHeight w:val="203"/>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18,219</w:t>
            </w:r>
          </w:p>
        </w:tc>
        <w:tc>
          <w:tcPr>
            <w:tcW w:w="160" w:type="dxa"/>
            <w:vAlign w:val="bottom"/>
          </w:tcPr>
          <w:p>
            <w:pPr>
              <w:spacing w:after="0"/>
              <w:rPr>
                <w:sz w:val="17"/>
                <w:szCs w:val="17"/>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0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 financed through notes payable</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tcPr>
          <w:p>
            <w:pPr>
              <w:spacing w:after="0"/>
              <w:rPr>
                <w:sz w:val="17"/>
                <w:szCs w:val="17"/>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issued in connection with a business acquisition</w:t>
            </w:r>
          </w:p>
        </w:tc>
        <w:tc>
          <w:tcPr>
            <w:tcW w:w="21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15,872</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 reclassified to equity upon exercise</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10,883</w:t>
            </w:r>
          </w:p>
        </w:tc>
        <w:tc>
          <w:tcPr>
            <w:tcW w:w="160" w:type="dxa"/>
            <w:vAlign w:val="bottom"/>
          </w:tcPr>
          <w:p>
            <w:pPr>
              <w:spacing w:after="0"/>
              <w:rPr>
                <w:sz w:val="18"/>
                <w:szCs w:val="18"/>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-3574415</wp:posOffset>
            </wp:positionV>
            <wp:extent cx="93980" cy="1708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-3574415</wp:posOffset>
            </wp:positionV>
            <wp:extent cx="93980" cy="1708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-2773045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-2773045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-1204595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-1204595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-938530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-938530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20" w:type="dxa"/>
            <w:vAlign w:val="bottom"/>
          </w:tcPr>
          <w:p>
            <w:pPr>
              <w:spacing w:after="0"/>
              <w:rPr>
                <w:sz w:val="18"/>
                <w:szCs w:val="18"/>
                <w:color w:val="auto"/>
              </w:rPr>
            </w:pPr>
          </w:p>
        </w:tc>
        <w:tc>
          <w:tcPr>
            <w:tcW w:w="2360" w:type="dxa"/>
            <w:vAlign w:val="bottom"/>
            <w:gridSpan w:val="3"/>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8"/>
                <w:szCs w:val="18"/>
                <w:color w:val="auto"/>
              </w:rPr>
            </w:pPr>
          </w:p>
        </w:tc>
        <w:tc>
          <w:tcPr>
            <w:tcW w:w="11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320" w:type="dxa"/>
            <w:vAlign w:val="bottom"/>
          </w:tcPr>
          <w:p>
            <w:pPr>
              <w:spacing w:after="0"/>
              <w:rPr>
                <w:sz w:val="18"/>
                <w:szCs w:val="18"/>
                <w:color w:val="auto"/>
              </w:rPr>
            </w:pPr>
          </w:p>
        </w:tc>
        <w:tc>
          <w:tcPr>
            <w:tcW w:w="236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2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 (Deficit)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25,877,865</w:t>
            </w:r>
          </w:p>
        </w:tc>
        <w:tc>
          <w:tcPr>
            <w:tcW w:w="120" w:type="dxa"/>
            <w:vAlign w:val="bottom"/>
            <w:tcBorders>
              <w:right w:val="single" w:sz="8" w:color="CFF0FC"/>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459,113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(418,214)</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958,553</w:t>
            </w:r>
          </w:p>
        </w:tc>
        <w:tc>
          <w:tcPr>
            <w:tcW w:w="120" w:type="dxa"/>
            <w:vAlign w:val="bottom"/>
            <w:tcBorders>
              <w:right w:val="single" w:sz="8" w:color="CFF0FC"/>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withholdings</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(57,352)</w:t>
            </w:r>
          </w:p>
        </w:tc>
        <w:tc>
          <w:tcPr>
            <w:tcW w:w="9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203,480</w:t>
            </w:r>
          </w:p>
        </w:tc>
        <w:tc>
          <w:tcPr>
            <w:tcW w:w="120" w:type="dxa"/>
            <w:vAlign w:val="bottom"/>
            <w:tcBorders>
              <w:right w:val="single" w:sz="8" w:color="CFF0FC"/>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net of cost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6,901,348</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(72,617)</w:t>
            </w: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(72,617)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33,883,894</w:t>
            </w:r>
          </w:p>
        </w:tc>
        <w:tc>
          <w:tcPr>
            <w:tcW w:w="120" w:type="dxa"/>
            <w:vAlign w:val="bottom"/>
            <w:tcBorders>
              <w:right w:val="single" w:sz="8" w:color="CFF0FC"/>
            </w:tcBorders>
            <w:shd w:val="clear" w:color="auto" w:fill="CFF0FC"/>
          </w:tcPr>
          <w:p>
            <w:pPr>
              <w:spacing w:after="0"/>
              <w:rPr>
                <w:sz w:val="20"/>
                <w:szCs w:val="20"/>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481,289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(490,831)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(9,533)</w:t>
            </w:r>
          </w:p>
        </w:tc>
        <w:tc>
          <w:tcPr>
            <w:tcW w:w="0" w:type="dxa"/>
            <w:vAlign w:val="bottom"/>
          </w:tcPr>
          <w:p>
            <w:pPr>
              <w:spacing w:after="0"/>
              <w:rPr>
                <w:sz w:val="1"/>
                <w:szCs w:val="1"/>
                <w:color w:val="auto"/>
              </w:rPr>
            </w:pPr>
          </w:p>
        </w:tc>
      </w:tr>
      <w:tr>
        <w:trPr>
          <w:trHeight w:val="183"/>
        </w:trPr>
        <w:tc>
          <w:tcPr>
            <w:tcW w:w="3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2,240,156</w:t>
            </w:r>
          </w:p>
        </w:tc>
        <w:tc>
          <w:tcPr>
            <w:tcW w:w="120" w:type="dxa"/>
            <w:vAlign w:val="bottom"/>
            <w:tcBorders>
              <w:right w:val="single" w:sz="8" w:color="CFF0FC"/>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57,447</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30,913</w:t>
            </w:r>
          </w:p>
        </w:tc>
        <w:tc>
          <w:tcPr>
            <w:tcW w:w="120" w:type="dxa"/>
            <w:vAlign w:val="bottom"/>
            <w:tcBorders>
              <w:right w:val="single" w:sz="8" w:color="CFF0FC"/>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a</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business acquisition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2,672,013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net of cost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4,442,041</w:t>
            </w:r>
          </w:p>
        </w:tc>
        <w:tc>
          <w:tcPr>
            <w:tcW w:w="120" w:type="dxa"/>
            <w:vAlign w:val="bottom"/>
            <w:tcBorders>
              <w:right w:val="single" w:sz="8" w:color="CFF0FC"/>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36,320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2,790,700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46,117,164</w:t>
            </w:r>
          </w:p>
        </w:tc>
        <w:tc>
          <w:tcPr>
            <w:tcW w:w="12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555,451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(480,792)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-1473835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-1456690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-1473835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-1456690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-1473835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-1456690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-1473835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-1456690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-1473835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-1456690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-24765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-8255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right="5680" w:firstLine="8"/>
        <w:spacing w:after="0" w:line="503" w:lineRule="auto"/>
        <w:tabs>
          <w:tab w:leader="none" w:pos="1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Description of the Business</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U.S.-based technology company developing and offering embodied artificial intelligence (“AI”) software and collaborative autonomy solutions, advanced avionics, unmanned aerial vehicles (UAVs), advanced UAV engineering services and precision-manufactured components for defense and commercial/industrial markets. The Company’s core AI software offerings, Palladyne IQ and SwarmOS/Palladyne Pilot, consist of full-stack, closed-loop autonomy software that is intended to enhance the functionality and operational effectiveness of third-party robotic systems across a range of applications. These products are designed to be hardware agnostic, enabling integration across a wide range of robotic platforms, whether third-party or our own proprietary platforms, including industrial robots, collaborative robots (“cobots”), UAVs, unmanned ground vehicles (“UGVs”), and remotely operated vehicles (“ROVs”) across multiple domains.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The consolidated financial statements include the accounts of the Company and its wholly owned subsidiaries. All intercompany accounts and transactions have been eliminated in consolidation. The Company's fiscal year begins on January 1 and ends on December 31.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utilizes the purchase method of accounting for business combinations. This method requires, among other things, that results of operations of acquired companies are included in the Company’s results of operations beginning on the respective acquisition dates and that assets acquired, and liabilities assumed are recognized at fair value as of the acquisition date. Any excess of the fair value of consideration transferred over the fair values of the net assets acquired is recognized as goodwill. Contingent consideration liabilities are recognized at the estimated fair value on the acquisition date and are recorded in other non-current liabilities in the Company's consolidated balance sheets. Subsequent changes to the fair value of contingent consideration liabilities are recognized in general and administrative expenses in the Consolidated Statements of Operations. The fair value of assets acquired, and liabilities assumed in certain cases, may be subject to revision based on the final determination of fair value during a period of time not to exceed 12 months from the acquisition date. Legal costs, due diligence costs, business valuation costs and all other business acquisition costs are expensed when incurred.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These estimates and assumptions affect the reported amounts of assets and liabilities and disclosure of contingent assets and liabilities as of the balance sheet date, as well as reported amounts of revenue and expenses during the reporting period. The Company's most significant estimates and judgments involve contract revenue recognized based on estimates of total contract costs and cost to complete uncompleted contracts, estimates of potential losses on uncompleted contracts, impairment evaluation of contract assets, goodwill and other long lived assets, assumptions used for leases, valuation allowance for net deferred income taxes and valuation of the Company's stock-based compensation, warrants intangible assets and contingent consideration. Management bases its estimates on historical experience and on various other assumptions believed to be reasonable, the results of which form the basis for making judgments about the carrying values of assets and liabilities. Actual results could differ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cash equivalents and marketable securities were $47.1 million as of December 31, 2025, compared to $40.1 million as of December 31, 2024. The Company has incurred losses from operations and negative cash flows from operations since inception and is likely to continue to incur losses and negative cash flows from operations in the near term. As of December 31, 2025, the Company also had an accumulated deficit of approximately $480.8 million and working capital of $46.9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GAAP and on the basis that the Company will continue as a going concern, which contemplates the realization of assets and the satisfaction of liabilities and commitments in the normal course of business. The Company’s main source of liquidity has been cash generated by equity offerings. The Company’s primary use of cash is for operations and administrative activities, including employee-related expenses and general, operating and overhead expenses. Future capital requirements will depend on many factors, including the Company’s timing and extent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jc w:val="both"/>
        <w:spacing w:after="0" w:line="266" w:lineRule="auto"/>
        <w:rPr>
          <w:sz w:val="20"/>
          <w:szCs w:val="20"/>
          <w:color w:val="auto"/>
        </w:rPr>
      </w:pPr>
      <w:r>
        <w:rPr>
          <w:rFonts w:ascii="Times New Roman" w:cs="Times New Roman" w:eastAsia="Times New Roman" w:hAnsi="Times New Roman"/>
          <w:sz w:val="18"/>
          <w:szCs w:val="18"/>
          <w:color w:val="auto"/>
        </w:rPr>
        <w:t>of development efforts, the expansion and success of sales and marketing activities, revenue growth rate, customer retention, the introduction of new and enhanced product offerings and market acceptance of the Company’s products. The Company believes it has sufficient financial resources for at least the next 12 months from the date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marketable securities, accounts receivable and unbilled receivables. The Company's cash is placed with high-credit-quality financial institutions and issuers, and generally exceeds federally insured limits. The Company's cash equivalents and marketable securities are money market funds or U.S. Treasury bills with maturity dates within one year. The Company has not realized any losses relating to its cash, cash equivalents or marketable securities.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five customers accounted for more than 10% of the Company's accounts receivable, which in total represented 78% of the accounts receivable as of December 31, 2025. As of December 31, 2024, three customers accounted for more than 10% of the Company's accounts receivable, which in total represented 100% of the accounts receivable as of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and two customers accounted for more than 10% of the Company's revenue for each of the years ended December 31, 2025 and 2024, respectively. These concentrations accounted for 73% and 98% of revenue for the years ended December 31, 2025 and 2024, respectively. The total amount of revenue for each such customer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A</w:t>
            </w:r>
          </w:p>
        </w:tc>
        <w:tc>
          <w:tcPr>
            <w:tcW w:w="3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100" w:type="dxa"/>
            <w:vAlign w:val="bottom"/>
            <w:shd w:val="clear" w:color="auto" w:fill="CFF0FC"/>
          </w:tcPr>
          <w:p>
            <w:pPr>
              <w:spacing w:after="0"/>
              <w:rPr>
                <w:sz w:val="17"/>
                <w:szCs w:val="17"/>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Customer B</w:t>
            </w:r>
          </w:p>
        </w:tc>
        <w:tc>
          <w:tcPr>
            <w:tcW w:w="3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100" w:type="dxa"/>
            <w:vAlign w:val="bottom"/>
          </w:tcPr>
          <w:p>
            <w:pPr>
              <w:spacing w:after="0"/>
              <w:rPr>
                <w:sz w:val="18"/>
                <w:szCs w:val="18"/>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cash as deposits held in bank accounts and undeposited funds. All highly liquid investments with an original maturity of three months or less at the time of purchase are considered to be cash equivalents. The Company's cash equivalents may be comprised of money market funds, certificates of deposit of major financial institutions and U.S. Treasury bills.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marketable securities consist primarily of U.S. Treasury bills. The Company classifies securities that have effective maturities of greater than three months as marketable securities in its consolidated balance sheets. The Company determines the appropriate classification of its investments in marketable debt securities at the time of purchase and reevaluates such designation at each balance sheet date. The Company's marketable debt securities are classified as available-for-sale. The Company carries the marketable debt securities at fair value, and reports the unrealized gains and losses in accumulated other comprehensive income within the consolidated balance sheets. If the fair value of a marketable debt security declines below its amortized cost basis, any portion of that decline attributable to credit losses, to the extent expected to be nonrecoverable before the sale of the security, is recognized in the consolidated statements of operations. There were no allowances for credit losses related to marketable debt securities recorded during the twelve months ended December 31, 2025 and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Receivables are recorded at the amount the Company expects to collect. Management determines the need for an allowance for credit losses using a specific identification method after taking into account all of its remedies for collection. Management determined no allowance for credit losses was necessary during the twelve months ended December 31, 2025. Management recorded $0.3 million allowance for credit losses during the twelve of December 31, 2024. Receivables are comprised of amounts invoiced for completed contracts and contracts in progress.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primarily consist of raw materials, work-in-process and finished goods. Inventories are stated at the lower of cost or estimated net realizable value. Costs are computed on the first-in, first-out basis and include material, labor and manufacturing overhead. Adjustments are also made to reduce the value of inventory for estimated excess or obsolete balance by evaluating inventory against forecasted revenue and production requirements.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is carried at acquisition cost less accumulated depreciation. Depreciation is computed using the straight-line method based on the estimated useful lives of the related assets. The estimated useful lives by asset classification are generally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5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19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Robotics and manufacturing equipment</w:t>
            </w:r>
          </w:p>
        </w:tc>
        <w:tc>
          <w:tcPr>
            <w:tcW w:w="5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 – 10 years</w:t>
            </w: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 years</w:t>
            </w:r>
          </w:p>
        </w:tc>
      </w:tr>
      <w:tr>
        <w:trPr>
          <w:trHeight w:val="20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Software</w:t>
            </w:r>
          </w:p>
        </w:tc>
        <w:tc>
          <w:tcPr>
            <w:tcW w:w="2540" w:type="dxa"/>
            <w:vAlign w:val="bottom"/>
            <w:shd w:val="clear" w:color="auto" w:fill="CFF0FC"/>
          </w:tcPr>
          <w:p>
            <w:pPr>
              <w:spacing w:after="0"/>
              <w:rPr>
                <w:sz w:val="17"/>
                <w:szCs w:val="17"/>
                <w:color w:val="auto"/>
              </w:rPr>
            </w:pPr>
          </w:p>
        </w:tc>
        <w:tc>
          <w:tcPr>
            <w:tcW w:w="3040" w:type="dxa"/>
            <w:vAlign w:val="bottom"/>
            <w:shd w:val="clear" w:color="auto" w:fill="CFF0FC"/>
          </w:tcPr>
          <w:p>
            <w:pPr>
              <w:jc w:val="center"/>
              <w:ind w:right="2459"/>
              <w:spacing w:after="0"/>
              <w:rPr>
                <w:sz w:val="20"/>
                <w:szCs w:val="20"/>
                <w:color w:val="auto"/>
              </w:rPr>
            </w:pPr>
            <w:r>
              <w:rPr>
                <w:rFonts w:ascii="Times New Roman" w:cs="Times New Roman" w:eastAsia="Times New Roman" w:hAnsi="Times New Roman"/>
                <w:sz w:val="16"/>
                <w:szCs w:val="16"/>
                <w:color w:val="auto"/>
              </w:rPr>
              <w:t>3 years</w:t>
            </w: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 years</w:t>
            </w:r>
          </w:p>
        </w:tc>
      </w:tr>
      <w:tr>
        <w:trPr>
          <w:trHeight w:val="18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5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Lesser of the useful life or the</w:t>
            </w:r>
          </w:p>
        </w:tc>
      </w:tr>
      <w:tr>
        <w:trPr>
          <w:trHeight w:val="216"/>
        </w:trPr>
        <w:tc>
          <w:tcPr>
            <w:tcW w:w="5660" w:type="dxa"/>
            <w:vAlign w:val="bottom"/>
            <w:shd w:val="clear" w:color="auto" w:fill="CFF0FC"/>
          </w:tcPr>
          <w:p>
            <w:pPr>
              <w:spacing w:after="0"/>
              <w:rPr>
                <w:sz w:val="18"/>
                <w:szCs w:val="18"/>
                <w:color w:val="auto"/>
              </w:rPr>
            </w:pPr>
          </w:p>
        </w:tc>
        <w:tc>
          <w:tcPr>
            <w:tcW w:w="5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remaining term of the lease</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expensed when incurred and betterments that extend the useful lives of property and equipment are capitalized. When assets are retired or disposed, the asset's original cost and related accumulated depreciation are eliminated, and any gain or loss is reflected in the statement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ASC 842, the Company, at the inception of the contract, determines whether a contract is or contains a lease. For leases with terms greater than 12 months, the Company records the related operating or finance right of use asset and lease liability at the present value of unpaid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Company's leases contain rent escalations over the lease term. The Company recognizes expense for operating leases on a straight-line basis over the lease term. The Company's lease agreements contain variable lease payments for common area maintenance, utility, insurance and tax.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its long-lived assets, which includes property and equipment, definite lived intangible assets, and operating lease assets, for indicators of possible impairment when events or changes in circumstances indicate the carrying amount of an asset may not be recoverable. Impairment exists if the carrying amounts of such assets exceed the estimates of future net undiscounted cash flows expected to be generated by such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is initially recorded when the purchase price paid for a business acquisition exceeds the estimated fair value of the net identified tangible and intangible assets acquired. The Company evaluates goodwill at the reporting unit level for impairment annually, or when an indicator of potential impairment exists. The Company has one reporting unit.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the sale of its products and from the delivery of goods and services arising out of its contractual arrangements to provide product development contract services that are funded by the customer.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73" w:name="page74"/>
    <w:bookmarkEnd w:id="73"/>
    <w:p>
      <w:pPr>
        <w:ind w:right="20"/>
        <w:spacing w:after="0" w:line="282" w:lineRule="auto"/>
        <w:rPr>
          <w:sz w:val="20"/>
          <w:szCs w:val="20"/>
          <w:color w:val="auto"/>
        </w:rPr>
      </w:pPr>
      <w:r>
        <w:rPr>
          <w:rFonts w:ascii="Times New Roman" w:cs="Times New Roman" w:eastAsia="Times New Roman" w:hAnsi="Times New Roman"/>
          <w:sz w:val="18"/>
          <w:szCs w:val="18"/>
          <w:color w:val="auto"/>
        </w:rPr>
        <w:t>recognizes revenue when promised goods or services are transferred to customers in an amount that reflects the consideration to which the Company expects to be entitled in exchange for those goods or services by following a five-step process:</w:t>
      </w:r>
    </w:p>
    <w:p>
      <w:pPr>
        <w:spacing w:after="0" w:line="160" w:lineRule="exact"/>
        <w:rPr>
          <w:sz w:val="20"/>
          <w:szCs w:val="20"/>
          <w:color w:val="auto"/>
        </w:rPr>
      </w:pPr>
    </w:p>
    <w:p>
      <w:pPr>
        <w:jc w:val="both"/>
        <w:ind w:left="1020" w:hanging="503"/>
        <w:spacing w:after="0" w:line="256" w:lineRule="auto"/>
        <w:tabs>
          <w:tab w:leader="none" w:pos="102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(a) the Company enters into an enforceable contract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that defines each party's rights and obligations regarding the products and services to be transferred and identifies the payment terms related to these products and services, (b) the contract has commercial substance and (c)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spacing w:after="0" w:line="182" w:lineRule="exact"/>
        <w:rPr>
          <w:rFonts w:ascii="Times New Roman" w:cs="Times New Roman" w:eastAsia="Times New Roman" w:hAnsi="Times New Roman"/>
          <w:sz w:val="18"/>
          <w:szCs w:val="18"/>
          <w:i w:val="1"/>
          <w:iCs w:val="1"/>
          <w:color w:val="auto"/>
        </w:rPr>
      </w:pPr>
    </w:p>
    <w:p>
      <w:pPr>
        <w:jc w:val="both"/>
        <w:ind w:left="1020" w:hanging="503"/>
        <w:spacing w:after="0" w:line="261" w:lineRule="auto"/>
        <w:tabs>
          <w:tab w:leader="none" w:pos="102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 enters into contracts that can include combinations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spacing w:after="0" w:line="179"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the Company has determined the transaction price,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3" w:lineRule="auto"/>
        <w:tabs>
          <w:tab w:leader="none" w:pos="102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r>
        <w:rPr>
          <w:rFonts w:ascii="Times New Roman" w:cs="Times New Roman" w:eastAsia="Times New Roman" w:hAnsi="Times New Roman"/>
          <w:sz w:val="18"/>
          <w:szCs w:val="18"/>
          <w:color w:val="auto"/>
        </w:rPr>
        <w:t>: For each performance obligation identified,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derives its revenue from three sources. First, the Company enters into service contracts to provide research and development, engineering and design services with the government and commercial customers. The Company's research and development contracts with the government are leveraged to further our product development efforts where possible. Service revenue consists of revenue arising from different types of contractual arrangements, including cost-type contracts, fixed-price contracts and time and materials contracts.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Second, the Company sells its products. Product revenue primarily consists of sales of current and legacy hardware products, including the BRAIN family of guidance and navigation computer chips.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Third, the Company generates manufacturing revenue through the sale of precision machined and fabricated components, subassemblies and structures and integrated assembly services for both Defense and Commercial customers in a variety of industries.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the Company's AI/ML, software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technology in the area of robotic platforms. Fixed-price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Time and materials contracts </w:t>
      </w:r>
      <w:r>
        <w:rPr>
          <w:rFonts w:ascii="Times New Roman" w:cs="Times New Roman" w:eastAsia="Times New Roman" w:hAnsi="Times New Roman"/>
          <w:sz w:val="18"/>
          <w:szCs w:val="18"/>
          <w:color w:val="auto"/>
        </w:rPr>
        <w:t>– Time and materials contracts relate primarily to design-to-field advanced engineering design services that take aerospace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from early concept through flight-ready prototype in compressed timelines, while engineering every stage for manufacturability and scale. Revenue on time and materials contracts is generally recognized over time as services are provided and materials are purchased and used in the project.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revenue relates to sales of the Company's commercially available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its precision U.S. manufacturing capabilities, the Company sells precision machined and fabricated components, subassemblies and structures and integrated assembly services to both Defense and Commercial customers. The Companies operations include machining, fabrication and assembly of aerospace and defense components. Manufacturing revenue is recognized at the point in time when ownership of the goods is transferred, generally at the time of shipment to the customer.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The revenue recognized for Services, Product and Manufacturing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Services Revenue</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4,684</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00" w:type="dxa"/>
            <w:vAlign w:val="bottom"/>
          </w:tcPr>
          <w:p>
            <w:pPr>
              <w:spacing w:after="0"/>
              <w:rPr>
                <w:sz w:val="17"/>
                <w:szCs w:val="17"/>
                <w:color w:val="auto"/>
              </w:rPr>
            </w:pPr>
          </w:p>
        </w:tc>
      </w:tr>
      <w:tr>
        <w:trPr>
          <w:trHeight w:val="203"/>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Manufacturing Revenue</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 net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7,786</w:t>
            </w:r>
          </w:p>
        </w:tc>
        <w:tc>
          <w:tcPr>
            <w:tcW w:w="10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 and cash collection results in the recognition of accounts receivable, unbilled receivables, contract assets and deferred revenue in the Company's consolidated balance sheets.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funds received in excess of revenue recognized that is contingent upon the satisfaction of performance obligations is accounted for as deferred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include unbilled receivables which are amounts resulting from timing differences between revenue recognition and billing in accordance with agreed-upon contractual terms, which typically occur subsequent to revenue being recognized.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our accounts receivable, unbilled receivables, contract assets and deferred revenue are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03"/>
        </w:trPr>
        <w:tc>
          <w:tcPr>
            <w:tcW w:w="4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14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Unbilled</w:t>
            </w:r>
          </w:p>
        </w:tc>
        <w:tc>
          <w:tcPr>
            <w:tcW w:w="10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18"/>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8"/>
                <w:szCs w:val="18"/>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as of December 31, 2023</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FF0FC"/>
          </w:tcPr>
          <w:p>
            <w:pPr>
              <w:spacing w:after="0"/>
              <w:rPr>
                <w:sz w:val="17"/>
                <w:szCs w:val="17"/>
                <w:color w:val="auto"/>
              </w:rPr>
            </w:pP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(Decrease)/increase, net</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(421)</w:t>
            </w:r>
          </w:p>
        </w:tc>
        <w:tc>
          <w:tcPr>
            <w:tcW w:w="14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as of December 31, 2024</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FF0FC"/>
          </w:tcPr>
          <w:p>
            <w:pPr>
              <w:spacing w:after="0"/>
              <w:rPr>
                <w:sz w:val="17"/>
                <w:szCs w:val="17"/>
                <w:color w:val="auto"/>
              </w:rPr>
            </w:pP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(Decrease)/increase, net</w:t>
            </w:r>
          </w:p>
        </w:tc>
        <w:tc>
          <w:tcPr>
            <w:tcW w:w="1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as of December 31, 2025</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FF0FC"/>
          </w:tcPr>
          <w:p>
            <w:pPr>
              <w:spacing w:after="0"/>
              <w:rPr>
                <w:sz w:val="18"/>
                <w:szCs w:val="18"/>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its current contract assets, long-term contract assets and current deferred revenue within prepaid expenses and other current assets, other non-current assets and accrued liabilities, respectively. During the years ended December 31, 2025 and 2024, the Company recognized all of the deferred revenue which existed at December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backlog, or revenue related to remaining performance obligations, of $13.9 million. The Company expects most of this backlog to be recognized over the next 12 months. The Company's backlog represents the expected value of exercised contracts, both funded and unfunded, less revenue recognized to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02" w:lineRule="exact"/>
        <w:rPr>
          <w:sz w:val="20"/>
          <w:szCs w:val="20"/>
          <w:color w:val="auto"/>
        </w:rPr>
      </w:pPr>
    </w:p>
    <w:p>
      <w:pPr>
        <w:ind w:right="1780"/>
        <w:spacing w:after="0" w:line="453" w:lineRule="auto"/>
        <w:rPr>
          <w:sz w:val="20"/>
          <w:szCs w:val="20"/>
          <w:color w:val="auto"/>
        </w:rPr>
      </w:pPr>
      <w:r>
        <w:rPr>
          <w:rFonts w:ascii="Times New Roman" w:cs="Times New Roman" w:eastAsia="Times New Roman" w:hAnsi="Times New Roman"/>
          <w:sz w:val="18"/>
          <w:szCs w:val="18"/>
          <w:color w:val="auto"/>
        </w:rPr>
        <w:t xml:space="preserve">Research and development expenses consist of costs incurred for experimentation, design and testing and are expensed as incurred. </w:t>
      </w:r>
      <w:r>
        <w:rPr>
          <w:rFonts w:ascii="Times New Roman" w:cs="Times New Roman" w:eastAsia="Times New Roman" w:hAnsi="Times New Roman"/>
          <w:sz w:val="18"/>
          <w:szCs w:val="18"/>
          <w:b w:val="1"/>
          <w:bCs w:val="1"/>
          <w:color w:val="auto"/>
        </w:rPr>
        <w:t>Sales and Marketing Costs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costs include product demonstration, customer service, lead generation, public relations, market research and internal labor, and are expensed as incurred.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calculates the fair value of all stock-based awards, including stock options, restricted stock units and restricted stock awards on the date of grant. The Company values stock options using the Black-Scholes option-pricing model, which requires the use of a number of assumptions, including expected volatility, expected life, risk-free interest rate and expected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spacing w:after="0" w:line="282" w:lineRule="auto"/>
        <w:rPr>
          <w:sz w:val="20"/>
          <w:szCs w:val="20"/>
          <w:color w:val="auto"/>
        </w:rPr>
      </w:pPr>
      <w:r>
        <w:rPr>
          <w:rFonts w:ascii="Times New Roman" w:cs="Times New Roman" w:eastAsia="Times New Roman" w:hAnsi="Times New Roman"/>
          <w:sz w:val="18"/>
          <w:szCs w:val="18"/>
          <w:color w:val="auto"/>
        </w:rPr>
        <w:t>dividends. The stock-based compensation expense is recognized on a straight-line basis over the requisite service periods of the awards, which is generally four years. The Company records forfeitures as they occur.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income taxes related primarily to differences between the tax bases and financial reporting bases of assets and liabilities. Deferred income taxes represent future tax consequences of those differences, which will either be taxable or deductible when the assets and liabilities are recovered or settled. The Company determines its valuation allowance on deferred tax assets by considering both positive and negative evidence, including its operating results, ongoing tax planning and forecasts of future taxable income on a jurisdiction-by-jurisdiction basis, to ascertain whether it is more likely than not that deferred tax assets will be realized. If the Company determines that it would be able to realize its deferred income tax assets in the future in excess of their net recorded amount, it would make an adjustment to the valuation allowance, which would reduce the provision for income taxes. Conversely, if all or part of the net deferred tax assets are determined not to be realizable in the future, an adjustment to the valuation allowance would be charged to earnings in the period such determination is made.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Improvements to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The Company adopted ASU 2023-09 during the year ended December 31, 2025, on a prospective basis. Adoption of this standard resulted in changes to the effective tax rate reconciliation as reflected in </w:t>
      </w:r>
      <w:r>
        <w:rPr>
          <w:rFonts w:ascii="Times New Roman" w:cs="Times New Roman" w:eastAsia="Times New Roman" w:hAnsi="Times New Roman"/>
          <w:sz w:val="18"/>
          <w:szCs w:val="18"/>
          <w:i w:val="1"/>
          <w:iCs w:val="1"/>
          <w:color w:val="auto"/>
        </w:rPr>
        <w:t>Note 12, Income Taxes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1—Fair value is based on observable inputs such as quoted prices for identical assets or liabilities in active markets.</w:t>
      </w:r>
    </w:p>
    <w:p>
      <w:pPr>
        <w:spacing w:after="0" w:line="225"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62"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recurring basis, the Company measures certain of its financial assets and liabilities at fair value. The fair value of the Company's financial assets and liabilities measured at fair value on a recurring basis was determined using the following inputs: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100" w:type="dxa"/>
            <w:vAlign w:val="bottom"/>
            <w:shd w:val="clear" w:color="auto" w:fill="CFF0FC"/>
          </w:tcPr>
          <w:p>
            <w:pPr>
              <w:spacing w:after="0"/>
              <w:rPr>
                <w:sz w:val="17"/>
                <w:szCs w:val="17"/>
                <w:color w:val="auto"/>
              </w:rPr>
            </w:pPr>
          </w:p>
        </w:tc>
      </w:tr>
      <w:tr>
        <w:trPr>
          <w:trHeight w:val="19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9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28,836</w:t>
            </w:r>
          </w:p>
        </w:tc>
        <w:tc>
          <w:tcPr>
            <w:tcW w:w="100" w:type="dxa"/>
            <w:vAlign w:val="bottom"/>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8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2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17"/>
                <w:szCs w:val="17"/>
                <w:color w:val="auto"/>
              </w:rPr>
            </w:pPr>
          </w:p>
        </w:tc>
      </w:tr>
      <w:tr>
        <w:trPr>
          <w:trHeight w:val="203"/>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tcPr>
          <w:p>
            <w:pPr>
              <w:spacing w:after="0"/>
              <w:rPr>
                <w:sz w:val="17"/>
                <w:szCs w:val="17"/>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1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00" w:type="dxa"/>
            <w:vAlign w:val="bottom"/>
            <w:shd w:val="clear" w:color="auto" w:fill="CFF0FC"/>
          </w:tcPr>
          <w:p>
            <w:pPr>
              <w:spacing w:after="0"/>
              <w:rPr>
                <w:sz w:val="18"/>
                <w:szCs w:val="18"/>
                <w:color w:val="auto"/>
              </w:rPr>
            </w:pPr>
          </w:p>
        </w:tc>
      </w:tr>
      <w:tr>
        <w:trPr>
          <w:trHeight w:val="20"/>
        </w:trPr>
        <w:tc>
          <w:tcPr>
            <w:tcW w:w="384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12,927</w:t>
            </w:r>
          </w:p>
        </w:tc>
        <w:tc>
          <w:tcPr>
            <w:tcW w:w="100" w:type="dxa"/>
            <w:vAlign w:val="bottom"/>
            <w:shd w:val="clear" w:color="auto" w:fill="CFF0FC"/>
          </w:tcPr>
          <w:p>
            <w:pPr>
              <w:spacing w:after="0"/>
              <w:rPr>
                <w:sz w:val="17"/>
                <w:szCs w:val="17"/>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21,810</w:t>
            </w:r>
          </w:p>
        </w:tc>
        <w:tc>
          <w:tcPr>
            <w:tcW w:w="100" w:type="dxa"/>
            <w:vAlign w:val="bottom"/>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7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51,396</w:t>
            </w:r>
          </w:p>
        </w:tc>
        <w:tc>
          <w:tcPr>
            <w:tcW w:w="100" w:type="dxa"/>
            <w:vAlign w:val="bottom"/>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51,396</w:t>
            </w:r>
          </w:p>
        </w:tc>
        <w:tc>
          <w:tcPr>
            <w:tcW w:w="100" w:type="dxa"/>
            <w:vAlign w:val="bottom"/>
            <w:shd w:val="clear" w:color="auto" w:fill="CFF0FC"/>
          </w:tcPr>
          <w:p>
            <w:pPr>
              <w:spacing w:after="0"/>
              <w:rPr>
                <w:sz w:val="18"/>
                <w:szCs w:val="18"/>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-719455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-719455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2025, the Company held $28.8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receivable, unbilled receivables, accounts payable and accrued expenses approximate their fair values because of the relatively short periods until they are required to be settled. The contingent consideration relates to the acquisition of GuideTech during 2025, as discussed in </w:t>
      </w:r>
      <w:r>
        <w:rPr>
          <w:rFonts w:ascii="Times New Roman" w:cs="Times New Roman" w:eastAsia="Times New Roman" w:hAnsi="Times New Roman"/>
          <w:sz w:val="18"/>
          <w:szCs w:val="18"/>
          <w:i w:val="1"/>
          <w:iCs w:val="1"/>
          <w:color w:val="auto"/>
        </w:rPr>
        <w:t>Note 5, Acquisitions.</w:t>
      </w:r>
      <w:r>
        <w:rPr>
          <w:rFonts w:ascii="Times New Roman" w:cs="Times New Roman" w:eastAsia="Times New Roman" w:hAnsi="Times New Roman"/>
          <w:sz w:val="18"/>
          <w:szCs w:val="18"/>
          <w:color w:val="auto"/>
        </w:rPr>
        <w:t xml:space="preserve"> The contingent consideration was initially valued as of November 14, 2025, the acquisition date, and will be remeasured at fair value at each reporting date, or more frequently, if events or changes in circumstances indicate that a remeasurement is warranted. The valuation of the contingent consideration requires the use of a valuation model and assumptions such as projected cash flows and discount rates.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from the opening balances to the closing balances for the Company's Level 3 warrant values: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4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Warrants</w:t>
            </w:r>
          </w:p>
        </w:tc>
      </w:tr>
      <w:tr>
        <w:trPr>
          <w:trHeight w:val="205"/>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of warrants</w:t>
            </w:r>
          </w:p>
        </w:tc>
        <w:tc>
          <w:tcPr>
            <w:tcW w:w="34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(23,240)</w:t>
            </w:r>
          </w:p>
        </w:tc>
      </w:tr>
      <w:tr>
        <w:trPr>
          <w:trHeight w:val="203"/>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Exercise of warrants</w:t>
            </w:r>
          </w:p>
        </w:tc>
        <w:tc>
          <w:tcPr>
            <w:tcW w:w="3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(10,884)</w:t>
            </w:r>
          </w:p>
        </w:tc>
      </w:tr>
      <w:tr>
        <w:trPr>
          <w:trHeight w:val="196"/>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Borders>
              <w:top w:val="single" w:sz="8" w:color="CFF0FC"/>
            </w:tcBorders>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 net</w:t>
            </w: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inventories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Robotics and manufacturing equipment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Financed lease robotics and manufacturing equipment</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Land and building</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 and other fixed assets</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8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12,689</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7,258</w:t>
            </w:r>
          </w:p>
        </w:tc>
        <w:tc>
          <w:tcPr>
            <w:tcW w:w="100" w:type="dxa"/>
            <w:vAlign w:val="bottom"/>
            <w:tcBorders>
              <w:top w:val="single" w:sz="8" w:color="CFF0FC"/>
            </w:tcBorders>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(3,800)</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(3,014)</w:t>
            </w:r>
          </w:p>
        </w:tc>
      </w:tr>
      <w:tr>
        <w:trPr>
          <w:trHeight w:val="196"/>
        </w:trPr>
        <w:tc>
          <w:tcPr>
            <w:tcW w:w="78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tcBorders>
              <w:top w:val="single" w:sz="8" w:color="CFF0FC"/>
            </w:tcBorders>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-427990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expenses were $1.0 million for the year ended December 31, 2025. Depreciation expenses were $0.8 million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Payroll and related costs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Legal services accrual</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Other contract liabilities</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7"/>
                <w:szCs w:val="17"/>
                <w:color w:val="auto"/>
              </w:rPr>
            </w:pPr>
          </w:p>
        </w:tc>
      </w:tr>
      <w:tr>
        <w:trPr>
          <w:trHeight w:val="203"/>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w:t>
            </w:r>
          </w:p>
        </w:tc>
        <w:tc>
          <w:tcPr>
            <w:tcW w:w="2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Equipment financing liabilities</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50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7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FF0FC"/>
          </w:tcPr>
          <w:p>
            <w:pPr>
              <w:ind w:left="12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operating and finance leases for office space, lab space, machining and certain equipment with varying expiration dates through 2035. Leases are categorized at their commencement date, which is the date the Company takes possession or control of the underlying asset. Certain of the operating leases include renewal options ranging from three to ten years, which are not recognized as part of the right-of-use assets as the Company is not reasonably certain that the options will be exercised.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costs for operating leases are as follows (finance lease costs were not material for the periods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35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00" w:type="dxa"/>
            <w:vAlign w:val="bottom"/>
            <w:shd w:val="clear" w:color="auto" w:fill="CFF0FC"/>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3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7"/>
                <w:szCs w:val="17"/>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lease cost</w:t>
            </w:r>
          </w:p>
        </w:tc>
        <w:tc>
          <w:tcPr>
            <w:tcW w:w="3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shd w:val="clear" w:color="auto" w:fill="CFF0FC"/>
          </w:tcPr>
          <w:p>
            <w:pPr>
              <w:spacing w:after="0"/>
              <w:rPr>
                <w:sz w:val="18"/>
                <w:szCs w:val="18"/>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3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lease term and discount rate assumptions: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7600" w:type="dxa"/>
            <w:vAlign w:val="bottom"/>
          </w:tcPr>
          <w:p>
            <w:pPr>
              <w:spacing w:after="0"/>
              <w:rPr>
                <w:sz w:val="17"/>
                <w:szCs w:val="17"/>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8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7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Finance leases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7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Operating leases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tcPr>
          <w:p>
            <w:pPr>
              <w:spacing w:after="0"/>
              <w:rPr>
                <w:sz w:val="17"/>
                <w:szCs w:val="17"/>
                <w:color w:val="auto"/>
              </w:rPr>
            </w:pPr>
          </w:p>
        </w:tc>
      </w:tr>
      <w:tr>
        <w:trPr>
          <w:trHeight w:val="203"/>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87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Finance leases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10.8%</w:t>
            </w:r>
          </w:p>
        </w:tc>
        <w:tc>
          <w:tcPr>
            <w:tcW w:w="11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7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leases</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11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r>
      <w:tr>
        <w:trPr>
          <w:trHeight w:val="43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0" w:type="dxa"/>
            <w:vAlign w:val="bottom"/>
          </w:tcPr>
          <w:p>
            <w:pPr>
              <w:ind w:left="16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40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00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Operating lease assets</w:t>
            </w: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8,645</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8,841</w:t>
            </w:r>
          </w:p>
        </w:tc>
        <w:tc>
          <w:tcPr>
            <w:tcW w:w="100" w:type="dxa"/>
            <w:vAlign w:val="bottom"/>
            <w:shd w:val="clear" w:color="auto" w:fill="CFF0FC"/>
          </w:tcPr>
          <w:p>
            <w:pPr>
              <w:spacing w:after="0"/>
              <w:rPr>
                <w:sz w:val="17"/>
                <w:szCs w:val="17"/>
                <w:color w:val="auto"/>
              </w:rPr>
            </w:pPr>
          </w:p>
        </w:tc>
      </w:tr>
      <w:tr>
        <w:trPr>
          <w:trHeight w:val="202"/>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Financing lease liabilities (current)</w:t>
            </w:r>
          </w:p>
        </w:tc>
        <w:tc>
          <w:tcPr>
            <w:tcW w:w="400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Accrued liabilities</w:t>
            </w: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40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17"/>
                <w:szCs w:val="17"/>
                <w:color w:val="auto"/>
              </w:rPr>
            </w:pPr>
          </w:p>
        </w:tc>
      </w:tr>
      <w:tr>
        <w:trPr>
          <w:trHeight w:val="203"/>
        </w:trPr>
        <w:tc>
          <w:tcPr>
            <w:tcW w:w="3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Financing lease liabilities (non-current)</w:t>
            </w:r>
          </w:p>
        </w:tc>
        <w:tc>
          <w:tcPr>
            <w:tcW w:w="400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40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9,957</w:t>
            </w:r>
          </w:p>
        </w:tc>
        <w:tc>
          <w:tcPr>
            <w:tcW w:w="100" w:type="dxa"/>
            <w:vAlign w:val="bottom"/>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leases: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amounts included in measurement of liabilities:</w:t>
            </w:r>
          </w:p>
        </w:tc>
        <w:tc>
          <w:tcPr>
            <w:tcW w:w="186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5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2920" w:type="dxa"/>
            <w:vAlign w:val="bottom"/>
            <w:gridSpan w:val="2"/>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34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Undiscounted future minimum lease payments (displayed by year and in the aggregate) under noncancelable operating leases with terms of more than one year, as of December 31, 2025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20" w:type="dxa"/>
            <w:vAlign w:val="bottom"/>
          </w:tcPr>
          <w:p>
            <w:pPr>
              <w:spacing w:after="0"/>
              <w:rPr>
                <w:sz w:val="18"/>
                <w:szCs w:val="18"/>
                <w:color w:val="auto"/>
              </w:rPr>
            </w:pPr>
          </w:p>
        </w:tc>
      </w:tr>
      <w:tr>
        <w:trPr>
          <w:trHeight w:val="19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2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12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2031 and thereafter</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4,847</w:t>
            </w:r>
          </w:p>
        </w:tc>
        <w:tc>
          <w:tcPr>
            <w:tcW w:w="120" w:type="dxa"/>
            <w:vAlign w:val="bottom"/>
          </w:tcPr>
          <w:p>
            <w:pPr>
              <w:spacing w:after="0"/>
              <w:rPr>
                <w:sz w:val="17"/>
                <w:szCs w:val="17"/>
                <w:color w:val="auto"/>
              </w:rPr>
            </w:pPr>
          </w:p>
        </w:tc>
      </w:tr>
      <w:tr>
        <w:trPr>
          <w:trHeight w:val="19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lease payments</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13,373</w:t>
            </w:r>
          </w:p>
        </w:tc>
        <w:tc>
          <w:tcPr>
            <w:tcW w:w="12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20" w:type="dxa"/>
            <w:vAlign w:val="bottom"/>
          </w:tcPr>
          <w:p>
            <w:pPr>
              <w:spacing w:after="0"/>
              <w:rPr>
                <w:sz w:val="17"/>
                <w:szCs w:val="17"/>
                <w:color w:val="auto"/>
              </w:rPr>
            </w:pPr>
          </w:p>
        </w:tc>
      </w:tr>
      <w:tr>
        <w:trPr>
          <w:trHeight w:val="236"/>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14, 2025, the Company acquired 100 percent of the equity interests of GuideTech, LLC (“GuideTech”), Warnke Precision Machining, LLC (“Warnke Precision Machining”) and MKR Fabrication, LLC (“MKR Fabricators”). These transactions (collectively, the “2025 Acquisitions”) were undertaken pursuant to separate purchase agreements entered into on November 14,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GuideTech is an engineering and aerospace avionics products and services provider. MKR Fabricators and Warnke Precision Machining are U.S.-based precision manufacturing and fabrication businesses supporting defense and industrial customers. Through the 2025 Acquisitions, the Company acquired engineering design services, advanced avionics products and manufacturing and machining capabilities to complement its AI/ML Foundational Technology and related products and offer vertically integrated solutions for defense and commercial markets.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consideration transferred for the 2025 Acquisitions was $22.6 million, consisting of $5.4 million of cash, $15.9 million comprised of 2,672,013 shares of common stock, and contingent consideration valued at $1.4 million. The contingent consideration arrangement provides for up to $25 million in earnout payments payable in cash or stock if certain revenue targets are achieved over a five-year period.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2025 Acquisitions have been accounted for as business combinations and the total purchase consideration was allocated to the net tangible and intangible assets and liabilities based on their fair values on the acquisition date and the excess was recorded as goodwill. The values assigned to the assets acquired and liabilities assumed are based on preliminary estimates of fair value available as of the issuance date of these consolidated financial statements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 or identified intangible assets. As of December 31, 2025, the primary areas that remain preliminary relate to the valuation of certain intangible items and various tax implications resulting from the acquisition.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preliminary purchase consideration allocation recorded in the Company’s consolidated balance sheet as of the acquisition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Borders>
              <w:top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10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10,548</w:t>
            </w:r>
          </w:p>
        </w:tc>
        <w:tc>
          <w:tcPr>
            <w:tcW w:w="100" w:type="dxa"/>
            <w:vAlign w:val="bottom"/>
            <w:shd w:val="clear" w:color="auto" w:fill="CFF0FC"/>
          </w:tcPr>
          <w:p>
            <w:pPr>
              <w:spacing w:after="0"/>
              <w:rPr>
                <w:sz w:val="17"/>
                <w:szCs w:val="17"/>
                <w:color w:val="auto"/>
              </w:rPr>
            </w:pPr>
          </w:p>
        </w:tc>
      </w:tr>
      <w:tr>
        <w:trPr>
          <w:trHeight w:val="202"/>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14,731</w:t>
            </w:r>
          </w:p>
        </w:tc>
        <w:tc>
          <w:tcPr>
            <w:tcW w:w="100" w:type="dxa"/>
            <w:vAlign w:val="bottom"/>
          </w:tcPr>
          <w:p>
            <w:pPr>
              <w:spacing w:after="0"/>
              <w:rPr>
                <w:sz w:val="17"/>
                <w:szCs w:val="17"/>
                <w:color w:val="auto"/>
              </w:rPr>
            </w:pP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3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(1,331)</w:t>
            </w: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3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(1,455)</w:t>
            </w: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(773)</w:t>
            </w:r>
          </w:p>
        </w:tc>
      </w:tr>
      <w:tr>
        <w:trPr>
          <w:trHeight w:val="203"/>
        </w:trPr>
        <w:tc>
          <w:tcPr>
            <w:tcW w:w="92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Other non-current liabilities </w:t>
            </w:r>
            <w:r>
              <w:rPr>
                <w:rFonts w:ascii="Times New Roman" w:cs="Times New Roman" w:eastAsia="Times New Roman" w:hAnsi="Times New Roman"/>
                <w:sz w:val="21"/>
                <w:szCs w:val="21"/>
                <w:color w:val="auto"/>
                <w:vertAlign w:val="superscript"/>
              </w:rPr>
              <w:t>(1)</w:t>
            </w:r>
          </w:p>
        </w:tc>
        <w:tc>
          <w:tcPr>
            <w:tcW w:w="3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(5,093)</w:t>
            </w:r>
          </w:p>
        </w:tc>
      </w:tr>
      <w:tr>
        <w:trPr>
          <w:trHeight w:val="203"/>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3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(2,541)</w:t>
            </w:r>
          </w:p>
        </w:tc>
      </w:tr>
      <w:tr>
        <w:trPr>
          <w:trHeight w:val="196"/>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Total acquisition consideration</w:t>
            </w: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100" w:type="dxa"/>
            <w:vAlign w:val="bottom"/>
            <w:tcBorders>
              <w:top w:val="single" w:sz="8" w:color="CFF0FC"/>
            </w:tcBorders>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liabilities includes $3.7 million of debt obligations which were repaid prior to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4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2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02"/>
        </w:trPr>
        <w:tc>
          <w:tcPr>
            <w:tcW w:w="4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00" w:type="dxa"/>
            <w:vAlign w:val="bottom"/>
          </w:tcPr>
          <w:p>
            <w:pPr>
              <w:spacing w:after="0"/>
              <w:rPr>
                <w:sz w:val="17"/>
                <w:szCs w:val="17"/>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32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FF0FC"/>
          </w:tcPr>
          <w:p>
            <w:pPr>
              <w:spacing w:after="0"/>
              <w:rPr>
                <w:sz w:val="17"/>
                <w:szCs w:val="17"/>
                <w:color w:val="auto"/>
              </w:rPr>
            </w:pP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7"/>
                <w:szCs w:val="17"/>
                <w:color w:val="auto"/>
              </w:rPr>
            </w:pPr>
          </w:p>
        </w:tc>
      </w:tr>
      <w:tr>
        <w:trPr>
          <w:trHeight w:val="20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Tradename</w:t>
            </w:r>
          </w:p>
        </w:tc>
        <w:tc>
          <w:tcPr>
            <w:tcW w:w="3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17"/>
                <w:szCs w:val="17"/>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Non-compete</w:t>
            </w:r>
          </w:p>
        </w:tc>
        <w:tc>
          <w:tcPr>
            <w:tcW w:w="3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r>
      <w:tr>
        <w:trPr>
          <w:trHeight w:val="236"/>
        </w:trPr>
        <w:tc>
          <w:tcPr>
            <w:tcW w:w="4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intangible assets</w:t>
            </w:r>
          </w:p>
        </w:tc>
        <w:tc>
          <w:tcPr>
            <w:tcW w:w="30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10,548</w:t>
            </w:r>
          </w:p>
        </w:tc>
        <w:tc>
          <w:tcPr>
            <w:tcW w:w="1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other assets that could not be individually identified and separately recognized, such as the acquired assembled workforce and synergies expected to be achieved from the integration of the 2025 Acquisitions. Goodwill is not deductible for tax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of the 2025 Acquisitions from the date of acquisition have been included in the Company’s consolidated financial statements. Pro forma revenue and results of operations have not been presented because the historical results of the 2025 Acquisitions are not material to the Company’s consolidated financial statements in any period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6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96"/>
        </w:trPr>
        <w:tc>
          <w:tcPr>
            <w:tcW w:w="9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36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Borders>
              <w:bottom w:val="single" w:sz="8" w:color="CFF0FC"/>
            </w:tcBorders>
          </w:tcPr>
          <w:p>
            <w:pPr>
              <w:ind w:left="40"/>
              <w:spacing w:after="0"/>
              <w:rPr>
                <w:sz w:val="20"/>
                <w:szCs w:val="20"/>
                <w:color w:val="auto"/>
              </w:rPr>
            </w:pPr>
            <w:r>
              <w:rPr>
                <w:rFonts w:ascii="Times New Roman" w:cs="Times New Roman" w:eastAsia="Times New Roman" w:hAnsi="Times New Roman"/>
                <w:sz w:val="16"/>
                <w:szCs w:val="16"/>
                <w:color w:val="auto"/>
              </w:rPr>
              <w:t>Acquisition</w:t>
            </w: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14,731</w:t>
            </w:r>
          </w:p>
        </w:tc>
        <w:tc>
          <w:tcPr>
            <w:tcW w:w="100" w:type="dxa"/>
            <w:vAlign w:val="bottom"/>
            <w:tcBorders>
              <w:bottom w:val="single" w:sz="8" w:color="CFF0FC"/>
            </w:tcBorders>
          </w:tcPr>
          <w:p>
            <w:pPr>
              <w:spacing w:after="0"/>
              <w:rPr>
                <w:sz w:val="17"/>
                <w:szCs w:val="17"/>
                <w:color w:val="auto"/>
              </w:rPr>
            </w:pPr>
          </w:p>
        </w:tc>
      </w:tr>
      <w:tr>
        <w:trPr>
          <w:trHeight w:val="236"/>
        </w:trPr>
        <w:tc>
          <w:tcPr>
            <w:tcW w:w="92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1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There was no impairment of goodwill recorded during the twelve months ended December 31, 2025 and 2024.</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2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9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Acquired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net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5"/>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00" w:type="dxa"/>
            <w:vAlign w:val="bottom"/>
          </w:tcPr>
          <w:p>
            <w:pPr>
              <w:spacing w:after="0"/>
              <w:rPr>
                <w:sz w:val="16"/>
                <w:szCs w:val="16"/>
                <w:color w:val="auto"/>
              </w:rPr>
            </w:pPr>
          </w:p>
        </w:tc>
      </w:tr>
      <w:tr>
        <w:trPr>
          <w:trHeight w:val="203"/>
        </w:trPr>
        <w:tc>
          <w:tcPr>
            <w:tcW w:w="2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Remaining Useful Life</w:t>
            </w:r>
          </w:p>
        </w:tc>
      </w:tr>
      <w:tr>
        <w:trPr>
          <w:trHeight w:val="218"/>
        </w:trPr>
        <w:tc>
          <w:tcPr>
            <w:tcW w:w="2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60" w:type="dxa"/>
            <w:vAlign w:val="bottom"/>
          </w:tcPr>
          <w:p>
            <w:pPr>
              <w:spacing w:after="0"/>
              <w:rPr>
                <w:sz w:val="18"/>
                <w:szCs w:val="18"/>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Carrying Amount</w:t>
            </w:r>
          </w:p>
        </w:tc>
        <w:tc>
          <w:tcPr>
            <w:tcW w:w="26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8"/>
                <w:szCs w:val="18"/>
                <w:color w:val="auto"/>
              </w:rPr>
            </w:pPr>
          </w:p>
        </w:tc>
      </w:tr>
      <w:tr>
        <w:trPr>
          <w:trHeight w:val="19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660" w:type="dxa"/>
            <w:vAlign w:val="bottom"/>
            <w:gridSpan w:val="2"/>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700" w:type="dxa"/>
            <w:vAlign w:val="bottom"/>
            <w:gridSpan w:val="2"/>
            <w:shd w:val="clear" w:color="auto" w:fill="CFF0FC"/>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5,095</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FF0FC"/>
          </w:tcPr>
          <w:p>
            <w:pPr>
              <w:spacing w:after="0"/>
              <w:rPr>
                <w:sz w:val="17"/>
                <w:szCs w:val="17"/>
                <w:color w:val="auto"/>
              </w:rPr>
            </w:pP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7"/>
                <w:szCs w:val="17"/>
                <w:color w:val="auto"/>
              </w:rPr>
            </w:pPr>
          </w:p>
        </w:tc>
      </w:tr>
      <w:tr>
        <w:trPr>
          <w:trHeight w:val="20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Tradename</w:t>
            </w: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FF0FC"/>
          </w:tcPr>
          <w:p>
            <w:pPr>
              <w:spacing w:after="0"/>
              <w:rPr>
                <w:sz w:val="17"/>
                <w:szCs w:val="17"/>
                <w:color w:val="auto"/>
              </w:rPr>
            </w:pPr>
          </w:p>
        </w:tc>
      </w:tr>
      <w:tr>
        <w:trPr>
          <w:trHeight w:val="203"/>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Non-compete</w:t>
            </w:r>
          </w:p>
        </w:tc>
        <w:tc>
          <w:tcPr>
            <w:tcW w:w="9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6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r>
      <w:tr>
        <w:trPr>
          <w:trHeight w:val="236"/>
        </w:trPr>
        <w:tc>
          <w:tcPr>
            <w:tcW w:w="2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10,548</w:t>
            </w:r>
          </w:p>
        </w:tc>
        <w:tc>
          <w:tcPr>
            <w:tcW w:w="26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127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10,430</w:t>
            </w:r>
          </w:p>
        </w:tc>
        <w:tc>
          <w:tcPr>
            <w:tcW w:w="22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$0.1 million of amortization expense during the year ended December 31, 2025, which was recorded as intangible amortization expense in the consolidated statement of operations. The Company had no intangible amortization expense during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future amortization expense related to acquired intangible assets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Amortization Expense</w:t>
            </w:r>
          </w:p>
        </w:tc>
        <w:tc>
          <w:tcPr>
            <w:tcW w:w="120" w:type="dxa"/>
            <w:vAlign w:val="bottom"/>
          </w:tcPr>
          <w:p>
            <w:pPr>
              <w:spacing w:after="0"/>
              <w:rPr>
                <w:sz w:val="18"/>
                <w:szCs w:val="18"/>
                <w:color w:val="auto"/>
              </w:rPr>
            </w:pPr>
          </w:p>
        </w:tc>
      </w:tr>
      <w:tr>
        <w:trPr>
          <w:trHeight w:val="19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4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tcPr>
          <w:p>
            <w:pPr>
              <w:spacing w:after="0"/>
              <w:rPr>
                <w:sz w:val="17"/>
                <w:szCs w:val="17"/>
                <w:color w:val="auto"/>
              </w:rPr>
            </w:pPr>
          </w:p>
        </w:tc>
      </w:tr>
      <w:tr>
        <w:trPr>
          <w:trHeight w:val="20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3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tcPr>
          <w:p>
            <w:pPr>
              <w:spacing w:after="0"/>
              <w:rPr>
                <w:sz w:val="17"/>
                <w:szCs w:val="17"/>
                <w:color w:val="auto"/>
              </w:rPr>
            </w:pPr>
          </w:p>
        </w:tc>
      </w:tr>
      <w:tr>
        <w:trPr>
          <w:trHeight w:val="202"/>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3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shd w:val="clear" w:color="auto" w:fill="CFF0FC"/>
          </w:tcPr>
          <w:p>
            <w:pPr>
              <w:spacing w:after="0"/>
              <w:rPr>
                <w:sz w:val="17"/>
                <w:szCs w:val="17"/>
                <w:color w:val="auto"/>
              </w:rPr>
            </w:pPr>
          </w:p>
        </w:tc>
      </w:tr>
      <w:tr>
        <w:trPr>
          <w:trHeight w:val="20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2031 and thereafter</w:t>
            </w:r>
          </w:p>
        </w:tc>
        <w:tc>
          <w:tcPr>
            <w:tcW w:w="3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120" w:type="dxa"/>
            <w:vAlign w:val="bottom"/>
          </w:tcPr>
          <w:p>
            <w:pPr>
              <w:spacing w:after="0"/>
              <w:rPr>
                <w:sz w:val="17"/>
                <w:szCs w:val="17"/>
                <w:color w:val="auto"/>
              </w:rPr>
            </w:pPr>
          </w:p>
        </w:tc>
      </w:tr>
      <w:tr>
        <w:trPr>
          <w:trHeight w:val="216"/>
        </w:trPr>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4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10,430</w:t>
            </w:r>
          </w:p>
        </w:tc>
        <w:tc>
          <w:tcPr>
            <w:tcW w:w="120" w:type="dxa"/>
            <w:vAlign w:val="bottom"/>
            <w:shd w:val="clear" w:color="auto" w:fill="CFF0FC"/>
          </w:tcPr>
          <w:p>
            <w:pPr>
              <w:spacing w:after="0"/>
              <w:rPr>
                <w:sz w:val="18"/>
                <w:szCs w:val="18"/>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Earn-Out Shares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24, 2021 (the "Closing Date"), Rotor Acquisition Corp. ("Rotor"), a Delaware corporation, consummated the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 To reflect the Company's transition from a hardware-focused company to an AI software-focused company, in March 2024 the Company changed its name from Sarcos Technology and Robotics Corporation to Palladyne AI Corp.</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Business Combination, each holder of Old Sarcos capital stock is entitled to Contingent Merger Consideration following the closing of the Business Combination in the form of earn-outs, up to an aggregate of 4,687,500 shares of Common Stock (the "Earn-Out Shares"). On September 24, 2025, the four-year anniversary of the Closing Date, 2,343,750 of the Earn-Out Shares expired without having been released as the closing share price of a share of Common Stock of the Company did not equal or exceed $90.00 for 20 trading days in any 30 consecutive trading-day period at any time beginning on the first anniversary of the Closing Date and ending on the fourth anniversary of the Closing Date. The remaining 2,343,750 Earn-Out Shares will become payable if the closing share price of a share of Common Stock of the Company is equal to or exceeds $120.00 for 20 trading days in any 30 consecutive trading-day period at any time during the period beginning on the first anniversary of the Closing Date and ending on September 24, 2026, the fifth anniversary of the Closing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jc w:val="both"/>
        <w:spacing w:after="0" w:line="282" w:lineRule="auto"/>
        <w:rPr>
          <w:sz w:val="20"/>
          <w:szCs w:val="20"/>
          <w:color w:val="auto"/>
        </w:rPr>
      </w:pPr>
      <w:r>
        <w:rPr>
          <w:rFonts w:ascii="Times New Roman" w:cs="Times New Roman" w:eastAsia="Times New Roman" w:hAnsi="Times New Roman"/>
          <w:sz w:val="18"/>
          <w:szCs w:val="18"/>
          <w:color w:val="auto"/>
        </w:rPr>
        <w:t>The Earn-Out Shares are treated as equity-linked instruments as opposed to shares outstanding, and as such are not included in shares outstanding on the Company's consolidated balance sheets. As of December 31, 2025, there remained 2,343,750 Earn-Out Shares potentially issuable.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DeSPAC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20, 2021, Rotor consummated the initial public offering ("IPO") of 27,600,000 units (the "Units"), including the full exercise by the underwriters of their over-allotment option. Each Unit included one sixth of a share of Class A Common Stock and one half of one warrant (the "deSPAC Public Warrants"). Simultaneously with the closing of the IPO, Rotor consummated the sale of 7,270,000 warrants (the "deSPAC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deSPAC Public Warrants, and the deSPAC Private Placement Warrants (together the "deSPAC Warrants"). The deSPAC Public Warrants are listed and traded under the PDYNW ticker symbol on the Nasdaq Global Market.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whole deSPAC Warrant entitles the registered holder to purchase one sixth of a share of the Company's Common Stock at a price of $11.50 per warrant, subject to adjustment as discussed below, at any time commencing on January 20, 2022, provided that the Company has an effective registration statement under the Securities Act of 1933, as amended (the "Securities Act") covering the shares of Common Stock issuable upon exercise of the deSPAC Warrants and a current prospectus relating to them is available (or the Company permits holders to exercise their deSPAC Warrants on a cashless basis under the circumstances specified in the warrant agreement (the "deSPAC Warrant Agreement") entered into between Continental Stock Transfer &amp; Trust Company and Rotor and such shares are registered, qualified or exempt from registration under the securities laws of the state of residence of the holder. Pursuant to the deSPAC Warrant Agreement, a deSPAC Warrant holder may exercise its deSPAC Warrants only for a whole number of shares of the Company's Common Stock. The deSPAC Warrants will expire five years after the completion of the Business Combination, or September 24, 2026, at 5:00 p.m., New York City time, or earlier upon redemption or liquidation. As of December 31, 2025, there were 20,549,453 deSPAC Warrants outstanding.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deSPAC Warrant and will have no obligation to settle such deSPAC Warrant exercise unless a registration statement under the Securities Act with respect to the shares of Common Stock underlying the deSPAC Warrants is then effective and a prospectus relating thereto is current, subject to the Company satisfying its obligations described below with respect to registration, or a valid exemption from registration is available. No deSPAC Warrant will be exercisable, and the Company will not be obligated to issue a share of Common Stock upon exercise of a deSPAC Warrant unless the share of the Company's Common Stock issuable upon such deSPAC Warrant exercise has been registered, qualified or deemed to be exempt under the securities laws of the state of residence of the registered holder of the deSPAC Warrants. If the conditions in the two immediately preceding sentences are not satisfied with respect to a deSPAC Warrant, the holder of such deSPAC Warrant will not be entitled to exercise such deSPAC Warrant and such deSPAC Warrant may have no value and expire worthless. In no event will the Company be required to net cash settle any deSPAC Warrant. In the event a registration statement is not effective for the exercised deSPAC Warrants, the purchaser in the Rotor IPO of a Unit containing such deSPAC Warrant will have paid the full purchase price for the Unit solely for the share of the Company's Common Stock underlying such Unit.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herein, the deSPAC Private Placement Warrants have terms and provisions that are identical to those of the deSPAC Public Warrants. If the deSPAC Private Placement Warrants are held by holders other than the initial purchasers or their permitted transferees, the deSPAC Private Placement Warrants will be redeemable by the Company in all redemption scenarios and exercisable by the holders on the same basis as the deSPAC Public Warrants. The deSPAC Private Placement Warrants will not be redeemable by the Company so long as they are held by the initial purchasers or their permitted transferees, subject to certain exceptions. The initial purchasers or their permitted transferees, have the option to exercise the deSPAC Private Placement Warrants on a cashless basis.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deSPAC Warrants When the Price per Share of the Company's Common Stock Equals or Exceeds $108.00. </w:t>
      </w:r>
      <w:r>
        <w:rPr>
          <w:rFonts w:ascii="Times New Roman" w:cs="Times New Roman" w:eastAsia="Times New Roman" w:hAnsi="Times New Roman"/>
          <w:sz w:val="18"/>
          <w:szCs w:val="18"/>
          <w:color w:val="auto"/>
        </w:rPr>
        <w:t>Once the deSPAC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exercisable, the Company may call the deSPAC Warrants for redemption:</w:t>
      </w:r>
    </w:p>
    <w:p>
      <w:pPr>
        <w:spacing w:after="0" w:line="120"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deSPAC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deSPAC Warrant holder; and</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the Company's Common Stock for any 20 trading days within a 30-trading day period commencing after the deSPAC Warrants become exercisable and ending three business days before the Company sends the notice of redemption to the deSPAC Warrant holders (which is referred to as the "Reference Value") equals or exceeds $108.00 per share (as adjusted for stock splits, stock dividends, reorganizations, recapitalizations and the like).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and when the deSPAC Warrants become redeemable by the Company, the Company may exercise its redemption right even if it is unable to register or qualify the underlying securities for sale under all applicable state securities laws. However, the Company will not redeem the deSPAC Warrants unless an effective registration statement under the Securities Act covering the shares of the Company's Common Stock issuable upon exercise of the deSPAC Warrants is effective and a current prospectus relating to those shares of the Company's Common Stock is available throughout the 30-day redemption period.</w:t>
      </w:r>
    </w:p>
    <w:p>
      <w:pPr>
        <w:spacing w:after="0" w:line="18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Redemption of deSPAC Warrants When the Price per Share of Our Common Stock Equals or Exceeds $60.00. </w:t>
      </w:r>
      <w:r>
        <w:rPr>
          <w:rFonts w:ascii="Times New Roman" w:cs="Times New Roman" w:eastAsia="Times New Roman" w:hAnsi="Times New Roman"/>
          <w:sz w:val="18"/>
          <w:szCs w:val="18"/>
          <w:color w:val="auto"/>
        </w:rPr>
        <w:t>Once the deSPAC Warrants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the Company may redeem the outstanding deSPAC Warrants (except as described herein with respect to the deSPAC Private Placement Warrants if the Company does not utilize this redemption provision):</w:t>
      </w:r>
    </w:p>
    <w:p>
      <w:pPr>
        <w:spacing w:after="0" w:line="135"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deSPAC Warrant upon a minimum of 30 days' prior written notice of redemption; provided that holders will be able to exercise their deSPAC Warrants on a cashless basis prior to redemption and receive that number of shares determined by reference to an agreed table based on the redemption date and the "fair market value" of the Company's Common Stock;</w:t>
      </w:r>
    </w:p>
    <w:p>
      <w:pPr>
        <w:spacing w:after="0" w:line="14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$60.00 per share (as adjusted for stock splits, stock dividends, reorganizations, recapitalizations and the like); and</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$108.00 per share (as adjusted for stock splits, stock dividends, reorganizations, recapitalizations and the like) the deSPAC Private Placement Warrants must also be concurrently called for redemption on the same terms (except as described above with respect to a holder's ability to cashless exercise its deSPAC Warrants) as the outstanding deSPAC Public Warrants, as described above.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the deSPAC Public Warrants and the deSPAC Private Placement Warrants are recorded as warrant liabilities on the Company's consolidated balance sheets. The Company values both the deSPAC Public and deSPAC Private Placement Warrants using the closing price of the deSPAC Public Warrants on the Nasdaq Global Market as of the reporting date. The fair value measurement for the deSPAC Public Warrants is considered a level 1 fair value measurement, and the fair value measurement for the deSPAC Private Placement Warrants is considered a level 2 fair value measurement, as the deSPAC Private Placement Warrants are substantially the same, but not identical to, the deSPAC Public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recognized gains of $14.5 million and losses of $15.7 million related to the change in fair value of the deSPAC Warrants during the years ended December 31, 2025 and 2024, respectively. These amounts </w:t>
      </w:r>
      <w:r>
        <w:rPr>
          <w:rFonts w:ascii="Times New Roman" w:cs="Times New Roman" w:eastAsia="Times New Roman" w:hAnsi="Times New Roman"/>
          <w:sz w:val="18"/>
          <w:szCs w:val="18"/>
          <w:color w:val="212529"/>
        </w:rPr>
        <w:t>are recorded as gain (loss) on warrant liabilities within the consolidated statements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operations.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2024 Warrants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On November 1, 2024, the Company closed a registered direct offering for an aggregate of 2,790,700 shares of its common stock at a purchase price of $2.15 per share. In a concurrent private placement, the Company agreed to issue to the same investor warrants to purchase up to 2,790,700 shares of common stock (the "2024 Private Placement Warrants"). The 2024 Private Placement Warrants have an exercise price of $2.30 per share and were exercised in May 2025, as discussed below.</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In a separate concurrent private placement, the Company's Chief Executive Officer and certain other members of the Board of Directors purchased 430,105 shares of common stock at a price of $2.20 per share, which represented the consolidated closing bid price of the Company's common stock on the Nasdaq Global Market on October 30, 2024, and warrants to purchase up to 430,105 shares of common stock, at a price of $0.125 per warrant (the "2024 Concurrent Private Placement Warrants"). The 2024 Concurrent Private Placement Warrants have an exercise price of $2.30 per share and will expire five and one-half years following the date of issue.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85" w:name="page86"/>
    <w:bookmarkEnd w:id="85"/>
    <w:p>
      <w:pPr>
        <w:jc w:val="both"/>
        <w:spacing w:after="0" w:line="282" w:lineRule="auto"/>
        <w:rPr>
          <w:sz w:val="20"/>
          <w:szCs w:val="20"/>
          <w:color w:val="auto"/>
        </w:rPr>
      </w:pPr>
      <w:r>
        <w:rPr>
          <w:rFonts w:ascii="Times New Roman" w:cs="Times New Roman" w:eastAsia="Times New Roman" w:hAnsi="Times New Roman"/>
          <w:sz w:val="18"/>
          <w:szCs w:val="18"/>
          <w:color w:val="212529"/>
        </w:rPr>
        <w:t>The Company received gross proceeds of approximately $7 million, before deducting placement agency fees and offering expenses from the registered direct offering, the 2024 Private Placement Warrants and the 2024 Concurrent Private Placement Warrants (together the "2024 Warrants").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On May 9, 2025, 2,790,700 of the 2024 Private Placement Warrants were exercised. </w:t>
      </w:r>
      <w:r>
        <w:rPr>
          <w:rFonts w:ascii="Times New Roman" w:cs="Times New Roman" w:eastAsia="Times New Roman" w:hAnsi="Times New Roman"/>
          <w:sz w:val="18"/>
          <w:szCs w:val="18"/>
          <w:color w:val="000000"/>
        </w:rPr>
        <w:t>As of December 31, 2025, all 430,105 of the 2024 Concurrent Private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Placement Warrants were outstanding. </w:t>
      </w:r>
      <w:r>
        <w:rPr>
          <w:rFonts w:ascii="Times New Roman" w:cs="Times New Roman" w:eastAsia="Times New Roman" w:hAnsi="Times New Roman"/>
          <w:sz w:val="18"/>
          <w:szCs w:val="18"/>
          <w:color w:val="212529"/>
        </w:rPr>
        <w:t>The 2024 Warrants are recorded as warrant liabilities on the Company's consolidated balance sheet. The Company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estimated the fair value of the 2024 Warrants using the Black-Scholes valuation model, which is considered a level 3 fair value measurement. The valuation model inputs are based on </w:t>
      </w:r>
      <w:r>
        <w:rPr>
          <w:rFonts w:ascii="Times New Roman" w:cs="Times New Roman" w:eastAsia="Times New Roman" w:hAnsi="Times New Roman"/>
          <w:sz w:val="18"/>
          <w:szCs w:val="18"/>
          <w:color w:val="000000"/>
        </w:rPr>
        <w:t>assumptions related to expected volatility, expected life, risk-free interest rate and expected dividends</w:t>
      </w:r>
      <w:r>
        <w:rPr>
          <w:rFonts w:ascii="Times New Roman" w:cs="Times New Roman" w:eastAsia="Times New Roman" w:hAnsi="Times New Roman"/>
          <w:sz w:val="18"/>
          <w:szCs w:val="18"/>
          <w:color w:val="212529"/>
        </w:rPr>
        <w:t xml:space="preserve">. These estimates, especially the expected volatility, are highly judgmental and could differ materially in the future. </w:t>
      </w:r>
      <w:r>
        <w:rPr>
          <w:rFonts w:ascii="Times New Roman" w:cs="Times New Roman" w:eastAsia="Times New Roman" w:hAnsi="Times New Roman"/>
          <w:sz w:val="18"/>
          <w:szCs w:val="18"/>
          <w:color w:val="000000"/>
        </w:rPr>
        <w:t>The Company recognized gains of $23.2</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million and losses of $31.2 million related to the change in fair value of the </w:t>
      </w:r>
      <w:r>
        <w:rPr>
          <w:rFonts w:ascii="Times New Roman" w:cs="Times New Roman" w:eastAsia="Times New Roman" w:hAnsi="Times New Roman"/>
          <w:sz w:val="18"/>
          <w:szCs w:val="18"/>
          <w:color w:val="212529"/>
        </w:rPr>
        <w:t>of the 2024 Warrants during</w:t>
      </w:r>
      <w:r>
        <w:rPr>
          <w:rFonts w:ascii="Times New Roman" w:cs="Times New Roman" w:eastAsia="Times New Roman" w:hAnsi="Times New Roman"/>
          <w:sz w:val="18"/>
          <w:szCs w:val="18"/>
          <w:color w:val="000000"/>
        </w:rPr>
        <w:t xml:space="preserve"> the years ended December 31, 2025 and 2024, respectively. These amounts </w:t>
      </w:r>
      <w:r>
        <w:rPr>
          <w:rFonts w:ascii="Times New Roman" w:cs="Times New Roman" w:eastAsia="Times New Roman" w:hAnsi="Times New Roman"/>
          <w:sz w:val="18"/>
          <w:szCs w:val="18"/>
          <w:color w:val="212529"/>
        </w:rPr>
        <w:t>are recorded as gain (loss) on warrant liabilities within the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assumptions used in the valuation model to determine the fair value of the 2024 Warrants: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8"/>
                <w:szCs w:val="18"/>
                <w:color w:val="auto"/>
              </w:rPr>
            </w:pPr>
          </w:p>
        </w:tc>
      </w:tr>
      <w:tr>
        <w:trPr>
          <w:trHeight w:val="19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price</w:t>
            </w:r>
          </w:p>
        </w:tc>
        <w:tc>
          <w:tcPr>
            <w:tcW w:w="3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4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Term (in years)</w:t>
            </w: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7"/>
                <w:szCs w:val="17"/>
                <w:color w:val="auto"/>
              </w:rPr>
            </w:pP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3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84.9%</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3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bl>
    <w:p>
      <w:pPr>
        <w:spacing w:after="0" w:line="194" w:lineRule="exact"/>
        <w:rPr>
          <w:sz w:val="20"/>
          <w:szCs w:val="20"/>
          <w:color w:val="auto"/>
        </w:rPr>
      </w:pPr>
    </w:p>
    <w:p>
      <w:pPr>
        <w:ind w:right="8860" w:firstLine="8"/>
        <w:spacing w:after="0" w:line="479" w:lineRule="auto"/>
        <w:tabs>
          <w:tab w:leader="none" w:pos="27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2021 Stock Plan</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2021 Equity Incentive Plan (the "2021 Plan") provides stock options, restricted stock units ("RSUs"), restricted stock awards ("RSAs"), stock appreciation rights ("SARS") and performance awards for issuance to Company employees, officers, directors, non-employee agents and consultants. In general, outstanding awards granted under the 2021 Plan vest over one to four years and, in the case of options, are exercisable up to 10 years from the date of grant. The maximum number of shares of Common Stock that may be issued pursuant to the 2021 Plan is (a) 5.0 million shares of Common Stock of the Company plus (b)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(b) equal to 2.1 million shares of Common Stock. As of December 31, 2025, 1.9 million shares were available for grant under the 2021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Old Sarcos 2015 Equity Incentive Plan (the "2015 Plan") provided stock options, RSUs, RSAs, SARS and performance awards for issuance to Old Sarcos' employees, officers, directors, non-employee agents and consultants. Outstanding awards under the 2015 Plan generally vest over three to five years and are exercisable up to 10 years from the date of grant. Unvested options are forfeited upon termination. No further awards may be made under the 2015 Plan. Any forfeited awards will be added to the 2021 Plan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Inducement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the 2024 Inducement Equity Incentive Plan (the "Inducement Plan") with an effective date of December 15, 2024 to be used exclusively for grants of nonstatutory stock options, RSUs, RSAs, SARS and performance awards to individuals who were not previously employees or directors of the Company (or who are returning to employment following a bona fide period of non-employment), as an inducement material to the individual's entry into employment with the Company. The Inducement Plan was adopted and approved without stockholder approval pursuant to Nasdaq Listing Rule 5635(c)(4). As of December 31, 2025, 202,792 shares were available to grant under the Inducement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2021 Employee Stock Purchase Plan (the "ESPP") provides for the issuance of shares of Common Stock pursuant to purchase rights granted to employees over designated offering periods, by funds accumulated primarily through elective payroll deductions. Offerings under the ESPP commenced in December 2024. As of December 31, 2025, 469,087 shares were available for sale under the ESPP. During the year ended December 31, 2025, 30,913 shares of stock were sold under the ESPP for total proceeds of $0.1 million. No shares of stock were sold under ESPP during the year ended December 31,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Offering periods are generally six months long and begin on June 1 and December 1 of each year. The purchase price for shares of Common Stock purchased under the ESPP is calculated as 85% of the lesser of the fair market value of the Common Stock on (1) the first trading day of the applicable offering period or (2) the last trading day of the offering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stock option activity for the years ended December 31, 2025 and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326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0"/>
        </w:trPr>
        <w:tc>
          <w:tcPr>
            <w:tcW w:w="35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220" w:type="dxa"/>
            <w:vAlign w:val="bottom"/>
          </w:tcPr>
          <w:p>
            <w:pPr>
              <w:spacing w:after="0"/>
              <w:rPr>
                <w:sz w:val="15"/>
                <w:szCs w:val="15"/>
                <w:color w:val="auto"/>
              </w:rPr>
            </w:pPr>
          </w:p>
        </w:tc>
        <w:tc>
          <w:tcPr>
            <w:tcW w:w="1520" w:type="dxa"/>
            <w:vAlign w:val="bottom"/>
          </w:tcPr>
          <w:p>
            <w:pPr>
              <w:jc w:val="center"/>
              <w:ind w:left="1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03"/>
        </w:trPr>
        <w:tc>
          <w:tcPr>
            <w:tcW w:w="3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20" w:type="dxa"/>
            <w:vAlign w:val="bottom"/>
          </w:tcPr>
          <w:p>
            <w:pPr>
              <w:spacing w:after="0"/>
              <w:rPr>
                <w:sz w:val="17"/>
                <w:szCs w:val="17"/>
                <w:color w:val="auto"/>
              </w:rPr>
            </w:pPr>
          </w:p>
        </w:tc>
        <w:tc>
          <w:tcPr>
            <w:tcW w:w="152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3500" w:type="dxa"/>
            <w:vAlign w:val="bottom"/>
          </w:tcPr>
          <w:p>
            <w:pPr>
              <w:spacing w:after="0"/>
              <w:rPr>
                <w:sz w:val="18"/>
                <w:szCs w:val="18"/>
                <w:color w:val="auto"/>
              </w:rPr>
            </w:pPr>
          </w:p>
        </w:tc>
        <w:tc>
          <w:tcPr>
            <w:tcW w:w="1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r>
      <w:tr>
        <w:trPr>
          <w:trHeight w:val="19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2,845,084</w:t>
            </w:r>
          </w:p>
        </w:tc>
        <w:tc>
          <w:tcPr>
            <w:tcW w:w="1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9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7.2</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FF0FC"/>
          </w:tcPr>
          <w:p>
            <w:pPr>
              <w:spacing w:after="0"/>
              <w:rPr>
                <w:sz w:val="17"/>
                <w:szCs w:val="17"/>
                <w:color w:val="auto"/>
              </w:rPr>
            </w:pPr>
          </w:p>
        </w:tc>
      </w:tr>
      <w:tr>
        <w:trPr>
          <w:trHeight w:val="203"/>
        </w:trPr>
        <w:tc>
          <w:tcPr>
            <w:tcW w:w="3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Exercised</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(203,480)</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FF0FC"/>
          </w:tcPr>
          <w:p>
            <w:pPr>
              <w:spacing w:after="0"/>
              <w:rPr>
                <w:sz w:val="17"/>
                <w:szCs w:val="17"/>
                <w:color w:val="auto"/>
              </w:rPr>
            </w:pPr>
          </w:p>
        </w:tc>
      </w:tr>
      <w:tr>
        <w:trPr>
          <w:trHeight w:val="203"/>
        </w:trPr>
        <w:tc>
          <w:tcPr>
            <w:tcW w:w="3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Forfeited or expired</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(1,799,647)</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1,396,957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7.5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14,519</w:t>
            </w:r>
          </w:p>
        </w:tc>
        <w:tc>
          <w:tcPr>
            <w:tcW w:w="100" w:type="dxa"/>
            <w:vAlign w:val="bottom"/>
            <w:shd w:val="clear" w:color="auto" w:fill="CFF0FC"/>
          </w:tcPr>
          <w:p>
            <w:pPr>
              <w:spacing w:after="0"/>
              <w:rPr>
                <w:sz w:val="17"/>
                <w:szCs w:val="17"/>
                <w:color w:val="auto"/>
              </w:rPr>
            </w:pPr>
          </w:p>
        </w:tc>
      </w:tr>
      <w:tr>
        <w:trPr>
          <w:trHeight w:val="203"/>
        </w:trPr>
        <w:tc>
          <w:tcPr>
            <w:tcW w:w="3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Exercised</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(57,447)</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Forfeited or expired</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(220,609)</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2025</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1,200,568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6.5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00" w:type="dxa"/>
            <w:vAlign w:val="bottom"/>
            <w:shd w:val="clear" w:color="auto" w:fill="CFF0FC"/>
          </w:tcPr>
          <w:p>
            <w:pPr>
              <w:spacing w:after="0"/>
              <w:rPr>
                <w:sz w:val="18"/>
                <w:szCs w:val="18"/>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Exercisable – December 31,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443,045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109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5.2</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00" w:type="dxa"/>
            <w:vAlign w:val="bottom"/>
          </w:tcPr>
          <w:p>
            <w:pPr>
              <w:spacing w:after="0"/>
              <w:rPr>
                <w:sz w:val="15"/>
                <w:szCs w:val="15"/>
                <w:color w:val="auto"/>
              </w:rPr>
            </w:pPr>
          </w:p>
        </w:tc>
      </w:tr>
      <w:tr>
        <w:trPr>
          <w:trHeight w:val="20"/>
        </w:trPr>
        <w:tc>
          <w:tcPr>
            <w:tcW w:w="35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 December 31, 2025</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845,217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6.0</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00" w:type="dxa"/>
            <w:vAlign w:val="bottom"/>
            <w:shd w:val="clear" w:color="auto" w:fill="CFF0FC"/>
          </w:tcPr>
          <w:p>
            <w:pPr>
              <w:spacing w:after="0"/>
              <w:rPr>
                <w:sz w:val="17"/>
                <w:szCs w:val="17"/>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-299720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-281940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-299720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-281940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-299720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-281940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options granted during the years ended December 31, 2025 and 2024, the weighted-average grant-date fair value was $5.86 and $1.26 per option,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utilizes the Black-Scholes option pricing model for estimating the fair value of options granted, which requires the input of subjective assumptions. The Company calculates the fair value of each option grant on the grant date using the following assumptions:</w:t>
      </w:r>
    </w:p>
    <w:p>
      <w:pPr>
        <w:spacing w:after="0" w:line="16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Expected Term—Options granted generally vest over a period of 48 months and expire 10 years from date of grant. The Company uses the simplified method when calculating expected term due to insufficient historical information.</w:t>
      </w:r>
    </w:p>
    <w:p>
      <w:pPr>
        <w:spacing w:after="0" w:line="16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Expected Volatility—Due to insufficient historical information the Company uses a blended approach when calculating expected volatility. The Company uses its historic data for the periods it has been publicly-traded and a benchmark of other comparable public companies' volatility rates.</w:t>
      </w:r>
    </w:p>
    <w:p>
      <w:pPr>
        <w:spacing w:after="0" w:line="16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Expected Dividend Yield—The dividend yield used is zero as the Company does not have a history of paying dividends on its Common Stock and does not anticipate doing so in the foreseeable future.</w:t>
      </w:r>
    </w:p>
    <w:p>
      <w:pPr>
        <w:spacing w:after="0" w:line="16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Risk-Free Interest Rate—The interest rates used are based on the implied yield available on U.S. Treasury zero-coupon issues with an equivalent remaining term equal to the expected life of the award.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7" w:name="page88"/>
    <w:bookmarkEnd w:id="87"/>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calculated the fair value of options granted under the 2021 Plan on the respective dates of grant using the following weighted average assumptions:</w:t>
      </w:r>
    </w:p>
    <w:p>
      <w:pPr>
        <w:spacing w:after="0" w:line="19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r>
      <w:tr>
        <w:trPr>
          <w:trHeight w:val="196"/>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3.87%</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4.31%</w:t>
            </w:r>
          </w:p>
        </w:tc>
      </w:tr>
      <w:tr>
        <w:trPr>
          <w:trHeight w:val="203"/>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40" w:type="dxa"/>
            <w:vAlign w:val="bottom"/>
            <w:shd w:val="clear" w:color="auto" w:fill="CFF0FC"/>
          </w:tcPr>
          <w:p>
            <w:pPr>
              <w:spacing w:after="0"/>
              <w:rPr>
                <w:sz w:val="17"/>
                <w:szCs w:val="17"/>
                <w:color w:val="auto"/>
              </w:rPr>
            </w:pPr>
          </w:p>
        </w:tc>
      </w:tr>
      <w:tr>
        <w:trPr>
          <w:trHeight w:val="203"/>
        </w:trPr>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106.42%</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80.39%</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Repricing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17, 2024, the Company amended certain options to purchase 773,551 shares of the Company's Common Stock. All of the options subject to the amendments had exercise prices that exceeded the value of the Company's Common Stock on the amendment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set of amendments, which were entered into with seven senior employees of the Company, applied to options to purchase an aggregate of 225,670 shares held by those seven senior employees. These amendments (1) re-started the vesting schedule of the amended options, including for options that had already vested and (2) reduced the per share exercise price of the options to $1.59 (the "New Exercise Price"), which is equal to the closing price of the Company's Common Stock on April 17, 2024, the effective date of the amendments. No other terms of these options were modified.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set of amendments applied to options to purchase an aggregate of 547,881 shares held by other eligible current employees and service providers of the Company with an exercise price per share greater than the New Exercise Price. These amendments reduced the per share exercise price of affected options to the New Exercise Price, which is equal to the closing price of the Company's Common Stock on April 17, 2024, the effective date of the amendments. No other terms of such options were modified.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incremental fair value to be recognized as a result of the amendments was $0.2 million. The incremental fair value attributable to the vested options of $0.1 million was recognized as stock-based compensation expense during the twelve months ended December 31, 2024. The remaining incremental fair value attributable to the unvested option shares will be amortized over the remaining requisite service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RSU activity for the years ended December 31, 2025 and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Pr>
          <w:p>
            <w:pPr>
              <w:spacing w:after="0"/>
              <w:rPr>
                <w:sz w:val="18"/>
                <w:szCs w:val="18"/>
                <w:color w:val="auto"/>
              </w:rPr>
            </w:pPr>
          </w:p>
        </w:tc>
        <w:tc>
          <w:tcPr>
            <w:tcW w:w="35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r>
      <w:tr>
        <w:trPr>
          <w:trHeight w:val="186"/>
        </w:trPr>
        <w:tc>
          <w:tcPr>
            <w:tcW w:w="76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20" w:type="dxa"/>
            <w:vAlign w:val="bottom"/>
          </w:tcPr>
          <w:p>
            <w:pPr>
              <w:spacing w:after="0"/>
              <w:rPr>
                <w:sz w:val="16"/>
                <w:szCs w:val="16"/>
                <w:color w:val="auto"/>
              </w:rPr>
            </w:pPr>
          </w:p>
        </w:tc>
      </w:tr>
      <w:tr>
        <w:trPr>
          <w:trHeight w:val="203"/>
        </w:trPr>
        <w:tc>
          <w:tcPr>
            <w:tcW w:w="7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03"/>
        </w:trPr>
        <w:tc>
          <w:tcPr>
            <w:tcW w:w="7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7680" w:type="dxa"/>
            <w:vAlign w:val="bottom"/>
          </w:tcPr>
          <w:p>
            <w:pPr>
              <w:spacing w:after="0"/>
              <w:rPr>
                <w:sz w:val="18"/>
                <w:szCs w:val="18"/>
                <w:color w:val="auto"/>
              </w:rPr>
            </w:pP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19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1,180,115</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shd w:val="clear" w:color="auto" w:fill="CFF0FC"/>
          </w:tcPr>
          <w:p>
            <w:pPr>
              <w:spacing w:after="0"/>
              <w:rPr>
                <w:sz w:val="17"/>
                <w:szCs w:val="17"/>
                <w:color w:val="auto"/>
              </w:rPr>
            </w:pPr>
          </w:p>
        </w:tc>
      </w:tr>
      <w:tr>
        <w:trPr>
          <w:trHeight w:val="20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1,544,319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r>
      <w:tr>
        <w:trPr>
          <w:trHeight w:val="203"/>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Released</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(333,553)</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shd w:val="clear" w:color="auto" w:fill="CFF0FC"/>
          </w:tcPr>
          <w:p>
            <w:pPr>
              <w:spacing w:after="0"/>
              <w:rPr>
                <w:sz w:val="17"/>
                <w:szCs w:val="17"/>
                <w:color w:val="auto"/>
              </w:rPr>
            </w:pPr>
          </w:p>
        </w:tc>
      </w:tr>
      <w:tr>
        <w:trPr>
          <w:trHeight w:val="20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(933,600)</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7"/>
                <w:szCs w:val="17"/>
                <w:color w:val="auto"/>
              </w:rPr>
            </w:pPr>
          </w:p>
        </w:tc>
      </w:tr>
      <w:tr>
        <w:trPr>
          <w:trHeight w:val="19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1,457,281</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FF0FC"/>
          </w:tcPr>
          <w:p>
            <w:pPr>
              <w:spacing w:after="0"/>
              <w:rPr>
                <w:sz w:val="17"/>
                <w:szCs w:val="17"/>
                <w:color w:val="auto"/>
              </w:rPr>
            </w:pPr>
          </w:p>
        </w:tc>
      </w:tr>
      <w:tr>
        <w:trPr>
          <w:trHeight w:val="20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1,051,902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17"/>
                <w:szCs w:val="17"/>
                <w:color w:val="auto"/>
              </w:rPr>
            </w:pPr>
          </w:p>
        </w:tc>
      </w:tr>
      <w:tr>
        <w:trPr>
          <w:trHeight w:val="203"/>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(740,156)</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shd w:val="clear" w:color="auto" w:fill="CFF0FC"/>
          </w:tcPr>
          <w:p>
            <w:pPr>
              <w:spacing w:after="0"/>
              <w:rPr>
                <w:sz w:val="17"/>
                <w:szCs w:val="17"/>
                <w:color w:val="auto"/>
              </w:rPr>
            </w:pPr>
          </w:p>
        </w:tc>
      </w:tr>
      <w:tr>
        <w:trPr>
          <w:trHeight w:val="203"/>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(191,633)</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2025</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1,577,394</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RSUs granted generally include service vesting periods of one to four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RSA activity for the year ended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Restricted Stock Awards Outstanding</w:t>
            </w:r>
          </w:p>
        </w:tc>
      </w:tr>
      <w:tr>
        <w:trPr>
          <w:trHeight w:val="186"/>
        </w:trPr>
        <w:tc>
          <w:tcPr>
            <w:tcW w:w="4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20" w:type="dxa"/>
            <w:vAlign w:val="bottom"/>
          </w:tcPr>
          <w:p>
            <w:pPr>
              <w:spacing w:after="0"/>
              <w:rPr>
                <w:sz w:val="16"/>
                <w:szCs w:val="16"/>
                <w:color w:val="auto"/>
              </w:rPr>
            </w:pPr>
          </w:p>
        </w:tc>
      </w:tr>
      <w:tr>
        <w:trPr>
          <w:trHeight w:val="203"/>
        </w:trPr>
        <w:tc>
          <w:tcPr>
            <w:tcW w:w="49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03"/>
        </w:trPr>
        <w:tc>
          <w:tcPr>
            <w:tcW w:w="49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4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r>
      <w:tr>
        <w:trPr>
          <w:trHeight w:val="19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2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2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17"/>
                <w:szCs w:val="17"/>
                <w:color w:val="auto"/>
              </w:rPr>
            </w:pPr>
          </w:p>
        </w:tc>
      </w:tr>
      <w:tr>
        <w:trPr>
          <w:trHeight w:val="19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2840" w:type="dxa"/>
            <w:vAlign w:val="bottom"/>
            <w:gridSpan w:val="2"/>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shd w:val="clear" w:color="auto" w:fill="CFF0FC"/>
          </w:tcPr>
          <w:p>
            <w:pPr>
              <w:spacing w:after="0"/>
              <w:rPr>
                <w:sz w:val="17"/>
                <w:szCs w:val="17"/>
                <w:color w:val="auto"/>
              </w:rPr>
            </w:pPr>
          </w:p>
        </w:tc>
      </w:tr>
      <w:tr>
        <w:trPr>
          <w:trHeight w:val="20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7"/>
                <w:szCs w:val="17"/>
                <w:color w:val="auto"/>
              </w:rPr>
            </w:pPr>
          </w:p>
        </w:tc>
      </w:tr>
      <w:tr>
        <w:trPr>
          <w:trHeight w:val="203"/>
        </w:trPr>
        <w:tc>
          <w:tcPr>
            <w:tcW w:w="4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2840" w:type="dxa"/>
            <w:vAlign w:val="bottom"/>
            <w:gridSpan w:val="2"/>
            <w:shd w:val="clear" w:color="auto" w:fill="CFF0FC"/>
          </w:tcPr>
          <w:p>
            <w:pPr>
              <w:spacing w:after="0"/>
              <w:rPr>
                <w:sz w:val="17"/>
                <w:szCs w:val="17"/>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(625,000)</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shd w:val="clear" w:color="auto" w:fill="CFF0FC"/>
          </w:tcPr>
          <w:p>
            <w:pPr>
              <w:spacing w:after="0"/>
              <w:rPr>
                <w:sz w:val="17"/>
                <w:szCs w:val="17"/>
                <w:color w:val="auto"/>
              </w:rPr>
            </w:pPr>
          </w:p>
        </w:tc>
      </w:tr>
      <w:tr>
        <w:trPr>
          <w:trHeight w:val="196"/>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Outstanding – December 31, 2025</w:t>
            </w:r>
          </w:p>
        </w:tc>
        <w:tc>
          <w:tcPr>
            <w:tcW w:w="274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top w:val="single" w:sz="8" w:color="CFF0FC"/>
            </w:tcBorders>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in the consolidated statement of operations and comprehensive loss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8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7"/>
                <w:szCs w:val="17"/>
                <w:color w:val="auto"/>
              </w:rPr>
            </w:pP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shd w:val="clear" w:color="auto" w:fill="CFF0FC"/>
          </w:tcPr>
          <w:p>
            <w:pPr>
              <w:spacing w:after="0"/>
              <w:rPr>
                <w:sz w:val="17"/>
                <w:szCs w:val="17"/>
                <w:color w:val="auto"/>
              </w:rPr>
            </w:pPr>
          </w:p>
        </w:tc>
      </w:tr>
      <w:tr>
        <w:trPr>
          <w:trHeight w:val="202"/>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00" w:type="dxa"/>
            <w:vAlign w:val="bottom"/>
          </w:tcPr>
          <w:p>
            <w:pPr>
              <w:spacing w:after="0"/>
              <w:rPr>
                <w:sz w:val="17"/>
                <w:szCs w:val="17"/>
                <w:color w:val="auto"/>
              </w:rPr>
            </w:pPr>
          </w:p>
        </w:tc>
      </w:tr>
      <w:tr>
        <w:trPr>
          <w:trHeight w:val="216"/>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approximately $8.6 million of unrecognized stock-based compensation expense, which is expected to be recognized over a weighted average period of 2.6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income (loss) per share attributable to common stockholders for the twelve months ended December 31, 2025 and 2024,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2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spacing w:after="0"/>
              <w:rPr>
                <w:sz w:val="17"/>
                <w:szCs w:val="17"/>
                <w:color w:val="auto"/>
              </w:rPr>
            </w:pPr>
          </w:p>
        </w:tc>
        <w:tc>
          <w:tcPr>
            <w:tcW w:w="620" w:type="dxa"/>
            <w:vAlign w:val="bottom"/>
            <w:gridSpan w:val="2"/>
            <w:shd w:val="clear" w:color="auto" w:fill="CFF0FC"/>
          </w:tcPr>
          <w:p>
            <w:pPr>
              <w:spacing w:after="0"/>
              <w:rPr>
                <w:sz w:val="17"/>
                <w:szCs w:val="17"/>
                <w:color w:val="auto"/>
              </w:rPr>
            </w:pPr>
          </w:p>
        </w:tc>
        <w:tc>
          <w:tcPr>
            <w:tcW w:w="1320" w:type="dxa"/>
            <w:vAlign w:val="bottom"/>
            <w:gridSpan w:val="2"/>
            <w:shd w:val="clear" w:color="auto" w:fill="CFF0FC"/>
          </w:tcPr>
          <w:p>
            <w:pPr>
              <w:spacing w:after="0"/>
              <w:rPr>
                <w:sz w:val="17"/>
                <w:szCs w:val="17"/>
                <w:color w:val="auto"/>
              </w:rPr>
            </w:pPr>
          </w:p>
        </w:tc>
      </w:tr>
      <w:tr>
        <w:trPr>
          <w:trHeight w:val="20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(72,617)</w:t>
            </w:r>
          </w:p>
        </w:tc>
      </w:tr>
      <w:tr>
        <w:trPr>
          <w:trHeight w:val="20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spacing w:after="0"/>
              <w:rPr>
                <w:sz w:val="17"/>
                <w:szCs w:val="17"/>
                <w:color w:val="auto"/>
              </w:rPr>
            </w:pPr>
          </w:p>
        </w:tc>
        <w:tc>
          <w:tcPr>
            <w:tcW w:w="620" w:type="dxa"/>
            <w:vAlign w:val="bottom"/>
            <w:gridSpan w:val="2"/>
            <w:shd w:val="clear" w:color="auto" w:fill="CFF0FC"/>
          </w:tcPr>
          <w:p>
            <w:pPr>
              <w:spacing w:after="0"/>
              <w:rPr>
                <w:sz w:val="17"/>
                <w:szCs w:val="17"/>
                <w:color w:val="auto"/>
              </w:rPr>
            </w:pPr>
          </w:p>
        </w:tc>
        <w:tc>
          <w:tcPr>
            <w:tcW w:w="1320" w:type="dxa"/>
            <w:vAlign w:val="bottom"/>
            <w:gridSpan w:val="2"/>
            <w:shd w:val="clear" w:color="auto" w:fill="CFF0FC"/>
          </w:tcPr>
          <w:p>
            <w:pPr>
              <w:spacing w:after="0"/>
              <w:rPr>
                <w:sz w:val="17"/>
                <w:szCs w:val="17"/>
                <w:color w:val="auto"/>
              </w:rPr>
            </w:pPr>
          </w:p>
        </w:tc>
      </w:tr>
      <w:tr>
        <w:trPr>
          <w:trHeight w:val="20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38,841,116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26,774,895</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Dilutive effect of potential common shares</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3,284,816</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2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42,125,932</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26,774,895</w:t>
            </w:r>
          </w:p>
        </w:tc>
        <w:tc>
          <w:tcPr>
            <w:tcW w:w="10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(2.71)</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2220" w:type="dxa"/>
            <w:vAlign w:val="bottom"/>
          </w:tcPr>
          <w:p>
            <w:pPr>
              <w:spacing w:after="0"/>
              <w:rPr>
                <w:sz w:val="15"/>
                <w:szCs w:val="15"/>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(2.71)</w:t>
            </w: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Anti-dilutive securities, excluded</w:t>
            </w:r>
          </w:p>
        </w:tc>
        <w:tc>
          <w:tcPr>
            <w:tcW w:w="2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5,859,044</w:t>
            </w: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14,812,452</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-307975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-290830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Potentially dilutive shares, which are based on the weighted-average shares of common stock, stock options, unvested stock units, unvested stock awards, purchase rights granted under the employee stock purchase plan and warrants using the treasury stock method are included when calculating diluted net income (loss) per share attributable to the Company when their effect is dilutive. Because the Company incurred a net loss for the twelve months ended December 31, 2024 none of the potentially dilutive common shares were included in the diluted share calculation for that period as they would have been anti-dilutive.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(loss) before provision for income taxes was income of $7.5 million and loss of $72.6 million for the years ended December 31, 2025 and 2024, respectively, all of which was generated in the United States. The Company's provision for income taxes consists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78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w:t>
            </w:r>
          </w:p>
        </w:tc>
        <w:tc>
          <w:tcPr>
            <w:tcW w:w="3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5,641</w:t>
            </w:r>
          </w:p>
        </w:tc>
      </w:tr>
      <w:tr>
        <w:trPr>
          <w:trHeight w:val="203"/>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(4,933)</w:t>
            </w: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3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(5,693)</w:t>
            </w:r>
          </w:p>
        </w:tc>
        <w:tc>
          <w:tcPr>
            <w:tcW w:w="36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(708)</w:t>
            </w:r>
          </w:p>
        </w:tc>
      </w:tr>
      <w:tr>
        <w:trPr>
          <w:trHeight w:val="196"/>
        </w:trPr>
        <w:tc>
          <w:tcPr>
            <w:tcW w:w="78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deferred</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Total income tax benefit (expense)</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280" w:type="dxa"/>
            <w:vAlign w:val="bottom"/>
          </w:tcPr>
          <w:p>
            <w:pPr>
              <w:spacing w:after="0"/>
              <w:rPr>
                <w:sz w:val="17"/>
                <w:szCs w:val="17"/>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7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-950595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provision for income tax differs from the amount computed by applying the statutory federal income tax rate to income before taxes after the adoption of ASU 2023-09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gridSpan w:val="4"/>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r>
      <w:tr>
        <w:trPr>
          <w:trHeight w:val="202"/>
        </w:trPr>
        <w:tc>
          <w:tcPr>
            <w:tcW w:w="76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State and local income taxes, net of federal income tax effect (1)</w:t>
            </w:r>
          </w:p>
        </w:tc>
        <w:tc>
          <w:tcPr>
            <w:tcW w:w="18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(138)</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credits</w:t>
            </w:r>
          </w:p>
        </w:tc>
        <w:tc>
          <w:tcPr>
            <w:tcW w:w="18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(627)</w:t>
            </w: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(8.4)</w:t>
            </w: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20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7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Warrant liability revaluation</w:t>
            </w:r>
          </w:p>
        </w:tc>
        <w:tc>
          <w:tcPr>
            <w:tcW w:w="18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(7,925)</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(105.7)</w:t>
            </w:r>
          </w:p>
        </w:tc>
      </w:tr>
      <w:tr>
        <w:trPr>
          <w:trHeight w:val="203"/>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Executive compensation</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FF0FC"/>
          </w:tcPr>
          <w:p>
            <w:pPr>
              <w:spacing w:after="0"/>
              <w:rPr>
                <w:sz w:val="17"/>
                <w:szCs w:val="17"/>
                <w:color w:val="auto"/>
              </w:rPr>
            </w:pPr>
          </w:p>
        </w:tc>
      </w:tr>
      <w:tr>
        <w:trPr>
          <w:trHeight w:val="203"/>
        </w:trPr>
        <w:tc>
          <w:tcPr>
            <w:tcW w:w="7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Share-based payment awards</w:t>
            </w:r>
          </w:p>
        </w:tc>
        <w:tc>
          <w:tcPr>
            <w:tcW w:w="18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(453)</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w:t>
            </w:r>
          </w:p>
        </w:tc>
      </w:tr>
      <w:tr>
        <w:trPr>
          <w:trHeight w:val="203"/>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Transaction costs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shd w:val="clear" w:color="auto" w:fill="CFF0FC"/>
          </w:tcPr>
          <w:p>
            <w:pPr>
              <w:spacing w:after="0"/>
              <w:rPr>
                <w:sz w:val="17"/>
                <w:szCs w:val="17"/>
                <w:color w:val="auto"/>
              </w:rPr>
            </w:pPr>
          </w:p>
        </w:tc>
      </w:tr>
      <w:tr>
        <w:trPr>
          <w:trHeight w:val="203"/>
        </w:trPr>
        <w:tc>
          <w:tcPr>
            <w:tcW w:w="7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unrecognized tax benefits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7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Deferred adjustments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0" w:type="dxa"/>
            <w:vAlign w:val="bottom"/>
            <w:shd w:val="clear" w:color="auto" w:fill="CFF0FC"/>
          </w:tcPr>
          <w:p>
            <w:pPr>
              <w:spacing w:after="0"/>
              <w:rPr>
                <w:sz w:val="17"/>
                <w:szCs w:val="17"/>
                <w:color w:val="auto"/>
              </w:rPr>
            </w:pPr>
          </w:p>
        </w:tc>
      </w:tr>
      <w:tr>
        <w:trPr>
          <w:trHeight w:val="203"/>
        </w:trPr>
        <w:tc>
          <w:tcPr>
            <w:tcW w:w="7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0" w:type="dxa"/>
            <w:vAlign w:val="bottom"/>
          </w:tcPr>
          <w:p>
            <w:pPr>
              <w:spacing w:after="0"/>
              <w:rPr>
                <w:sz w:val="17"/>
                <w:szCs w:val="17"/>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benefit for income taxes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(2,538)</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(33.8)%</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-25400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-25400</wp:posOffset>
            </wp:positionV>
            <wp:extent cx="12890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12890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Massachusetts contributed to the majority of the tax effect in the category.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provision for income tax differs from the amount computed by applying the statutory federal income tax rate to income before taxes prior to adoption of ASU 2023-09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40" w:type="dxa"/>
            <w:vAlign w:val="bottom"/>
          </w:tcPr>
          <w:p>
            <w:pPr>
              <w:spacing w:after="0"/>
              <w:rPr>
                <w:sz w:val="17"/>
                <w:szCs w:val="17"/>
                <w:color w:val="auto"/>
              </w:rPr>
            </w:pPr>
          </w:p>
        </w:tc>
        <w:tc>
          <w:tcPr>
            <w:tcW w:w="2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9140" w:type="dxa"/>
            <w:vAlign w:val="bottom"/>
          </w:tcPr>
          <w:p>
            <w:pPr>
              <w:spacing w:after="0"/>
              <w:rPr>
                <w:sz w:val="18"/>
                <w:szCs w:val="18"/>
                <w:color w:val="auto"/>
              </w:rPr>
            </w:pPr>
          </w:p>
        </w:tc>
        <w:tc>
          <w:tcPr>
            <w:tcW w:w="19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r>
      <w:tr>
        <w:trPr>
          <w:trHeight w:val="199"/>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Statutory federal income tax rate</w:t>
            </w:r>
          </w:p>
        </w:tc>
        <w:tc>
          <w:tcPr>
            <w:tcW w:w="2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State tax provision</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w:t>
            </w:r>
          </w:p>
        </w:tc>
      </w:tr>
      <w:tr>
        <w:trPr>
          <w:trHeight w:val="203"/>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Research credits</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tax rate</w:t>
            </w: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liability revaluation</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(13.7)</w:t>
            </w:r>
          </w:p>
        </w:tc>
      </w:tr>
      <w:tr>
        <w:trPr>
          <w:trHeight w:val="203"/>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9140" w:type="dxa"/>
            <w:vAlign w:val="bottom"/>
          </w:tcPr>
          <w:p>
            <w:pPr>
              <w:spacing w:after="0"/>
              <w:rPr>
                <w:sz w:val="20"/>
                <w:szCs w:val="20"/>
                <w:color w:val="auto"/>
              </w:rPr>
            </w:pPr>
            <w:r>
              <w:rPr>
                <w:rFonts w:ascii="Times New Roman" w:cs="Times New Roman" w:eastAsia="Times New Roman" w:hAnsi="Times New Roman"/>
                <w:sz w:val="16"/>
                <w:szCs w:val="16"/>
                <w:color w:val="auto"/>
              </w:rPr>
              <w:t>Unrecognized tax benefits</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w:t>
            </w:r>
          </w:p>
        </w:tc>
      </w:tr>
      <w:tr>
        <w:trPr>
          <w:trHeight w:val="20"/>
        </w:trPr>
        <w:tc>
          <w:tcPr>
            <w:tcW w:w="91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9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2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914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7042785</wp:posOffset>
            </wp:positionH>
            <wp:positionV relativeFrom="paragraph">
              <wp:posOffset>-25400</wp:posOffset>
            </wp:positionV>
            <wp:extent cx="939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939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As of December 31, 2025 and 2024, net deferred tax assets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8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60" w:type="dxa"/>
            <w:vAlign w:val="bottom"/>
          </w:tcPr>
          <w:p>
            <w:pPr>
              <w:spacing w:after="0"/>
              <w:rPr>
                <w:sz w:val="17"/>
                <w:szCs w:val="17"/>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r>
      <w:tr>
        <w:trPr>
          <w:trHeight w:val="203"/>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 compensation</w:t>
            </w:r>
          </w:p>
        </w:tc>
        <w:tc>
          <w:tcPr>
            <w:tcW w:w="2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credits</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8,427</w:t>
            </w:r>
          </w:p>
        </w:tc>
        <w:tc>
          <w:tcPr>
            <w:tcW w:w="100" w:type="dxa"/>
            <w:vAlign w:val="bottom"/>
          </w:tcPr>
          <w:p>
            <w:pPr>
              <w:spacing w:after="0"/>
              <w:rPr>
                <w:sz w:val="17"/>
                <w:szCs w:val="17"/>
                <w:color w:val="auto"/>
              </w:rPr>
            </w:pPr>
          </w:p>
        </w:tc>
      </w:tr>
      <w:tr>
        <w:trPr>
          <w:trHeight w:val="203"/>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Research and experimental capitalization</w:t>
            </w:r>
          </w:p>
        </w:tc>
        <w:tc>
          <w:tcPr>
            <w:tcW w:w="2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13,430</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liability</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100" w:type="dxa"/>
            <w:vAlign w:val="bottom"/>
          </w:tcPr>
          <w:p>
            <w:pPr>
              <w:spacing w:after="0"/>
              <w:rPr>
                <w:sz w:val="17"/>
                <w:szCs w:val="17"/>
                <w:color w:val="auto"/>
              </w:rPr>
            </w:pPr>
          </w:p>
        </w:tc>
      </w:tr>
      <w:tr>
        <w:trPr>
          <w:trHeight w:val="203"/>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Intangibles</w:t>
            </w:r>
          </w:p>
        </w:tc>
        <w:tc>
          <w:tcPr>
            <w:tcW w:w="2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55,380</w:t>
            </w:r>
          </w:p>
        </w:tc>
        <w:tc>
          <w:tcPr>
            <w:tcW w:w="100" w:type="dxa"/>
            <w:vAlign w:val="bottom"/>
          </w:tcPr>
          <w:p>
            <w:pPr>
              <w:spacing w:after="0"/>
              <w:rPr>
                <w:sz w:val="17"/>
                <w:szCs w:val="17"/>
                <w:color w:val="auto"/>
              </w:rPr>
            </w:pPr>
          </w:p>
        </w:tc>
      </w:tr>
      <w:tr>
        <w:trPr>
          <w:trHeight w:val="203"/>
        </w:trPr>
        <w:tc>
          <w:tcPr>
            <w:tcW w:w="5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82,285</w:t>
            </w:r>
          </w:p>
        </w:tc>
        <w:tc>
          <w:tcPr>
            <w:tcW w:w="100" w:type="dxa"/>
            <w:vAlign w:val="bottom"/>
          </w:tcPr>
          <w:p>
            <w:pPr>
              <w:spacing w:after="0"/>
              <w:rPr>
                <w:sz w:val="17"/>
                <w:szCs w:val="17"/>
                <w:color w:val="auto"/>
              </w:rPr>
            </w:pP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2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(85,016)</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(79,323)</w:t>
            </w:r>
          </w:p>
        </w:tc>
      </w:tr>
      <w:tr>
        <w:trPr>
          <w:trHeight w:val="196"/>
        </w:trPr>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4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Borders>
              <w:top w:val="single" w:sz="8" w:color="CFF0FC"/>
            </w:tcBorders>
          </w:tcPr>
          <w:p>
            <w:pPr>
              <w:spacing w:after="0"/>
              <w:rPr>
                <w:sz w:val="17"/>
                <w:szCs w:val="17"/>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(889)</w:t>
            </w:r>
          </w:p>
        </w:tc>
      </w:tr>
      <w:tr>
        <w:trPr>
          <w:trHeight w:val="203"/>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Intangibles</w:t>
            </w:r>
          </w:p>
        </w:tc>
        <w:tc>
          <w:tcPr>
            <w:tcW w:w="2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(2,043)</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Right-of-use-asset</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(2,130)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(2,073)</w:t>
            </w:r>
          </w:p>
        </w:tc>
      </w:tr>
      <w:tr>
        <w:trPr>
          <w:trHeight w:val="203"/>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28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(5,149)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(2,962)</w:t>
            </w:r>
          </w:p>
        </w:tc>
      </w:tr>
      <w:tr>
        <w:trPr>
          <w:trHeight w:val="20"/>
        </w:trPr>
        <w:tc>
          <w:tcPr>
            <w:tcW w:w="5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-1353820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-1087755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Valuation allowances are established when necessary to reduce deferred tax assets, including temporary differences and net operating loss carryforwards, to the amount expected to be realized in the future. FASB guidance indicates that forming a conclusion that a valuation allowance is not needed is difficult when there is negative evidence such as cumulative losses in recent years. The Company had cumulative losses from continuing operations for the three-year period ended December 31, 2025. The Company considered this negative evidence along with all other available positive and negative evidence and concluded that, at December 31, 2025, it is more likely than not that the Company's U.S. deferred tax assets will not be realized. As of December 31, 2025, a valuation allowance has been recorded on the Company's deferred tax assets to recognize only the portion of the deferred tax asset that is more likely than not to be recognized. The Company's total valuation allowance was $85.0 million at December 31, 2025 and $79.3 million at December 31, 2024. The Company's valuation allowance increased $5.7 million and $0.7 million during the fiscal years ended December 31, 2025 and 2024, respectively. A reconciliation of the beginning and ending amount of the valuation allowance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5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Valuation allowance at beginning of year</w:t>
            </w:r>
          </w:p>
        </w:tc>
        <w:tc>
          <w:tcPr>
            <w:tcW w:w="28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79,323</w:t>
            </w: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78,615</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25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7"/>
                <w:szCs w:val="17"/>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Valuation allowance at end of year</w:t>
            </w:r>
          </w:p>
        </w:tc>
        <w:tc>
          <w:tcPr>
            <w:tcW w:w="25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85,016</w:t>
            </w:r>
          </w:p>
        </w:tc>
        <w:tc>
          <w:tcPr>
            <w:tcW w:w="1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79,323</w:t>
            </w: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cumulative federal net operating losses of approximately $276.5 million. Of these losses, $7.6 million were generated in 2015 through 2017, prior to the Tax Cuts and Jobs Act enactment, and will expire between 2035 to 2037 if not utilized. The remaining net operating losses have an indefinite carryforward period. As of December 31, 2024, the Company had cumulative federal net operating losses of approximately $230.7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a $9.7 million deferred tax asset related to a federal research and development credit carryforward. This credit has been offset by a liability for unrecognized tax benefits of $2.4 million. If not utilized, the credits will expire between 2037 through 2045. As of December 31, 2024, the Company had a $9.1 million deferred tax asset related to a federal research and development credit carryforward.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State net operating losses of approximately $224.6 million. Of the total State net operating losses, approximately $185.6 million is attributable to Utah. Utah law allows unused net operating losses arising in tax years beginning after December 31, 2008 to be carried forward indefinitely. All of the Utah net operating losses are for tax years beginning after December 31, 2008, and are carried forward indefinitely. Of the total State net operating losses, approximately $22.6 million is attributable to Pennsylvania. Pennsylvania net operating losses will expire between 2034 through 2043. The remaining State net operating loss carryforwards are attributable to various other states with varying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1" w:name="page92"/>
    <w:bookmarkEnd w:id="9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expiration periods. As of December 31, 2024, the Company had cumulative State net operating losses of approximately $183.7 million. Of the total State net operation losses as of December 31, 2024, approximately $150.3 million is attributable to Utah.</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a $2.7 million deferred tax asset related to State research and development credits carryforward. Of the total State research and development credits, approximately $2.1 million is attributable to Utah. This credit has been offset by a liability for unrecognized tax benefits of $0.5 million. If not utilized, the credits will expire between 2030 through 2039. Of the total State research and development credits, approximately $0.6 million is attributable to Pennsylvania. If not utilized, the credits will expire between 2033 through 2037. As of December 31, 2024, the Company had a $1.9 million deferred tax asset related to a Utah research and development credit carryforward. This credit has been offset by a liability for unrecognized tax benefits of $0.5 million.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ASC Topic 740-10-05 requires that the impact of a tax position be recognized in the financial statements if that position is more likely than not of being sustained on audit, based on the technical merits of the position. As of December 31, 2025, the Company had a $2.9 million liability for unrecognized tax benefits, all of which is netted against deferred tax assets for related carryforward credits. As of December 31, 2024, the Company had a $2.7 million liability for unrecognized tax benefits, all of which is netted against deferred tax assets for related carryforward credits. The Company expects no material changes to the liability for unrecognized tax benefits in the next 12 months. Interest and penalties associated with uncertain tax positions are recorded as a component of income tax expense. There would be no impact to the Company’s effective rate if the unrecognized tax benefits were recognized. A reconciliation of the beginning and ending amounts of unrecognized benefits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Unrecognized tax benefits at the beginning of year</w:t>
            </w:r>
          </w:p>
        </w:tc>
        <w:tc>
          <w:tcPr>
            <w:tcW w:w="25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6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Gross increases – current year tax positions</w:t>
            </w: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increases – prior year tax positions</w:t>
            </w:r>
          </w:p>
        </w:tc>
        <w:tc>
          <w:tcPr>
            <w:tcW w:w="222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8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FF0FC"/>
          </w:tcPr>
          <w:p>
            <w:pPr>
              <w:spacing w:after="0"/>
              <w:rPr>
                <w:sz w:val="17"/>
                <w:szCs w:val="17"/>
                <w:color w:val="auto"/>
              </w:rPr>
            </w:pPr>
          </w:p>
        </w:tc>
      </w:tr>
      <w:tr>
        <w:trPr>
          <w:trHeight w:val="19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Unrecognized tax benefits at end of year</w:t>
            </w:r>
          </w:p>
        </w:tc>
        <w:tc>
          <w:tcPr>
            <w:tcW w:w="2220" w:type="dxa"/>
            <w:vAlign w:val="bottom"/>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0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penalties in year-end balance</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U.S. and various State tax returns in jurisdictions with various statutes of limitation. As of December 31, 2024, the tax returns for fiscal year 2015 through fiscal year 2023 remain subject to examination. Annual tax provisions include amounts considered necessary to pay assessments that may result from examination of prior year tax returns; however, the amount ultimately paid upon resolution of issues may differ materially from the amount accrued. As of December 31, 2025, there are no income tax returns currently under audit.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of cash income taxes paid by the Company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40" w:type="dxa"/>
            <w:vAlign w:val="bottom"/>
          </w:tcPr>
          <w:p>
            <w:pPr>
              <w:spacing w:after="0"/>
              <w:rPr>
                <w:sz w:val="17"/>
                <w:szCs w:val="17"/>
                <w:color w:val="auto"/>
              </w:rPr>
            </w:pP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w:t>
            </w: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State</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Massachusetts</w:t>
            </w:r>
          </w:p>
        </w:tc>
        <w:tc>
          <w:tcPr>
            <w:tcW w:w="4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r>
      <w:tr>
        <w:trPr>
          <w:trHeight w:val="202"/>
        </w:trPr>
        <w:tc>
          <w:tcPr>
            <w:tcW w:w="9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All other states</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3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 net of amounts refunded</w:t>
            </w:r>
          </w:p>
        </w:tc>
        <w:tc>
          <w:tcPr>
            <w:tcW w:w="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includes a broad range of tax reform provisions affecting businesses, including extending and modifying certain key Tax Cuts &amp; Jobs Act provisions (both domestic and international), expanding certain Inflation Reduction Act incentives while accelerating the phase-out of others. The Company has accounted for the impact of the applicable OBBBA provisions in its consolidated financial statements for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14, 2025, the Company acquired GuideTech in a tax-deferred stock purchase. The acquired deferred tax liabilities of GuideTech were available to offset the reversal of the Company’s preexisting deferred tax assets. As a result of the acquisition, the Company determined a portion of its preexisting tax assets were more likely than not to be realized by the combined entity, and the valuation allowance was reduced. The Company recorded a deferred tax benefit of $2.5 million related to the reduction of its valuation allowance.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2" w:name="page93"/>
    <w:bookmarkEnd w:id="92"/>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14, 2025, the Company also acquired MKR Fabricators and Warnke Precision Machining. From a tax perspective, the acquisition was treated as if the LLCs made liquidating distributions of all its assets to the members, and immediately thereafter, the Company purchased all of those assets from the members in a taxable transaction.</w:t>
      </w:r>
    </w:p>
    <w:p>
      <w:pPr>
        <w:spacing w:after="0" w:line="172" w:lineRule="exact"/>
        <w:rPr>
          <w:sz w:val="20"/>
          <w:szCs w:val="20"/>
          <w:color w:val="auto"/>
        </w:rPr>
      </w:pPr>
    </w:p>
    <w:p>
      <w:pPr>
        <w:ind w:right="8420" w:firstLine="8"/>
        <w:spacing w:after="0" w:line="518" w:lineRule="auto"/>
        <w:tabs>
          <w:tab w:leader="none" w:pos="27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provides or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December 31, 2025 and 2024,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has a single operating segment. The Company derives revenues from services contracts, existing product lines and manufacturing. The accounting policies of the segment are the same as those described in Note 1, Basis of Presentation and Summary of Significant Accounting Policies.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The CODM allocates resources and makes operating decisions based on consolidated net income. The CODM does not evaluate profitability below the level of the consolidated company. Net income (loss) is used to monitor results on a budget versus actual basis. Net income (loss) is adjusted for various non-recurring and non-cash transactions such as stock compensation expenses and impairment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Revenue</w:t>
            </w:r>
          </w:p>
        </w:tc>
        <w:tc>
          <w:tcPr>
            <w:tcW w:w="5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5,120</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Other Revenue </w:t>
            </w:r>
            <w:r>
              <w:rPr>
                <w:rFonts w:ascii="Times New Roman" w:cs="Times New Roman" w:eastAsia="Times New Roman" w:hAnsi="Times New Roman"/>
                <w:sz w:val="21"/>
                <w:szCs w:val="21"/>
                <w:color w:val="auto"/>
                <w:vertAlign w:val="superscript"/>
              </w:rPr>
              <w:t>(1)</w:t>
            </w:r>
          </w:p>
        </w:tc>
        <w:tc>
          <w:tcPr>
            <w:tcW w:w="5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00" w:type="dxa"/>
            <w:vAlign w:val="bottom"/>
          </w:tcPr>
          <w:p>
            <w:pPr>
              <w:spacing w:after="0"/>
              <w:rPr>
                <w:sz w:val="17"/>
                <w:szCs w:val="17"/>
                <w:color w:val="auto"/>
              </w:rPr>
            </w:pPr>
          </w:p>
        </w:tc>
      </w:tr>
      <w:tr>
        <w:trPr>
          <w:trHeight w:val="19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580" w:type="dxa"/>
            <w:vAlign w:val="bottom"/>
            <w:tcBorders>
              <w:bottom w:val="single" w:sz="8" w:color="auto"/>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Cost of revenue</w:t>
            </w:r>
          </w:p>
        </w:tc>
        <w:tc>
          <w:tcPr>
            <w:tcW w:w="58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8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10,322</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8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13,131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14,013</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58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Intangible amortization expense</w:t>
            </w:r>
          </w:p>
        </w:tc>
        <w:tc>
          <w:tcPr>
            <w:tcW w:w="58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40" w:type="dxa"/>
            <w:vAlign w:val="bottom"/>
          </w:tcPr>
          <w:p>
            <w:pPr>
              <w:ind w:left="100"/>
              <w:spacing w:after="0" w:line="203"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58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Interest income, net</w:t>
            </w:r>
          </w:p>
        </w:tc>
        <w:tc>
          <w:tcPr>
            <w:tcW w:w="58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(1,944)</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(1,244)</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loss on warrant liabilities</w:t>
            </w:r>
          </w:p>
        </w:tc>
        <w:tc>
          <w:tcPr>
            <w:tcW w:w="580" w:type="dxa"/>
            <w:vAlign w:val="bottom"/>
          </w:tcPr>
          <w:p>
            <w:pPr>
              <w:spacing w:after="0"/>
              <w:rPr>
                <w:sz w:val="17"/>
                <w:szCs w:val="17"/>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(37,740)</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46,935</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income, net</w:t>
            </w:r>
          </w:p>
        </w:tc>
        <w:tc>
          <w:tcPr>
            <w:tcW w:w="58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(221)</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580" w:type="dxa"/>
            <w:vAlign w:val="bottom"/>
          </w:tcPr>
          <w:p>
            <w:pPr>
              <w:spacing w:after="0"/>
              <w:rPr>
                <w:sz w:val="17"/>
                <w:szCs w:val="17"/>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(2,538)</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5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10,039</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(72,617)</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-1585595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revenue from legacy product sales.</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year ended December 31, 2025, includes $4.4 million of stock-based compensation expenses, $0.2 million of severance charges and $0.6 other non-recurring transactions. Other for the year ended December 31, 2024, includes $1.1 million of cost of revenue from legacy product sales, $2.8 million of stock-based compensation expenses, $0.6 million of other non-recurring or non-cash transactions.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revenue is derived primarily from U.S. customers. During the years ended December 31, 2025 and 2024, the Company had no revenue earned from customers located outside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maintained in the United States. All losses are attributable to operations within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defined contribution 401(k) plans covering substantially all employees as of December 31, 2025. The plans allow employees to defer up to 100% of their employment income (subject to annual contribution limits imposed by the I.R.S.) after all taxes and applicable benefit deductions. The Company provides employees with 401(k) matching contributions. The Company recognized $0.6 million of expense for 401(k) matching contributions during each of the twelve months ended December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From January 1, 2026 through the date of this filing, the Company sold 368,326 shares of Common Stock under the at-the-market equity offering program for gross proceeds of $2.5 million, before deducting commission and other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December 31, 2025, pursuant to Rule 13a-15(b) under the Exchange Act. Based upon that evaluation, our Certifying Officers concluded that our disclosure controls and procedures were effective as of December 31, 2025.</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Under the supervision of our Certifying Officers, management conducted an evaluation of the effectiveness of our internal control over financial reporting as of December 31, 2025, based on the framework set forth by the Committee of Sponsoring Organizations of the Treadway Commission (COSO) in "Internal Control-Integrated Framework." Based on that evaluation, management has concluded that our internal control over financial reporting was effective as of December 31,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acquired GuideTech LLC, MKR Fabrication LLC and Warnke Precision Machining LLC in November 2025 (together, the "2025 Acquired Companies"). Management has excluded the 2025 Acquired Companies from its evaluation of the effectiveness of internal control over financial reporting as of December 31, 2025. The total assets, excluding intangible assets and goodwill, and total revenue of the 2025 Acquired Companies represent approximately 9.1% and 26.5%, respectively, of the related consolidated financial statements amounts as of and for the fiscal year ended December 31,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as permitted due to our status as an emerging growth company under the JOBS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December 31, 2025 covered by this Report that has materially affected, or is reasonably likely to materially affect, our internal control over financial reporting. We are currently in the process of integrating the 2025 Acquired Companies' operations, control processes and information systems into our systems and control environment. We believe that we have taken the necessary steps to monitor and maintain appropriate internal controls over financial reporting during this integration.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5" w:name="page96"/>
    <w:bookmarkEnd w:id="95"/>
    <w:p>
      <w:pPr>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adopted or terminated a non-Rule 10b5-1 trading arrangement (as defined in Item 408(c) of Regulation S-K) during the quarter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93" w:right="559" w:bottom="1440" w:gutter="0" w:footer="0" w:header="0"/>
        </w:sectPr>
      </w:pPr>
    </w:p>
    <w:bookmarkStart w:id="96" w:name="page97"/>
    <w:bookmarkEnd w:id="96"/>
    <w:p>
      <w:pPr>
        <w:ind w:left="52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EXECTIVE OFFICERS AND CORPORATE GOVERNANCE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relating to the availability of our code of conduct for executive officers and directors is set forth below. The other information required by this item is incorporated by reference to our definitive proxy statement to be filed in connection with the 2026 Annual Meeting of Stockholders no later than 120 days after December 31,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applicable to our directors, executive officers and employees. The Code of Business Conduct and Ethics codifies the business and ethical principles that govern all aspects of our business. The full text of our code of business conduct and ethics is posted on the investor relations page on our website at https://investor.palladyneai.com/governance/documents-charters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a copy of the Code of Ethics will be provided without charge upon request to us in writing at 650 South 500 West, Salt Lake City, Utah 84101 or by telephone at 888-927-7296. Any amendments to or waivers of the Code of Conduct will be disclosed on our website.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in connection with the 2026 Annual Meeting of Stockholders no later than 120 days after December 31, 2025.</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in connection with the 2026 Annual Meeting of Stockholders no later than 120 days after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in connection with the 2026 Annual Meeting of Stockholders no later than 120 days after December 31,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in connection with the 2026 Annual Meeting of Stockholders no later than 120 days after December 31,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85"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consolidated financial statements in Part II, Item 8 of this Annual Report on Form 10-K.</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 Financial Statement Schedule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either not applicable or the required information is shown in the consolidated financial statements or notes thereto.</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precedes the signature page of this Annual Report on Form 10-K.</w:t>
      </w:r>
    </w:p>
    <w:p>
      <w:pPr>
        <w:spacing w:after="0" w:line="181"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181"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15(a)(2) above.</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reviewing the agreements included as exhibits to this Annual Report on Form 10-K, please remember that they are included to provide you with information regarding their terms and are not intended to provide any other factual or disclosure information about the Company or the other parties to the agreement. The agreements may contain representations and warranties that the parties made to each other as of specific dates. The assertions embodied in those representations and warranties were made solely for purposes of the applicable agreement and may be subject to important qualifications and limitations agreed to by the parties in connection with negotiating the terms of such agreement. In addition, such representations and warranties: (1) may not be accurate or complete as of any specified date; (2) are modified and qualified in important part by the underlying disclosure schedules; (3) may be subject to a contractual standard of materiality different from those generally applicable to investors; or (4) may have been used for the purpose of allocating risk among the parties to the applicable agreement, rather than establishing matters as facts. Moreover, information concerning the subject matter of the representations and warranties may change after the date of the applicable agreement, which subsequent information may or may not be fully reflected in Company's public disclosures. For the foregoing reasons, the representations and warranties should not be relied upon as statements of factual information.</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gridSpan w:val="14"/>
            <w:vMerge w:val="restart"/>
          </w:tcPr>
          <w:p>
            <w:pPr>
              <w:ind w:left="4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260" w:type="dxa"/>
            <w:vAlign w:val="bottom"/>
            <w:tcBorders>
              <w:top w:val="single" w:sz="8" w:color="auto"/>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Agreement and Plan of Merger, dated as of April 5, 2021, by and among the Company, Rotor Merger Sub Corp. and Old Sarcos</w:t>
              </w:r>
            </w:hyperlink>
          </w:p>
        </w:tc>
        <w:tc>
          <w:tcPr>
            <w:tcW w:w="700" w:type="dxa"/>
            <w:vAlign w:val="bottom"/>
            <w:tcBorders>
              <w:top w:val="single" w:sz="8" w:color="auto"/>
            </w:tcBorders>
            <w:gridSpan w:val="5"/>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(incorporated by reference to Exhibit 2.1 to the Company's Current Report on Form 8-K filed with the SEC on April 6, 2021).</w:t>
              </w:r>
            </w:hyperlink>
          </w:p>
        </w:tc>
        <w:tc>
          <w:tcPr>
            <w:tcW w:w="20" w:type="dxa"/>
            <w:vAlign w:val="bottom"/>
            <w:tcBorders>
              <w:bottom w:val="single" w:sz="8" w:color="0000EE"/>
            </w:tcBorders>
          </w:tcPr>
          <w:p>
            <w:pPr>
              <w:spacing w:after="0"/>
              <w:rPr>
                <w:sz w:val="17"/>
                <w:szCs w:val="17"/>
                <w:color w:val="auto"/>
              </w:rPr>
            </w:pPr>
          </w:p>
        </w:tc>
        <w:tc>
          <w:tcPr>
            <w:tcW w:w="1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Amendment No. 1 to Merger Agreement, dated as of August 28, 2021, by and among the Company, Rotor Merger Sub Corp. and Old</w:t>
              </w:r>
            </w:hyperlink>
          </w:p>
        </w:tc>
        <w:tc>
          <w:tcPr>
            <w:tcW w:w="6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14"/>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Sarcos (incorporated by reference to Exhibit 2.1 to the Company's Current Report on Form 8-K filed with the SEC on August 30, 2021).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Merger Agreement, dated March 27, 2022, by and among the Company, Spiral Merger Sub I, Inc., Spiral Merger Sub II, LLC, RE2, Inc.</w:t>
              </w:r>
            </w:hyperlink>
          </w:p>
        </w:tc>
        <w:tc>
          <w:tcPr>
            <w:tcW w:w="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and Draper Triangle Ventures III, LP, solely in its capacity as the agent for and on behalf of the shareholders of RE2 (incorporated by</w:t>
              </w:r>
            </w:hyperlink>
          </w:p>
        </w:tc>
        <w:tc>
          <w:tcPr>
            <w:tcW w:w="6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reference to Exhibit 2.1 to the Company's Current Report on Form 8-K filed with the SEC on March 29, 2022).</w:t>
              </w:r>
            </w:hyperlink>
          </w:p>
        </w:tc>
        <w:tc>
          <w:tcPr>
            <w:tcW w:w="20" w:type="dxa"/>
            <w:vAlign w:val="bottom"/>
            <w:tcBorders>
              <w:bottom w:val="single" w:sz="8" w:color="0000EE"/>
            </w:tcBorders>
          </w:tcPr>
          <w:p>
            <w:pPr>
              <w:spacing w:after="0"/>
              <w:rPr>
                <w:sz w:val="17"/>
                <w:szCs w:val="17"/>
                <w:color w:val="auto"/>
              </w:rPr>
            </w:pPr>
          </w:p>
        </w:tc>
        <w:tc>
          <w:tcPr>
            <w:tcW w:w="2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Second Amended and Restated Certificate of Incorporation of the Company (incorporated by reference to Exhibit 3.1 to the Company's</w:t>
              </w:r>
            </w:hyperlink>
          </w:p>
        </w:tc>
        <w:tc>
          <w:tcPr>
            <w:tcW w:w="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Current Report on Form 8-K filed with the SEC on September 30, 2021).</w:t>
              </w:r>
            </w:hyperlink>
          </w:p>
        </w:tc>
        <w:tc>
          <w:tcPr>
            <w:tcW w:w="20" w:type="dxa"/>
            <w:vAlign w:val="bottom"/>
            <w:tcBorders>
              <w:bottom w:val="single" w:sz="8" w:color="0000EE"/>
            </w:tcBorders>
          </w:tcPr>
          <w:p>
            <w:pPr>
              <w:spacing w:after="0"/>
              <w:rPr>
                <w:sz w:val="17"/>
                <w:szCs w:val="17"/>
                <w:color w:val="auto"/>
              </w:rPr>
            </w:pPr>
          </w:p>
        </w:tc>
        <w:tc>
          <w:tcPr>
            <w:tcW w:w="50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Certificate of Amendment of Amended and Restated Certificate of Incorporation of the Company (incorporated by reference to Exhibit</w:t>
              </w:r>
            </w:hyperlink>
          </w:p>
        </w:tc>
        <w:tc>
          <w:tcPr>
            <w:tcW w:w="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filed with the SEC on June 20, 2023).</w:t>
              </w:r>
            </w:hyperlink>
          </w:p>
        </w:tc>
        <w:tc>
          <w:tcPr>
            <w:tcW w:w="39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5400" w:type="dxa"/>
            <w:vAlign w:val="bottom"/>
            <w:gridSpan w:val="3"/>
          </w:tcPr>
          <w:p>
            <w:pPr>
              <w:ind w:left="474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800" w:type="dxa"/>
            <w:vAlign w:val="bottom"/>
            <w:tcBorders>
              <w:bottom w:val="single" w:sz="8" w:color="0000FF"/>
            </w:tcBorders>
            <w:gridSpan w:val="45"/>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Certificate of Amendment of Amended and Restated Certificate of Incorporation of the Company (incorporated by reference to Exhibit</w:t>
              </w:r>
            </w:hyperlink>
          </w:p>
        </w:tc>
        <w:tc>
          <w:tcPr>
            <w:tcW w:w="52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5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filed with the SEC on March 18, 2024).</w:t>
              </w:r>
            </w:hyperlink>
          </w:p>
        </w:tc>
        <w:tc>
          <w:tcPr>
            <w:tcW w:w="20" w:type="dxa"/>
            <w:vAlign w:val="bottom"/>
            <w:tcBorders>
              <w:bottom w:val="single" w:sz="8" w:color="0000EE"/>
            </w:tcBorders>
          </w:tcPr>
          <w:p>
            <w:pPr>
              <w:spacing w:after="0"/>
              <w:rPr>
                <w:sz w:val="17"/>
                <w:szCs w:val="17"/>
                <w:color w:val="auto"/>
              </w:rPr>
            </w:pPr>
          </w:p>
        </w:tc>
        <w:tc>
          <w:tcPr>
            <w:tcW w:w="3760" w:type="dxa"/>
            <w:vAlign w:val="bottom"/>
            <w:gridSpan w:val="28"/>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9920" w:type="dxa"/>
            <w:vAlign w:val="bottom"/>
            <w:tcBorders>
              <w:bottom w:val="single" w:sz="8" w:color="0000FF"/>
            </w:tcBorders>
            <w:gridSpan w:val="51"/>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Amended and Restated Bylaws of the Company (incorporated by reference to Exhibit 3.2 to the Company's Current Report on Form 8-K</w:t>
              </w:r>
            </w:hyperlink>
          </w:p>
        </w:tc>
        <w:tc>
          <w:tcPr>
            <w:tcW w:w="40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filed with the SEC on March 18, 2024).</w:t>
              </w:r>
            </w:hyperlink>
          </w:p>
        </w:tc>
        <w:tc>
          <w:tcPr>
            <w:tcW w:w="7420" w:type="dxa"/>
            <w:vAlign w:val="bottom"/>
            <w:gridSpan w:val="43"/>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9800" w:type="dxa"/>
            <w:vAlign w:val="bottom"/>
            <w:tcBorders>
              <w:bottom w:val="single" w:sz="8" w:color="0000FF"/>
            </w:tcBorders>
            <w:gridSpan w:val="45"/>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Warrant Agreement between Continental Transfer &amp; Trust Company and the Registrant (incorporated by reference to Exhibit 4.4 to the</w:t>
              </w:r>
            </w:hyperlink>
          </w:p>
        </w:tc>
        <w:tc>
          <w:tcPr>
            <w:tcW w:w="52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8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Company's Registration Statement on Form S-1/A filed with the SEC on December 30, 2020).</w:t>
              </w:r>
            </w:hyperlink>
          </w:p>
        </w:tc>
        <w:tc>
          <w:tcPr>
            <w:tcW w:w="20" w:type="dxa"/>
            <w:vAlign w:val="bottom"/>
            <w:tcBorders>
              <w:bottom w:val="single" w:sz="8" w:color="0000EE"/>
            </w:tcBorders>
          </w:tcPr>
          <w:p>
            <w:pPr>
              <w:spacing w:after="0"/>
              <w:rPr>
                <w:sz w:val="17"/>
                <w:szCs w:val="17"/>
                <w:color w:val="auto"/>
              </w:rPr>
            </w:pPr>
          </w:p>
        </w:tc>
        <w:tc>
          <w:tcPr>
            <w:tcW w:w="3500" w:type="dxa"/>
            <w:vAlign w:val="bottom"/>
            <w:gridSpan w:val="26"/>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720" w:type="dxa"/>
            <w:vAlign w:val="bottom"/>
            <w:tcBorders>
              <w:bottom w:val="single" w:sz="8" w:color="0000FF"/>
            </w:tcBorders>
            <w:gridSpan w:val="41"/>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Specimen Warrant Certificate (incorporated by reference to Exhibit 4.3 to the Company's Registration Statement on Form S-1/A filed</w:t>
              </w:r>
            </w:hyperlink>
          </w:p>
        </w:tc>
        <w:tc>
          <w:tcPr>
            <w:tcW w:w="60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7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with the SEC on December 30, 2020).</w:t>
              </w:r>
            </w:hyperlink>
          </w:p>
        </w:tc>
        <w:tc>
          <w:tcPr>
            <w:tcW w:w="20" w:type="dxa"/>
            <w:vAlign w:val="bottom"/>
            <w:tcBorders>
              <w:bottom w:val="single" w:sz="8" w:color="0000EE"/>
            </w:tcBorders>
          </w:tcPr>
          <w:p>
            <w:pPr>
              <w:spacing w:after="0"/>
              <w:rPr>
                <w:sz w:val="17"/>
                <w:szCs w:val="17"/>
                <w:color w:val="auto"/>
              </w:rPr>
            </w:pPr>
          </w:p>
        </w:tc>
        <w:tc>
          <w:tcPr>
            <w:tcW w:w="7540" w:type="dxa"/>
            <w:vAlign w:val="bottom"/>
            <w:gridSpan w:val="44"/>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320" w:type="dxa"/>
            <w:vAlign w:val="bottom"/>
            <w:gridSpan w:val="54"/>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Specimen Stock Certificate (incorporated by reference to Exhibit 4.1 to the Company's Current Report on Form 8-K filed on September</w:t>
              </w:r>
            </w:hyperlink>
          </w:p>
        </w:tc>
      </w:tr>
      <w:tr>
        <w:trPr>
          <w:trHeight w:val="196"/>
        </w:trPr>
        <w:tc>
          <w:tcPr>
            <w:tcW w:w="92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25">
              <w:r>
                <w:rPr>
                  <w:rFonts w:ascii="Times New Roman" w:cs="Times New Roman" w:eastAsia="Times New Roman" w:hAnsi="Times New Roman"/>
                  <w:sz w:val="18"/>
                  <w:szCs w:val="18"/>
                  <w:color w:val="0000FF"/>
                  <w:w w:val="97"/>
                </w:rPr>
                <w:t>30, 2021).</w:t>
              </w:r>
            </w:hyperlink>
          </w:p>
        </w:tc>
        <w:tc>
          <w:tcPr>
            <w:tcW w:w="20" w:type="dxa"/>
            <w:vAlign w:val="bottom"/>
            <w:tcBorders>
              <w:top w:val="single" w:sz="8" w:color="0000FF"/>
              <w:bottom w:val="single" w:sz="8" w:color="0000EE"/>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9960" w:type="dxa"/>
            <w:vAlign w:val="bottom"/>
            <w:tcBorders>
              <w:bottom w:val="single" w:sz="8" w:color="0000FF"/>
            </w:tcBorders>
            <w:gridSpan w:val="53"/>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Form of Common Warrant (incorporated by reference to Exhibit 4.1 to the Company's Current Report on Form 8-K filed with the SEC on</w:t>
              </w:r>
            </w:hyperlink>
          </w:p>
        </w:tc>
        <w:tc>
          <w:tcPr>
            <w:tcW w:w="3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54"/>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October 31, 2024).</w:t>
              </w:r>
            </w:hyperlink>
          </w:p>
        </w:tc>
      </w:tr>
      <w:tr>
        <w:trPr>
          <w:trHeight w:val="20"/>
        </w:trPr>
        <w:tc>
          <w:tcPr>
            <w:tcW w:w="92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9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the Company's Securities.</w:t>
            </w:r>
          </w:p>
        </w:tc>
        <w:tc>
          <w:tcPr>
            <w:tcW w:w="20" w:type="dxa"/>
            <w:vAlign w:val="bottom"/>
            <w:tcBorders>
              <w:bottom w:val="single" w:sz="8" w:color="0000EE"/>
            </w:tcBorders>
          </w:tcPr>
          <w:p>
            <w:pPr>
              <w:spacing w:after="0"/>
              <w:rPr>
                <w:sz w:val="17"/>
                <w:szCs w:val="17"/>
                <w:color w:val="auto"/>
              </w:rPr>
            </w:pPr>
          </w:p>
        </w:tc>
        <w:tc>
          <w:tcPr>
            <w:tcW w:w="7340" w:type="dxa"/>
            <w:vAlign w:val="bottom"/>
            <w:gridSpan w:val="41"/>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6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Letter Agreement between Rotor, Rotor Sponsor LLC and Riverview LLC (incorporated by reference to Exhibit 10.4 the Company's</w:t>
              </w:r>
            </w:hyperlink>
          </w:p>
        </w:tc>
        <w:tc>
          <w:tcPr>
            <w:tcW w:w="700" w:type="dxa"/>
            <w:vAlign w:val="bottom"/>
            <w:gridSpan w:val="1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54"/>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Current Report on Form 8-K filed with the SEC on January 20, 2021).</w:t>
              </w:r>
            </w:hyperlink>
          </w:p>
        </w:tc>
      </w:tr>
      <w:tr>
        <w:trPr>
          <w:trHeight w:val="20"/>
        </w:trPr>
        <w:tc>
          <w:tcPr>
            <w:tcW w:w="92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9880" w:type="dxa"/>
            <w:vAlign w:val="bottom"/>
            <w:tcBorders>
              <w:bottom w:val="single" w:sz="8" w:color="0000FF"/>
            </w:tcBorders>
            <w:gridSpan w:val="49"/>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Form of Letter Agreement between the Company, Rotor Sponsor LLC and Black Rock Funds (incorporated by reference to Exhibit 10.5</w:t>
              </w:r>
            </w:hyperlink>
          </w:p>
        </w:tc>
        <w:tc>
          <w:tcPr>
            <w:tcW w:w="44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3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to the Company's Current Report on Form 8-K filed with the SEC on January 20, 2021).</w:t>
              </w:r>
            </w:hyperlink>
          </w:p>
        </w:tc>
        <w:tc>
          <w:tcPr>
            <w:tcW w:w="20" w:type="dxa"/>
            <w:vAlign w:val="bottom"/>
            <w:tcBorders>
              <w:bottom w:val="single" w:sz="8" w:color="0000EE"/>
            </w:tcBorders>
          </w:tcPr>
          <w:p>
            <w:pPr>
              <w:spacing w:after="0"/>
              <w:rPr>
                <w:sz w:val="17"/>
                <w:szCs w:val="17"/>
                <w:color w:val="auto"/>
              </w:rPr>
            </w:pPr>
          </w:p>
        </w:tc>
        <w:tc>
          <w:tcPr>
            <w:tcW w:w="3940" w:type="dxa"/>
            <w:vAlign w:val="bottom"/>
            <w:gridSpan w:val="31"/>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9940" w:type="dxa"/>
            <w:vAlign w:val="bottom"/>
            <w:tcBorders>
              <w:bottom w:val="single" w:sz="8" w:color="0000FF"/>
            </w:tcBorders>
            <w:gridSpan w:val="52"/>
          </w:tcPr>
          <w:p>
            <w:pPr>
              <w:spacing w:after="0" w:line="19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Form of Subscription Agreement (incorporated by reference to Exhibit 10.3 to the Company's Current Report on Form 8-K filed with the</w:t>
              </w:r>
            </w:hyperlink>
          </w:p>
        </w:tc>
        <w:tc>
          <w:tcPr>
            <w:tcW w:w="38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SEC on April 6, 2021).</w:t>
              </w:r>
            </w:hyperlink>
          </w:p>
        </w:tc>
        <w:tc>
          <w:tcPr>
            <w:tcW w:w="20" w:type="dxa"/>
            <w:vAlign w:val="bottom"/>
            <w:tcBorders>
              <w:bottom w:val="single" w:sz="8" w:color="0000EE"/>
            </w:tcBorders>
          </w:tcPr>
          <w:p>
            <w:pPr>
              <w:spacing w:after="0"/>
              <w:rPr>
                <w:sz w:val="17"/>
                <w:szCs w:val="17"/>
                <w:color w:val="auto"/>
              </w:rPr>
            </w:pPr>
          </w:p>
        </w:tc>
        <w:tc>
          <w:tcPr>
            <w:tcW w:w="8620" w:type="dxa"/>
            <w:vAlign w:val="bottom"/>
            <w:gridSpan w:val="46"/>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9920" w:type="dxa"/>
            <w:vAlign w:val="bottom"/>
            <w:tcBorders>
              <w:bottom w:val="single" w:sz="8" w:color="0000FF"/>
            </w:tcBorders>
            <w:gridSpan w:val="51"/>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Form of Waiver Agreement (incorporated by reference to Exhibit 10.4 to the Company's Current Report on Form 8-K filed with the SEC</w:t>
              </w:r>
            </w:hyperlink>
          </w:p>
        </w:tc>
        <w:tc>
          <w:tcPr>
            <w:tcW w:w="40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3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30">
              <w:r>
                <w:rPr>
                  <w:rFonts w:ascii="Times New Roman" w:cs="Times New Roman" w:eastAsia="Times New Roman" w:hAnsi="Times New Roman"/>
                  <w:sz w:val="18"/>
                  <w:szCs w:val="18"/>
                  <w:color w:val="0000FF"/>
                  <w:w w:val="98"/>
                </w:rPr>
                <w:t>on April 6, 2021).</w:t>
              </w:r>
            </w:hyperlink>
          </w:p>
        </w:tc>
        <w:tc>
          <w:tcPr>
            <w:tcW w:w="80" w:type="dxa"/>
            <w:vAlign w:val="bottom"/>
            <w:tcBorders>
              <w:bottom w:val="single" w:sz="8" w:color="0000EE"/>
            </w:tcBorders>
          </w:tcPr>
          <w:p>
            <w:pPr>
              <w:spacing w:after="0"/>
              <w:rPr>
                <w:sz w:val="17"/>
                <w:szCs w:val="17"/>
                <w:color w:val="auto"/>
              </w:rPr>
            </w:pPr>
          </w:p>
        </w:tc>
        <w:tc>
          <w:tcPr>
            <w:tcW w:w="8940" w:type="dxa"/>
            <w:vAlign w:val="bottom"/>
            <w:gridSpan w:val="50"/>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90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Form of Registration Rights Agreement, by and among the Company, Rotor Sponsor LLC and certain stockholders of Sarcos</w:t>
              </w:r>
            </w:hyperlink>
          </w:p>
        </w:tc>
        <w:tc>
          <w:tcPr>
            <w:tcW w:w="1240" w:type="dxa"/>
            <w:vAlign w:val="bottom"/>
            <w:gridSpan w:val="2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54"/>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(incorporated by reference to Exhibit 10.5 to the Company's Current Report on Form 8-K filed with the SEC on April 6, 2021).</w:t>
              </w:r>
            </w:hyperlink>
          </w:p>
        </w:tc>
      </w:tr>
      <w:tr>
        <w:trPr>
          <w:trHeight w:val="20"/>
        </w:trPr>
        <w:tc>
          <w:tcPr>
            <w:tcW w:w="92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0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9860" w:type="dxa"/>
            <w:vAlign w:val="bottom"/>
            <w:tcBorders>
              <w:bottom w:val="single" w:sz="8" w:color="0000FF"/>
            </w:tcBorders>
            <w:gridSpan w:val="48"/>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Form of Indemnification Agreement (incorporated by reference to Exhibit 10.16 to the Company's Current Report on Form 8-K filed on</w:t>
              </w:r>
            </w:hyperlink>
          </w:p>
        </w:tc>
        <w:tc>
          <w:tcPr>
            <w:tcW w:w="46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5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September 30, 2021).</w:t>
              </w:r>
            </w:hyperlink>
          </w:p>
        </w:tc>
        <w:tc>
          <w:tcPr>
            <w:tcW w:w="20" w:type="dxa"/>
            <w:vAlign w:val="bottom"/>
            <w:tcBorders>
              <w:bottom w:val="single" w:sz="8" w:color="0000EE"/>
            </w:tcBorders>
          </w:tcPr>
          <w:p>
            <w:pPr>
              <w:spacing w:after="0"/>
              <w:rPr>
                <w:sz w:val="17"/>
                <w:szCs w:val="17"/>
                <w:color w:val="auto"/>
              </w:rPr>
            </w:pPr>
          </w:p>
        </w:tc>
        <w:tc>
          <w:tcPr>
            <w:tcW w:w="8740" w:type="dxa"/>
            <w:vAlign w:val="bottom"/>
            <w:gridSpan w:val="48"/>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9720" w:type="dxa"/>
            <w:vAlign w:val="bottom"/>
            <w:tcBorders>
              <w:bottom w:val="single" w:sz="8" w:color="0000FF"/>
            </w:tcBorders>
            <w:gridSpan w:val="41"/>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Sarcos 2015 Equity Incentive Plan (incorporated by reference to Exhibit 10.10 to the Company's Current Report on Form 8-K filed on</w:t>
              </w:r>
            </w:hyperlink>
          </w:p>
        </w:tc>
        <w:tc>
          <w:tcPr>
            <w:tcW w:w="60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5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September 30, 2021).</w:t>
              </w:r>
            </w:hyperlink>
          </w:p>
        </w:tc>
        <w:tc>
          <w:tcPr>
            <w:tcW w:w="20" w:type="dxa"/>
            <w:vAlign w:val="bottom"/>
            <w:tcBorders>
              <w:bottom w:val="single" w:sz="8" w:color="0000EE"/>
            </w:tcBorders>
          </w:tcPr>
          <w:p>
            <w:pPr>
              <w:spacing w:after="0"/>
              <w:rPr>
                <w:sz w:val="17"/>
                <w:szCs w:val="17"/>
                <w:color w:val="auto"/>
              </w:rPr>
            </w:pPr>
          </w:p>
        </w:tc>
        <w:tc>
          <w:tcPr>
            <w:tcW w:w="8740" w:type="dxa"/>
            <w:vAlign w:val="bottom"/>
            <w:gridSpan w:val="48"/>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9740" w:type="dxa"/>
            <w:vAlign w:val="bottom"/>
            <w:tcBorders>
              <w:bottom w:val="single" w:sz="8" w:color="0000FF"/>
            </w:tcBorders>
            <w:gridSpan w:val="42"/>
          </w:tcPr>
          <w:p>
            <w:pPr>
              <w:spacing w:after="0" w:line="196"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Palladyne AI Corp. 2021 Equity Incentive Plan, forms of agreement (incorporated by reference to Exhibit 10.8 the Company's Current</w:t>
              </w:r>
            </w:hyperlink>
          </w:p>
        </w:tc>
        <w:tc>
          <w:tcPr>
            <w:tcW w:w="58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6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Report on Form 8-K filed with the SEC on September 30, 2021).</w:t>
              </w:r>
            </w:hyperlink>
          </w:p>
        </w:tc>
        <w:tc>
          <w:tcPr>
            <w:tcW w:w="20" w:type="dxa"/>
            <w:vAlign w:val="bottom"/>
            <w:tcBorders>
              <w:bottom w:val="single" w:sz="8" w:color="0000EE"/>
            </w:tcBorders>
          </w:tcPr>
          <w:p>
            <w:pPr>
              <w:spacing w:after="0"/>
              <w:rPr>
                <w:sz w:val="17"/>
                <w:szCs w:val="17"/>
                <w:color w:val="auto"/>
              </w:rPr>
            </w:pPr>
          </w:p>
        </w:tc>
        <w:tc>
          <w:tcPr>
            <w:tcW w:w="5620" w:type="dxa"/>
            <w:vAlign w:val="bottom"/>
            <w:gridSpan w:val="36"/>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3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Palladyne AI Corp. Amended and Restated 2021 Employee Stock Purchase Plan (incorporated by reference to Exhibit 10.1 to the</w:t>
              </w:r>
            </w:hyperlink>
          </w:p>
        </w:tc>
        <w:tc>
          <w:tcPr>
            <w:tcW w:w="940" w:type="dxa"/>
            <w:vAlign w:val="bottom"/>
            <w:gridSpan w:val="1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6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Company's Quarterly Report on Form 10-Q filed with the SEC for the quarter ended September 30, 2024).</w:t>
              </w:r>
            </w:hyperlink>
          </w:p>
        </w:tc>
        <w:tc>
          <w:tcPr>
            <w:tcW w:w="20" w:type="dxa"/>
            <w:vAlign w:val="bottom"/>
            <w:tcBorders>
              <w:bottom w:val="single" w:sz="8" w:color="0000EE"/>
            </w:tcBorders>
          </w:tcPr>
          <w:p>
            <w:pPr>
              <w:spacing w:after="0"/>
              <w:rPr>
                <w:sz w:val="17"/>
                <w:szCs w:val="17"/>
                <w:color w:val="auto"/>
              </w:rPr>
            </w:pPr>
          </w:p>
        </w:tc>
        <w:tc>
          <w:tcPr>
            <w:tcW w:w="2620" w:type="dxa"/>
            <w:vAlign w:val="bottom"/>
            <w:gridSpan w:val="23"/>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840" w:type="dxa"/>
            <w:vAlign w:val="bottom"/>
            <w:tcBorders>
              <w:bottom w:val="single" w:sz="8" w:color="0000FF"/>
            </w:tcBorders>
            <w:gridSpan w:val="47"/>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Palladyne AI Corp. 2024 Inducement Equity Incentive Plan (incorporated by reference to Exhibit 99.1 to the Company's Current Report</w:t>
              </w:r>
            </w:hyperlink>
          </w:p>
        </w:tc>
        <w:tc>
          <w:tcPr>
            <w:tcW w:w="48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9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on Form 8-K filed with the SEC on October 31, 2024).</w:t>
              </w:r>
            </w:hyperlink>
          </w:p>
        </w:tc>
        <w:tc>
          <w:tcPr>
            <w:tcW w:w="20" w:type="dxa"/>
            <w:vAlign w:val="bottom"/>
            <w:tcBorders>
              <w:bottom w:val="single" w:sz="8" w:color="0000EE"/>
            </w:tcBorders>
          </w:tcPr>
          <w:p>
            <w:pPr>
              <w:spacing w:after="0"/>
              <w:rPr>
                <w:sz w:val="17"/>
                <w:szCs w:val="17"/>
                <w:color w:val="auto"/>
              </w:rPr>
            </w:pPr>
          </w:p>
        </w:tc>
        <w:tc>
          <w:tcPr>
            <w:tcW w:w="6340" w:type="dxa"/>
            <w:vAlign w:val="bottom"/>
            <w:gridSpan w:val="38"/>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900" w:type="dxa"/>
            <w:vAlign w:val="bottom"/>
            <w:tcBorders>
              <w:bottom w:val="single" w:sz="8" w:color="0000FF"/>
            </w:tcBorders>
            <w:gridSpan w:val="50"/>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Form of Restricted Stock Agreement under the 2021 Equity Incentive Plan (incorporated by reference to Exhibit 10.19 to the Company's</w:t>
              </w:r>
            </w:hyperlink>
          </w:p>
        </w:tc>
        <w:tc>
          <w:tcPr>
            <w:tcW w:w="4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4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Annual Report on Form 10-K filed with the SEC for the year ended December 31, 2023)</w:t>
              </w:r>
            </w:hyperlink>
          </w:p>
        </w:tc>
        <w:tc>
          <w:tcPr>
            <w:tcW w:w="3920" w:type="dxa"/>
            <w:vAlign w:val="bottom"/>
            <w:gridSpan w:val="30"/>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780" w:type="dxa"/>
            <w:vAlign w:val="bottom"/>
            <w:tcBorders>
              <w:bottom w:val="single" w:sz="8" w:color="0000FF"/>
            </w:tcBorders>
            <w:gridSpan w:val="44"/>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Form of Stand-Alone Restricted Stock Unit Agreement (incorporated by reference to Exhibit 10.1 to the Company’s Current Report on</w:t>
              </w:r>
            </w:hyperlink>
          </w:p>
        </w:tc>
        <w:tc>
          <w:tcPr>
            <w:tcW w:w="540" w:type="dxa"/>
            <w:vAlign w:val="bottom"/>
            <w:gridSpan w:val="1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54"/>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Form 8-K filed with the SEC on November 17, 2025)</w:t>
              </w:r>
            </w:hyperlink>
          </w:p>
        </w:tc>
      </w:tr>
      <w:tr>
        <w:trPr>
          <w:trHeight w:val="20"/>
        </w:trPr>
        <w:tc>
          <w:tcPr>
            <w:tcW w:w="920" w:type="dxa"/>
            <w:vAlign w:val="bottom"/>
          </w:tcPr>
          <w:p>
            <w:pPr>
              <w:spacing w:after="0" w:line="20" w:lineRule="exact"/>
              <w:rPr>
                <w:sz w:val="1"/>
                <w:szCs w:val="1"/>
                <w:color w:val="auto"/>
              </w:rPr>
            </w:pPr>
          </w:p>
        </w:tc>
        <w:tc>
          <w:tcPr>
            <w:tcW w:w="3880" w:type="dxa"/>
            <w:vAlign w:val="bottom"/>
            <w:tcBorders>
              <w:right w:val="single" w:sz="8" w:color="0000EE"/>
            </w:tcBorders>
            <w:gridSpan w:val="14"/>
            <w:shd w:val="clear" w:color="auto" w:fill="0000FF"/>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70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Amended and Restated Outside Director Compensation Policy (incorporated by reference to Exhibit 10.1 to the Company's Quarterly</w:t>
              </w:r>
            </w:hyperlink>
          </w:p>
        </w:tc>
        <w:tc>
          <w:tcPr>
            <w:tcW w:w="620" w:type="dxa"/>
            <w:vAlign w:val="bottom"/>
            <w:gridSpan w:val="1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1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Report on Form 10-Q filed with the SEC for the quarter ended September 30, 2025).</w:t>
              </w:r>
            </w:hyperlink>
          </w:p>
        </w:tc>
        <w:tc>
          <w:tcPr>
            <w:tcW w:w="20" w:type="dxa"/>
            <w:vAlign w:val="bottom"/>
            <w:tcBorders>
              <w:bottom w:val="single" w:sz="8" w:color="0000EE"/>
            </w:tcBorders>
          </w:tcPr>
          <w:p>
            <w:pPr>
              <w:spacing w:after="0"/>
              <w:rPr>
                <w:sz w:val="17"/>
                <w:szCs w:val="17"/>
                <w:color w:val="auto"/>
              </w:rPr>
            </w:pPr>
          </w:p>
        </w:tc>
        <w:tc>
          <w:tcPr>
            <w:tcW w:w="4200" w:type="dxa"/>
            <w:vAlign w:val="bottom"/>
            <w:gridSpan w:val="33"/>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48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Employment Agreement, dated June 12, 2023, among Denis Garagic, Sarcos Corp. and the Company (incorporated by reference to</w:t>
              </w:r>
            </w:hyperlink>
          </w:p>
        </w:tc>
        <w:tc>
          <w:tcPr>
            <w:tcW w:w="840" w:type="dxa"/>
            <w:vAlign w:val="bottom"/>
            <w:gridSpan w:val="1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54"/>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Exhibit 10.2 to the Company's Current Report on Form 8-K filed with the SEC on June 16, 2023).</w:t>
              </w:r>
            </w:hyperlink>
          </w:p>
        </w:tc>
      </w:tr>
      <w:tr>
        <w:trPr>
          <w:trHeight w:val="20"/>
        </w:trPr>
        <w:tc>
          <w:tcPr>
            <w:tcW w:w="920" w:type="dxa"/>
            <w:vAlign w:val="bottom"/>
          </w:tcPr>
          <w:p>
            <w:pPr>
              <w:spacing w:after="0" w:line="20" w:lineRule="exact"/>
              <w:rPr>
                <w:sz w:val="1"/>
                <w:szCs w:val="1"/>
                <w:color w:val="auto"/>
              </w:rPr>
            </w:pPr>
          </w:p>
        </w:tc>
        <w:tc>
          <w:tcPr>
            <w:tcW w:w="7060" w:type="dxa"/>
            <w:vAlign w:val="bottom"/>
            <w:gridSpan w:val="29"/>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68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Employment Agreement Amendment, dated March 28, 2024, among Denis Garagic, Sarcos Corp. and the Company (incorporated by</w:t>
              </w:r>
            </w:hyperlink>
          </w:p>
        </w:tc>
        <w:tc>
          <w:tcPr>
            <w:tcW w:w="640" w:type="dxa"/>
            <w:vAlign w:val="bottom"/>
            <w:gridSpan w:val="1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66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reference to Exhibit 10.6 to the Company's Quarterly Report on Form 10-Q filed with the SEC for the quarter ended March 31, 2024).</w:t>
              </w:r>
            </w:hyperlink>
          </w:p>
        </w:tc>
        <w:tc>
          <w:tcPr>
            <w:tcW w:w="660" w:type="dxa"/>
            <w:vAlign w:val="bottom"/>
            <w:gridSpan w:val="16"/>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760" w:type="dxa"/>
            <w:vAlign w:val="bottom"/>
            <w:tcBorders>
              <w:bottom w:val="single" w:sz="8" w:color="0000FF"/>
            </w:tcBorders>
            <w:gridSpan w:val="43"/>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Employment Agreement, dated January 30, 2023, among Stephen Sonne, Sarcos Corp. and the Company (incorporated by reference to</w:t>
              </w:r>
            </w:hyperlink>
          </w:p>
        </w:tc>
        <w:tc>
          <w:tcPr>
            <w:tcW w:w="56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54"/>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Exhibit 10.13 to the Company's Annual Report on Form 10-K filed with the SEC for the year ended December 31, 2023).</w:t>
              </w:r>
            </w:hyperlink>
          </w:p>
        </w:tc>
      </w:tr>
      <w:tr>
        <w:trPr>
          <w:trHeight w:val="453"/>
        </w:trPr>
        <w:tc>
          <w:tcPr>
            <w:tcW w:w="920" w:type="dxa"/>
            <w:vAlign w:val="bottom"/>
          </w:tcPr>
          <w:p>
            <w:pPr>
              <w:spacing w:after="0"/>
              <w:rPr>
                <w:sz w:val="24"/>
                <w:szCs w:val="24"/>
                <w:color w:val="auto"/>
              </w:rPr>
            </w:pPr>
          </w:p>
        </w:tc>
        <w:tc>
          <w:tcPr>
            <w:tcW w:w="5080" w:type="dxa"/>
            <w:vAlign w:val="bottom"/>
            <w:tcBorders>
              <w:top w:val="single" w:sz="8" w:color="0000FF"/>
            </w:tcBorders>
            <w:gridSpan w:val="19"/>
          </w:tcPr>
          <w:p>
            <w:pPr>
              <w:ind w:left="4620"/>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00" w:name="page101"/>
    <w:bookmarkEnd w:id="100"/>
    <w:tbl>
      <w:tblPr>
        <w:tblLayout w:type="fixed"/>
        <w:tblInd w:w="12"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7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Employment Agreement Amendment, dated March 28, 2024, among Stephen Sonne, Sarcos Corp. and the Company (incorporated by</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6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reference to Exhibit 10.7 to the Company's Quarterly Report on Form 10-Q filed with the SEC for the quarter ended March 31, 2024).</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7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Employment Agreement, dated March 5, 2024, among Trevor Thatcher, Sarcos Corp. and the Company (incorporated by reference to</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71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Exhibit 10.1 to the Company's Current Report on Form 8-K filed with the SEC on March 6, 2024).</w:t>
              </w:r>
            </w:hyperlink>
          </w:p>
        </w:tc>
        <w:tc>
          <w:tcPr>
            <w:tcW w:w="20" w:type="dxa"/>
            <w:vAlign w:val="bottom"/>
            <w:tcBorders>
              <w:bottom w:val="single" w:sz="8" w:color="0000EE"/>
            </w:tcBorders>
          </w:tcPr>
          <w:p>
            <w:pPr>
              <w:spacing w:after="0"/>
              <w:rPr>
                <w:sz w:val="17"/>
                <w:szCs w:val="17"/>
                <w:color w:val="auto"/>
              </w:rPr>
            </w:pPr>
          </w:p>
        </w:tc>
        <w:tc>
          <w:tcPr>
            <w:tcW w:w="28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8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Amended and Restated Employment Agreement, dated December 26, 2024, among Benjamin G. Wolff, Sarcos Corp. and the Company</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6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(incorporated by reference to Exhibit 10.1 to the Company's Current Report on Form 8-K filed with the SEC on December 27, 2024).</w:t>
              </w:r>
            </w:hyperlink>
          </w:p>
        </w:tc>
        <w:tc>
          <w:tcPr>
            <w:tcW w:w="20" w:type="dxa"/>
            <w:vAlign w:val="bottom"/>
            <w:tcBorders>
              <w:bottom w:val="single" w:sz="8" w:color="0000EE"/>
            </w:tcBorders>
          </w:tcPr>
          <w:p>
            <w:pPr>
              <w:spacing w:after="0"/>
              <w:rPr>
                <w:sz w:val="17"/>
                <w:szCs w:val="17"/>
                <w:color w:val="auto"/>
              </w:rPr>
            </w:pPr>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9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Employment Agreement, dated February 29, 2024, among Kristi Martindale, Sarcos Corp., and the Company (incorporated by reference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to Exhibit 10.1 to the Company's Quarterly Report on Form 10-Q filed with the SEC for the quarter ended March 31, 2025).</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9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Amendment to Option Agreements, dated April 16, 2024, by and between the Company and Denis Garagic (incorporated by reference to</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Exhibit 10.13 to the Company's Quarterly Report on Form 10-Q filed with the SEC for the quarter ended March 31, 2024).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9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Amendment to Option Agreements, dated April 16, 2024, by and between the Company and Stephen Sonne (incorporated by reference to</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Exhibit 10.14 to the Company's Quarterly Report on Form 10-Q filed with the SEC for the quarter ended March 31, 2024).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8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Amendment to Option Agreements, dated April 16, 2024, by and between the Company and Trevor Thatcher (incorporated by reference</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04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to Exhibit 10.15 to the Company's Quarterly Report on Form 10-Q filed with the SEC for the quarter ended March 31, 2024).</w:t>
              </w:r>
            </w:hyperlink>
          </w:p>
        </w:tc>
        <w:tc>
          <w:tcPr>
            <w:tcW w:w="20" w:type="dxa"/>
            <w:vAlign w:val="bottom"/>
            <w:tcBorders>
              <w:bottom w:val="single" w:sz="8" w:color="0000EE"/>
            </w:tcBorders>
          </w:tcPr>
          <w:p>
            <w:pPr>
              <w:spacing w:after="0"/>
              <w:rPr>
                <w:sz w:val="17"/>
                <w:szCs w:val="17"/>
                <w:color w:val="auto"/>
              </w:rPr>
            </w:pPr>
          </w:p>
        </w:tc>
        <w:tc>
          <w:tcPr>
            <w:tcW w:w="9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9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2160" w:type="dxa"/>
            <w:vAlign w:val="bottom"/>
            <w:gridSpan w:val="2"/>
            <w:vMerge w:val="restart"/>
          </w:tcPr>
          <w:p>
            <w:pPr>
              <w:spacing w:after="0" w:line="196" w:lineRule="exact"/>
              <w:rPr>
                <w:rFonts w:ascii="Times New Roman" w:cs="Times New Roman" w:eastAsia="Times New Roman" w:hAnsi="Times New Roman"/>
                <w:sz w:val="18"/>
                <w:szCs w:val="18"/>
                <w:color w:val="0000FF"/>
                <w:w w:val="99"/>
              </w:rPr>
            </w:pPr>
            <w:hyperlink r:id="rId352">
              <w:r>
                <w:rPr>
                  <w:rFonts w:ascii="Times New Roman" w:cs="Times New Roman" w:eastAsia="Times New Roman" w:hAnsi="Times New Roman"/>
                  <w:sz w:val="18"/>
                  <w:szCs w:val="18"/>
                  <w:color w:val="0000FF"/>
                  <w:w w:val="99"/>
                </w:rPr>
                <w:t>Open Market Sale Agreement</w:t>
              </w:r>
            </w:hyperlink>
          </w:p>
        </w:tc>
        <w:tc>
          <w:tcPr>
            <w:tcW w:w="180" w:type="dxa"/>
            <w:vAlign w:val="bottom"/>
            <w:tcBorders>
              <w:bottom w:val="single" w:sz="8" w:color="0000FF"/>
            </w:tcBorders>
            <w:gridSpan w:val="2"/>
          </w:tcPr>
          <w:p>
            <w:pPr>
              <w:spacing w:after="0" w:line="102" w:lineRule="exact"/>
              <w:rPr>
                <w:rFonts w:ascii="Times New Roman" w:cs="Times New Roman" w:eastAsia="Times New Roman" w:hAnsi="Times New Roman"/>
                <w:sz w:val="11"/>
                <w:szCs w:val="11"/>
                <w:color w:val="0000FF"/>
              </w:rPr>
            </w:pPr>
            <w:hyperlink r:id="rId352">
              <w:r>
                <w:rPr>
                  <w:rFonts w:ascii="Times New Roman" w:cs="Times New Roman" w:eastAsia="Times New Roman" w:hAnsi="Times New Roman"/>
                  <w:sz w:val="11"/>
                  <w:szCs w:val="11"/>
                  <w:color w:val="0000FF"/>
                </w:rPr>
                <w:t>SM</w:t>
              </w:r>
            </w:hyperlink>
          </w:p>
        </w:tc>
        <w:tc>
          <w:tcPr>
            <w:tcW w:w="7520" w:type="dxa"/>
            <w:vAlign w:val="bottom"/>
            <w:gridSpan w:val="24"/>
            <w:vMerge w:val="restart"/>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 dated November 13, 2024, by and between the Company and Jefferies LLC (incorporated by reference</w:t>
              </w:r>
            </w:hyperlink>
          </w:p>
        </w:tc>
        <w:tc>
          <w:tcPr>
            <w:tcW w:w="10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00" w:type="dxa"/>
            <w:vAlign w:val="bottom"/>
            <w:vMerge w:val="continue"/>
          </w:tcPr>
          <w:p>
            <w:pPr>
              <w:spacing w:after="0"/>
              <w:rPr>
                <w:sz w:val="5"/>
                <w:szCs w:val="5"/>
                <w:color w:val="auto"/>
              </w:rPr>
            </w:pPr>
          </w:p>
        </w:tc>
        <w:tc>
          <w:tcPr>
            <w:tcW w:w="2160" w:type="dxa"/>
            <w:vAlign w:val="bottom"/>
            <w:tcBorders>
              <w:bottom w:val="single" w:sz="8" w:color="0000FF"/>
            </w:tcBorders>
            <w:gridSpan w:val="2"/>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520" w:type="dxa"/>
            <w:vAlign w:val="bottom"/>
            <w:tcBorders>
              <w:bottom w:val="single" w:sz="8" w:color="0000FF"/>
            </w:tcBorders>
            <w:gridSpan w:val="24"/>
            <w:vMerge w:val="continue"/>
          </w:tcPr>
          <w:p>
            <w:pPr>
              <w:spacing w:after="0"/>
              <w:rPr>
                <w:sz w:val="5"/>
                <w:szCs w:val="5"/>
                <w:color w:val="auto"/>
              </w:rPr>
            </w:pPr>
          </w:p>
        </w:tc>
        <w:tc>
          <w:tcPr>
            <w:tcW w:w="1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to Exhibit 10.2 to the Company's Quarterly Report on Form 10-K filed with the SEC for the quarter ended September 30, 2024).</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908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Form of Investor Purchase Agreement, dated October 31, 2024 entered into by and between the Company and the Purchasers</w:t>
              </w:r>
            </w:hyperlink>
          </w:p>
        </w:tc>
        <w:tc>
          <w:tcPr>
            <w:tcW w:w="160" w:type="dxa"/>
            <w:vAlign w:val="bottom"/>
            <w:tcBorders>
              <w:top w:val="single" w:sz="8" w:color="0000FF"/>
            </w:tcBorders>
          </w:tcPr>
          <w:p>
            <w:pPr>
              <w:spacing w:after="0"/>
              <w:rPr>
                <w:sz w:val="17"/>
                <w:szCs w:val="17"/>
                <w:color w:val="auto"/>
              </w:rPr>
            </w:pPr>
          </w:p>
        </w:tc>
        <w:tc>
          <w:tcPr>
            <w:tcW w:w="7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4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(incorporated by reference to Exhibit 10.1 to the Company's Current Report on Form 8-K filed with the SEC on October 31, 2024).</w:t>
              </w:r>
            </w:hyperlink>
          </w:p>
        </w:tc>
        <w:tc>
          <w:tcPr>
            <w:tcW w:w="5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90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Form of Insiders Purchase Agreement, dated October 31, 2024 entered into by and between the Company and the Purchasers</w:t>
              </w:r>
            </w:hyperlink>
          </w:p>
        </w:tc>
        <w:tc>
          <w:tcPr>
            <w:tcW w:w="9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4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54">
              <w:r>
                <w:rPr>
                  <w:rFonts w:ascii="Times New Roman" w:cs="Times New Roman" w:eastAsia="Times New Roman" w:hAnsi="Times New Roman"/>
                  <w:sz w:val="18"/>
                  <w:szCs w:val="18"/>
                  <w:color w:val="0000FF"/>
                  <w:w w:val="99"/>
                </w:rPr>
                <w:t>(incorporated by reference to Exhibit 10.2 to the Company's Current Report on Form 8-K filed with the SEC on October 31, 2024).</w:t>
              </w:r>
            </w:hyperlink>
          </w:p>
        </w:tc>
        <w:tc>
          <w:tcPr>
            <w:tcW w:w="20" w:type="dxa"/>
            <w:vAlign w:val="bottom"/>
            <w:tcBorders>
              <w:bottom w:val="single" w:sz="8" w:color="0000EE"/>
            </w:tcBorders>
          </w:tcPr>
          <w:p>
            <w:pPr>
              <w:spacing w:after="0"/>
              <w:rPr>
                <w:sz w:val="17"/>
                <w:szCs w:val="17"/>
                <w:color w:val="auto"/>
              </w:rPr>
            </w:pPr>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97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Letter from Ernst &amp; Young LLP to the Securities and Exchange Commission dated April 9, 2024 (incorporated by reference to Exhibit</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960" w:type="dxa"/>
            <w:vAlign w:val="bottom"/>
            <w:gridSpan w:val="32"/>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with the SEC on April 9, 2024).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6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12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996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w w:val="99"/>
              </w:rPr>
              <w:t>Insider Trading Policy (incorporated by reference to Exhibit 19 to the Company's Annual Report on Form 10-K filed with the SEC for the</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3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year ended December 31, 2024).</w:t>
            </w:r>
          </w:p>
        </w:tc>
        <w:tc>
          <w:tcPr>
            <w:tcW w:w="76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99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List of Subsidiaries</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6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3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KPMG LLP, Independent Registered Public Accounting Firm</w:t>
            </w:r>
          </w:p>
        </w:tc>
        <w:tc>
          <w:tcPr>
            <w:tcW w:w="46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w:t>
            </w:r>
          </w:p>
        </w:tc>
        <w:tc>
          <w:tcPr>
            <w:tcW w:w="0" w:type="dxa"/>
            <w:vAlign w:val="bottom"/>
          </w:tcPr>
          <w:p>
            <w:pPr>
              <w:spacing w:after="0"/>
              <w:rPr>
                <w:sz w:val="1"/>
                <w:szCs w:val="1"/>
                <w:color w:val="auto"/>
              </w:rPr>
            </w:pPr>
          </w:p>
        </w:tc>
      </w:tr>
      <w:tr>
        <w:trPr>
          <w:trHeight w:val="194"/>
        </w:trPr>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9680" w:type="dxa"/>
            <w:vAlign w:val="bottom"/>
            <w:tcBorders>
              <w:bottom w:val="single" w:sz="8" w:color="0000FF"/>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28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9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tcBorders>
              <w:right w:val="single" w:sz="8" w:color="0000EE"/>
            </w:tcBorders>
            <w:gridSpan w:val="5"/>
            <w:shd w:val="clear" w:color="auto" w:fill="0000FF"/>
          </w:tcPr>
          <w:p>
            <w:pPr>
              <w:spacing w:after="0" w:line="20" w:lineRule="exact"/>
              <w:rPr>
                <w:sz w:val="1"/>
                <w:szCs w:val="1"/>
                <w:color w:val="auto"/>
              </w:rPr>
            </w:pPr>
          </w:p>
        </w:tc>
        <w:tc>
          <w:tcPr>
            <w:tcW w:w="456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66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9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tcBorders>
              <w:right w:val="single" w:sz="8" w:color="0000EE"/>
            </w:tcBorders>
            <w:gridSpan w:val="5"/>
            <w:shd w:val="clear" w:color="auto" w:fill="0000FF"/>
          </w:tcPr>
          <w:p>
            <w:pPr>
              <w:spacing w:after="0" w:line="20" w:lineRule="exact"/>
              <w:rPr>
                <w:sz w:val="1"/>
                <w:szCs w:val="1"/>
                <w:color w:val="auto"/>
              </w:rPr>
            </w:pPr>
          </w:p>
        </w:tc>
        <w:tc>
          <w:tcPr>
            <w:tcW w:w="456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64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52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9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4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120" w:type="dxa"/>
            <w:vAlign w:val="bottom"/>
            <w:tcBorders>
              <w:top w:val="single" w:sz="8" w:color="0000FF"/>
            </w:tcBorders>
            <w:gridSpan w:val="18"/>
          </w:tcPr>
          <w:p>
            <w:pPr>
              <w:spacing w:after="0"/>
              <w:rPr>
                <w:sz w:val="17"/>
                <w:szCs w:val="17"/>
                <w:color w:val="auto"/>
              </w:rPr>
            </w:pPr>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12" w:hanging="899"/>
        <w:spacing w:after="0"/>
        <w:tabs>
          <w:tab w:leader="none" w:pos="912" w:val="left"/>
        </w:tabs>
        <w:numPr>
          <w:ilvl w:val="0"/>
          <w:numId w:val="36"/>
        </w:numPr>
        <w:rPr>
          <w:rFonts w:ascii="Times New Roman" w:cs="Times New Roman" w:eastAsia="Times New Roman" w:hAnsi="Times New Roman"/>
          <w:sz w:val="18"/>
          <w:szCs w:val="18"/>
          <w:u w:val="single" w:color="auto"/>
          <w:color w:val="0000FF"/>
        </w:rPr>
      </w:pPr>
      <w:hyperlink r:id="rId356">
        <w:r>
          <w:rPr>
            <w:rFonts w:ascii="Times New Roman" w:cs="Times New Roman" w:eastAsia="Times New Roman" w:hAnsi="Times New Roman"/>
            <w:sz w:val="18"/>
            <w:szCs w:val="18"/>
            <w:u w:val="single" w:color="auto"/>
            <w:color w:val="0000FF"/>
          </w:rPr>
          <w:t>Compensation Recovery Policy (incorporated by reference to Exhibit 97 to the Company's Annual Report on Form 10-K for the year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-7620</wp:posOffset>
            </wp:positionV>
            <wp:extent cx="6106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6106160" cy="8255"/>
                    </a:xfrm>
                    <a:prstGeom prst="rect">
                      <a:avLst/>
                    </a:prstGeom>
                    <a:noFill/>
                  </pic:spPr>
                </pic:pic>
              </a:graphicData>
            </a:graphic>
          </wp:anchor>
        </w:drawing>
      </w:r>
    </w:p>
    <w:tbl>
      <w:tblPr>
        <w:tblLayout w:type="fixed"/>
        <w:tblInd w:w="12"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1960" w:type="dxa"/>
            <w:vAlign w:val="bottom"/>
            <w:tcBorders>
              <w:bottom w:val="single" w:sz="8" w:color="0000FF"/>
            </w:tcBorders>
          </w:tcPr>
          <w:p>
            <w:pPr>
              <w:spacing w:after="0" w:line="203" w:lineRule="exact"/>
              <w:rPr>
                <w:rFonts w:ascii="Times New Roman" w:cs="Times New Roman" w:eastAsia="Times New Roman" w:hAnsi="Times New Roman"/>
                <w:sz w:val="18"/>
                <w:szCs w:val="18"/>
                <w:color w:val="0000FF"/>
                <w:w w:val="99"/>
              </w:rPr>
            </w:pPr>
            <w:hyperlink r:id="rId356">
              <w:r>
                <w:rPr>
                  <w:rFonts w:ascii="Times New Roman" w:cs="Times New Roman" w:eastAsia="Times New Roman" w:hAnsi="Times New Roman"/>
                  <w:sz w:val="18"/>
                  <w:szCs w:val="18"/>
                  <w:color w:val="0000FF"/>
                  <w:w w:val="99"/>
                </w:rPr>
                <w:t>ended December 31, 2023)</w:t>
              </w:r>
            </w:hyperlink>
          </w:p>
        </w:tc>
        <w:tc>
          <w:tcPr>
            <w:tcW w:w="20" w:type="dxa"/>
            <w:vAlign w:val="bottom"/>
            <w:tcBorders>
              <w:bottom w:val="single" w:sz="8" w:color="0000EE"/>
            </w:tcBorders>
          </w:tcPr>
          <w:p>
            <w:pPr>
              <w:spacing w:after="0"/>
              <w:rPr>
                <w:sz w:val="17"/>
                <w:szCs w:val="17"/>
                <w:color w:val="auto"/>
              </w:rPr>
            </w:pPr>
          </w:p>
        </w:tc>
        <w:tc>
          <w:tcPr>
            <w:tcW w:w="7860" w:type="dxa"/>
            <w:vAlign w:val="bottom"/>
          </w:tcPr>
          <w:p>
            <w:pPr>
              <w:spacing w:after="0"/>
              <w:rPr>
                <w:sz w:val="17"/>
                <w:szCs w:val="17"/>
                <w:color w:val="auto"/>
              </w:rPr>
            </w:pP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900" w:type="dxa"/>
            <w:vAlign w:val="bottom"/>
          </w:tcPr>
          <w:p>
            <w:pPr>
              <w:spacing w:after="0"/>
              <w:rPr>
                <w:sz w:val="18"/>
                <w:szCs w:val="18"/>
                <w:color w:val="auto"/>
              </w:rPr>
            </w:pPr>
          </w:p>
        </w:tc>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8" w:right="4180" w:firstLine="21"/>
        <w:spacing w:after="0" w:line="451" w:lineRule="auto"/>
        <w:tabs>
          <w:tab w:leader="none" w:pos="90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232" w:hanging="232"/>
        <w:spacing w:after="0"/>
        <w:tabs>
          <w:tab w:leader="none" w:pos="2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-401955</wp:posOffset>
            </wp:positionV>
            <wp:extent cx="14230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5" w:lineRule="exact"/>
        <w:rPr>
          <w:sz w:val="20"/>
          <w:szCs w:val="20"/>
          <w:color w:val="auto"/>
        </w:rPr>
      </w:pPr>
    </w:p>
    <w:p>
      <w:pPr>
        <w:jc w:val="center"/>
        <w:ind w:right="-351"/>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2"/>
          </w:cols>
          <w:pgMar w:left="328" w:top="1080" w:right="6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17" w:lineRule="exact"/>
        <w:rPr>
          <w:sz w:val="20"/>
          <w:szCs w:val="20"/>
          <w:color w:val="auto"/>
        </w:rPr>
      </w:pPr>
    </w:p>
    <w:p>
      <w:pPr>
        <w:ind w:firstLine="8"/>
        <w:spacing w:after="0" w:line="282" w:lineRule="auto"/>
        <w:tabs>
          <w:tab w:leader="none" w:pos="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6"/>
          <w:szCs w:val="16"/>
          <w:b w:val="1"/>
          <w:bCs w:val="1"/>
          <w:color w:val="auto"/>
        </w:rPr>
        <w:t>.</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7720" w:type="dxa"/>
            <w:vAlign w:val="bottom"/>
            <w:gridSpan w:val="2"/>
          </w:tcPr>
          <w:p>
            <w:pPr>
              <w:ind w:left="2180"/>
              <w:spacing w:after="0"/>
              <w:rPr>
                <w:sz w:val="20"/>
                <w:szCs w:val="20"/>
                <w:color w:val="auto"/>
              </w:rPr>
            </w:pPr>
            <w:r>
              <w:rPr>
                <w:rFonts w:ascii="Times New Roman" w:cs="Times New Roman" w:eastAsia="Times New Roman" w:hAnsi="Times New Roman"/>
                <w:sz w:val="16"/>
                <w:szCs w:val="16"/>
                <w:b w:val="1"/>
                <w:bCs w:val="1"/>
                <w:color w:val="auto"/>
              </w:rPr>
              <w:t>PALLADYNE AI CORP.</w:t>
            </w:r>
          </w:p>
        </w:tc>
      </w:tr>
      <w:tr>
        <w:trPr>
          <w:trHeight w:val="435"/>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 March 5, 2026</w:t>
            </w:r>
          </w:p>
        </w:tc>
        <w:tc>
          <w:tcPr>
            <w:tcW w:w="7720" w:type="dxa"/>
            <w:vAlign w:val="bottom"/>
            <w:gridSpan w:val="2"/>
          </w:tcPr>
          <w:p>
            <w:pPr>
              <w:ind w:left="2180"/>
              <w:spacing w:after="0"/>
              <w:rPr>
                <w:sz w:val="20"/>
                <w:szCs w:val="20"/>
                <w:color w:val="auto"/>
              </w:rPr>
            </w:pPr>
            <w:r>
              <w:rPr>
                <w:rFonts w:ascii="Times New Roman" w:cs="Times New Roman" w:eastAsia="Times New Roman" w:hAnsi="Times New Roman"/>
                <w:sz w:val="16"/>
                <w:szCs w:val="16"/>
                <w:color w:val="auto"/>
              </w:rPr>
              <w:t>By: /s/ Benjamin G. Wolff</w:t>
            </w:r>
          </w:p>
        </w:tc>
      </w:tr>
      <w:tr>
        <w:trPr>
          <w:trHeight w:val="207"/>
        </w:trPr>
        <w:tc>
          <w:tcPr>
            <w:tcW w:w="3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Benjamin G. Wolff</w:t>
            </w:r>
          </w:p>
        </w:tc>
      </w:tr>
      <w:tr>
        <w:trPr>
          <w:trHeight w:val="216"/>
        </w:trPr>
        <w:tc>
          <w:tcPr>
            <w:tcW w:w="3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 (</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tc>
      </w:tr>
      <w:tr>
        <w:trPr>
          <w:trHeight w:val="438"/>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 March 5, 2026</w:t>
            </w:r>
          </w:p>
        </w:tc>
        <w:tc>
          <w:tcPr>
            <w:tcW w:w="7720" w:type="dxa"/>
            <w:vAlign w:val="bottom"/>
            <w:gridSpan w:val="2"/>
          </w:tcPr>
          <w:p>
            <w:pPr>
              <w:ind w:left="2180"/>
              <w:spacing w:after="0"/>
              <w:rPr>
                <w:sz w:val="20"/>
                <w:szCs w:val="20"/>
                <w:color w:val="auto"/>
              </w:rPr>
            </w:pPr>
            <w:r>
              <w:rPr>
                <w:rFonts w:ascii="Times New Roman" w:cs="Times New Roman" w:eastAsia="Times New Roman" w:hAnsi="Times New Roman"/>
                <w:sz w:val="16"/>
                <w:szCs w:val="16"/>
                <w:color w:val="auto"/>
              </w:rPr>
              <w:t>By: /s/ Trevor Thatcher</w:t>
            </w:r>
          </w:p>
        </w:tc>
      </w:tr>
      <w:tr>
        <w:trPr>
          <w:trHeight w:val="204"/>
        </w:trPr>
        <w:tc>
          <w:tcPr>
            <w:tcW w:w="35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Trevor Thatcher</w:t>
            </w:r>
          </w:p>
        </w:tc>
      </w:tr>
      <w:tr>
        <w:trPr>
          <w:trHeight w:val="216"/>
        </w:trPr>
        <w:tc>
          <w:tcPr>
            <w:tcW w:w="3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w:t>
            </w:r>
            <w:r>
              <w:rPr>
                <w:rFonts w:ascii="Times New Roman" w:cs="Times New Roman" w:eastAsia="Times New Roman" w:hAnsi="Times New Roman"/>
                <w:sz w:val="16"/>
                <w:szCs w:val="16"/>
                <w:i w:val="1"/>
                <w:iCs w:val="1"/>
                <w:color w:val="auto"/>
              </w:rPr>
              <w:t>Principal Financial and Accounting Officer</w:t>
            </w: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5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Benjamin G. Wolff and Trevor Thatcher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8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80" w:type="dxa"/>
            <w:vAlign w:val="bottom"/>
          </w:tcPr>
          <w:p>
            <w:pPr>
              <w:spacing w:after="0"/>
              <w:rPr>
                <w:sz w:val="18"/>
                <w:szCs w:val="18"/>
                <w:color w:val="auto"/>
              </w:rPr>
            </w:pPr>
          </w:p>
        </w:tc>
        <w:tc>
          <w:tcPr>
            <w:tcW w:w="476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80" w:type="dxa"/>
            <w:vAlign w:val="bottom"/>
          </w:tcPr>
          <w:p>
            <w:pPr>
              <w:spacing w:after="0"/>
              <w:rPr>
                <w:sz w:val="18"/>
                <w:szCs w:val="18"/>
                <w:color w:val="auto"/>
              </w:rPr>
            </w:pPr>
          </w:p>
        </w:tc>
        <w:tc>
          <w:tcPr>
            <w:tcW w:w="23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42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/s/Benjamin G. Wolff</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5, 2026</w:t>
            </w:r>
          </w:p>
        </w:tc>
      </w:tr>
      <w:tr>
        <w:trPr>
          <w:trHeight w:val="210"/>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Benjamin G. Wolff</w:t>
            </w:r>
          </w:p>
        </w:tc>
        <w:tc>
          <w:tcPr>
            <w:tcW w:w="2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432"/>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Trevor Thatcher</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5, 2026</w:t>
            </w:r>
          </w:p>
        </w:tc>
      </w:tr>
      <w:tr>
        <w:trPr>
          <w:trHeight w:val="210"/>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Trevor Thatcher</w:t>
            </w:r>
          </w:p>
        </w:tc>
        <w:tc>
          <w:tcPr>
            <w:tcW w:w="2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and Accounting Officer</w:t>
            </w: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43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Dennis Weibling</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5, 2026</w:t>
            </w:r>
          </w:p>
        </w:tc>
      </w:tr>
      <w:tr>
        <w:trPr>
          <w:trHeight w:val="207"/>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Dennis Weibling</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Brian D. Finn</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5, 2026</w:t>
            </w:r>
          </w:p>
        </w:tc>
      </w:tr>
      <w:tr>
        <w:trPr>
          <w:trHeight w:val="207"/>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Brian D. Finn</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Eric T. Olson</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5, 2026</w:t>
            </w:r>
          </w:p>
        </w:tc>
      </w:tr>
      <w:tr>
        <w:trPr>
          <w:trHeight w:val="207"/>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Eric T. Olson</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Stephen M. Twitty</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5, 2026</w:t>
            </w:r>
          </w:p>
        </w:tc>
      </w:tr>
      <w:tr>
        <w:trPr>
          <w:trHeight w:val="207"/>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Stephen M. Twitty</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Michael T. Young</w:t>
            </w:r>
          </w:p>
        </w:tc>
        <w:tc>
          <w:tcPr>
            <w:tcW w:w="2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2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March 5, 2026</w:t>
            </w:r>
          </w:p>
        </w:tc>
      </w:tr>
      <w:tr>
        <w:trPr>
          <w:trHeight w:val="204"/>
        </w:trPr>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Michael T. Young</w:t>
            </w:r>
          </w:p>
        </w:tc>
        <w:tc>
          <w:tcPr>
            <w:tcW w:w="2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105" w:name="page106"/>
    <w:bookmarkEnd w:id="105"/>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Palladyne AI Corp. (“we,” “our,” “us” or the “Company”) has the following two classes of securities registered under Section 12 of the Securities Exchange Act of 1934, as amended (the “Exchange Act”): (i) Common Stock, par value $0.0001 per share, and (ii) redeemable deSPAC Warrants (as defined below), each deSPAC Warrant exercisable for one Common Stock share at an exercise price of $11.50 (to be adjusted upon exercise by the same ratio as the reverse stock split that was effective as of July 5, 2023, or 1-for-6 such that each warrant is exercisable for one sixth of a share of Common Stock at an exercise price of $11.50 per warrant).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sets forth a summary of certain material terms of our securities, including certain provisions of Delaware law and certain provisions as specified in our Second Amended and Restated Certificate of Incorporation, as amended (the “Charter”), our Amended and Restated Bylaws (the “Bylaws”), the warrant agreement, dated as of January 14, 2021, entered into by and between Rotor (as defined below) and Continental Stock Transfer &amp; Trust Company as warrant agent (the “deSPAC Warrant Agreement”), the securities purchase agreement, dated as of October 31, 2024, entered into by and between the Company and an accredited investor (the “Investor Purchase Agreement”) and the securities purchase agreement, dated October 31, 2024, entered into by and between the Company, our Chief Executive Officer and certain other members of our board of directors (the “Insider Purchase Agreement”). This summary is not intended to be a complete summary of the rights and preferences of such securities and it does not contain all the information that may be important to you. The full texts of the Charter, Bylaws, deSPAC Warrant Agreement, Investor Purchase Agreement and Insider Purchase Agreement are attached as exhibits to our Annual Report on Form 10-K. We urge you to read such documents in their entirety, as well as the applicable provisions of Delaware law, for a complete description of the rights and preferences of the Company’s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authorizes the issuance of 175,000,000 shares of capital stock, of which</w:t>
      </w:r>
    </w:p>
    <w:p>
      <w:pPr>
        <w:spacing w:after="0" w:line="225" w:lineRule="exact"/>
        <w:rPr>
          <w:sz w:val="20"/>
          <w:szCs w:val="20"/>
          <w:color w:val="auto"/>
        </w:rPr>
      </w:pPr>
    </w:p>
    <w:p>
      <w:pPr>
        <w:ind w:left="1140" w:right="120" w:hanging="336"/>
        <w:spacing w:after="0" w:line="261"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165,000,000 shares are designated as the shares of common stock, par value $0.0001 per share, of the Company (“Common Stock”), par value $0.0001 per share, and</w:t>
      </w:r>
    </w:p>
    <w:p>
      <w:pPr>
        <w:ind w:left="1140" w:hanging="336"/>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are designated as preferred stock, par value $0.0001 per share.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then-outstanding preferred stock, holders of Common Stock are entitled to receive dividends, if any, as may be declared from time to time by our board out of legally available funds. See “</w:t>
      </w:r>
      <w:r>
        <w:rPr>
          <w:rFonts w:ascii="Times New Roman" w:cs="Times New Roman" w:eastAsia="Times New Roman" w:hAnsi="Times New Roman"/>
          <w:sz w:val="18"/>
          <w:szCs w:val="18"/>
          <w:i w:val="1"/>
          <w:iCs w:val="1"/>
          <w:color w:val="auto"/>
        </w:rPr>
        <w:t>Item 5. Market for Registrant’s Common Equity, Related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 and Issuer Purchasers of Equity Securities</w:t>
      </w:r>
      <w:r>
        <w:rPr>
          <w:rFonts w:ascii="Times New Roman" w:cs="Times New Roman" w:eastAsia="Times New Roman" w:hAnsi="Times New Roman"/>
          <w:sz w:val="18"/>
          <w:szCs w:val="18"/>
          <w:color w:val="auto"/>
        </w:rPr>
        <w:t>” of our Annual Report on Form 10-K for more information.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On January 14, 2021, Rotor Acquisition Corp. (“Rotor”), our predecessor company prior to the closing of the business combination (the “Closing”), effected a stock dividend of 0.2 shares for each outstanding share of Class B common stock (the “Founder Shares”, which, for the avoidance of doubt, were converted into Common Stock of the Company at Closing), resulting in an aggregate of 6,900,000 Founder Shares outstanding, in order to maintain the number of Founder Shares at 20% of the issued and outstanding shares of our Common Stock upon the consummation of Rotor’s initial public offering (the “IPO”). On September 24, 2021, pursuant to the terms of the Agreement and Plan of Merger, dated as of April 5, 2021, as amended, by and among Rotor, Rotor Merger Sub Corp., a Delaware corporation and a direct, wholly-owned subsidiary of Rotor (“Merger Sub”), and Sarcos Corp., a Utah corporation (“Old Sarcos”),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jc w:val="both"/>
        <w:spacing w:after="0" w:line="282" w:lineRule="auto"/>
        <w:rPr>
          <w:sz w:val="20"/>
          <w:szCs w:val="20"/>
          <w:color w:val="auto"/>
        </w:rPr>
      </w:pPr>
      <w:r>
        <w:rPr>
          <w:rFonts w:ascii="Times New Roman" w:cs="Times New Roman" w:eastAsia="Times New Roman" w:hAnsi="Times New Roman"/>
          <w:sz w:val="18"/>
          <w:szCs w:val="18"/>
          <w:color w:val="auto"/>
        </w:rPr>
        <w:t>combination between Rotor and Old Sarcos was effected through the merger of Merger Sub with and into Old Sarcos, with Old Sarcos continuing as the surviving corporation and a wholly-owned subsidiary of Rotor.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Other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Common Stock are not entitled to preemptive rights and are not subject to redemption or sinking fund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or will possess, as applicable, all voting power for the election of our directors and all other matters requiring stockholder action and are entitled or will be entitled, as applicable, to one vote per share on matters to be voted on by stockholders. Subject to certain limited exceptions, the holders of Common Stock shall at all times vote together as one class on all matters submitted to a vote of the holders of Common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the meeting and entitled to vote on the subject matter shall be the act of the stockholders, except as otherwise required by law, the Charter, the Bylaws, or the rules of the stock exchange on which the Company’s securities are listed. The holders of a majority of the voting power of the capital stock of the Company issued and outstanding and entitled to vote, present in person or represented by proxy, shall constitute a quorum for the transaction of business at all meetings of the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of the Company or other corporate action. As of February 11, 2025, there are no shares of preferred stock outstanding, and we have no present plan to issue any shares of preferred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deSPAC Public Stockholders’ Warrants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20, 2021, Rotor consummated the IPO of 27,600,000 units (the “Units”). Each Unit included one sixth of a share of Class A Common Stock and one half of one warrant (the “deSPAC Public Warrants”). Simultaneously with the closing of the IPO, Rotor consummated the sale of 7,270,000 warrants (the “deSPAC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7" w:name="page108"/>
    <w:bookmarkEnd w:id="107"/>
    <w:p>
      <w:pPr>
        <w:jc w:val="both"/>
        <w:spacing w:after="0" w:line="253" w:lineRule="auto"/>
        <w:rPr>
          <w:sz w:val="20"/>
          <w:szCs w:val="20"/>
          <w:color w:val="auto"/>
        </w:rPr>
      </w:pPr>
      <w:r>
        <w:rPr>
          <w:rFonts w:ascii="Times New Roman" w:cs="Times New Roman" w:eastAsia="Times New Roman" w:hAnsi="Times New Roman"/>
          <w:sz w:val="18"/>
          <w:szCs w:val="18"/>
          <w:color w:val="auto"/>
        </w:rPr>
        <w:t>and together with the deSPAC Public Warrants, the “deSPAC Warrants”) in a private placement to Rotor Sponsor, LLC, a Delaware limited liability company (the “Sponsor”), certain funds managed by BlackRock and its affiliates and Riverview Group LLC and its affiliates. Each whole deSPAC Warrant entitles the registered holder to purchase one share of our Common Stock at a price of $11.50 per share (to be adjusted upon exercise by the same ratio as the reverse stock split that was effective as of July 5, 2023, or 1-for-6 such that each warrant is exercisable for one sixth of a share of Common Stock at an exercise price of $11.50 per warrant), subject to further adjustment as discussed below, at any time commencing on January 20, 2022, provided that we have an effective registration statement under the Securities Act of 1933, as amended (the “Securities Act”) covering the shares of the Common Stock issuable upon exercise of the deSPAC Warrants and a current prospectus relating to them is available (or we permit holders to exercise their deSPAC Warrants on a cashless basis under the circumstances specified in the warrant agreement entered into between Continental Stock Transfer &amp; Trust Company and Rotor (the “Warrant Agreement”)) and such shares are registered, qualified or exempt from registration under the securities, or blue sky, laws of the state of residence of the holder. Pursuant to the Warrant Agreement, a deSPAC Warrant holder may exercise its deSPAC Warrants only for a whole number of shares of our Common Stock. This means only six whole deSPAC Warrants may be exercised at a given time by a deSPAC Warrant holder. The deSPAC Warrants will expire five years after the Closing, or September 24, 2026, at 5:00 p.m., New York City time, or earlier upon redemption or liquidation.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Common Stock pursuant to the exercise of a deSPAC Warrant and will have no obligation to settle such deSPAC Warrant exercise unless a registration statement under the Securities Act with respect to the shares of our Common Stock underlying the deSPAC Warrants is then effective and a prospectus relating thereto is current, subject to our satisfying our obligations described below with respect to registration, or a valid exemption from registration is available. No deSPAC Warrant will be exercisable and we will not be obligated to issue a share of our Common Stock upon exercise of deSPAC Warrants unless the share of our Common Stock issuable upon such deSPAC Warrant exercise has been registered, qualified or deemed to be exempt under the securities laws of the state of residence of the registered holder of the deSPAC Warrants. In the event that the conditions in the two immediately preceding sentences are not satisfied with respect to a deSPAC Warrant, the holder of such deSPAC Warrant will not be entitled to exercise such deSPAC Warrant and such deSPAC Warrant may have no value and expire worthless. In no event will we be required to net cash settle any deSPAC Warrant. In the event that a registration statement is not effective for the exercised deSPAC Warrants, the purchaser in the IPO of a unit containing such deSPAC Warrant will have paid the full purchase price for the unit solely for the share of our Common Stock underlying such unit.</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agreed that as soon as practicable, but in no event later than twenty business days after the Closing, we will use our commercially reasonable efforts to file with the SEC a registration statement for the registration, under the Securities Act, of the shares of our Common Stock issuable upon exercise of the deSPAC Warrants. We will use our commercially reasonable efforts to cause the same to become effective and to maintain the effectiveness of such registration statement, and a current prospectus relating thereto, until the expiration or redemption of the deSPAC Warrants in accordance with the provisions of the Warrant Agreement. If a registration statement covering the issuance of the shares of our Common Stock issuable upon exercise of the deSPAC Warrants is not effective by the 60th business day after the Closing, deSPAC Warrant holders may, until such time as there is an effective registration statement and during any period when we will have failed to maintain an effective registration statement, exercise deSPAC Warrants on a “cashless basis” in accordance with Section 3(a)(9) of the Securities Act or another exemption. In addition, if our Common Stock is at the time of any exercise of a deSPAC Public Warrant not listed on a national securities exchange such that they satisfy the definition of a “covered security” under Section 18(b)(1) of the Securities Act, we may, at our option, require holders of our deSPAC Public Warrants, in accordance with its terms following the Closing who exercise their warrants to do so on a “cashless basis” in accordance with Section 3(a)(9) of the Securities Act and, in the event we elect to do so, we will not be required to file or maintain in effect a registration statement, but we will use our commercially reasonable efforts to register or qualify the shares under applicable blue sky laws to the extent an exemption is not available. In such event, each holder would pay the exercise price by surrendering each such deSPAC Warrant for that number of shares of our Common Stock equal to the lesser of (A) the quotient obtained by dividing (x) the product of the number of shares of our Common Stock underlying the deSPAC Warrants, multiplied by the excess of the “fair market value” less the exercise price of the deSPAC Warrants by (y) the fair market value and (B) 0.361. The “fair market value” shall mean the volume weighted average price of the shares of our Common Stock for the 10 trading days ending on the trading day prior to the date on which the notice of exercise is received by Continental Stock Transfer &amp; Trust Company (the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deSPAC Warrants When the Price per Share of Our Common Stock Equals or Exceeds $108.00 (as adjusted)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the deSPAC Warrants for redemption:</w:t>
      </w:r>
    </w:p>
    <w:p>
      <w:pPr>
        <w:spacing w:after="0" w:line="27" w:lineRule="exact"/>
        <w:rPr>
          <w:sz w:val="20"/>
          <w:szCs w:val="20"/>
          <w:color w:val="auto"/>
        </w:rPr>
      </w:pPr>
    </w:p>
    <w:p>
      <w:pPr>
        <w:ind w:left="1140" w:hanging="336"/>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 w:lineRule="exact"/>
        <w:rPr>
          <w:rFonts w:ascii="Times New Roman" w:cs="Times New Roman" w:eastAsia="Times New Roman" w:hAnsi="Times New Roman"/>
          <w:sz w:val="18"/>
          <w:szCs w:val="18"/>
          <w:color w:val="auto"/>
        </w:rPr>
      </w:pPr>
    </w:p>
    <w:p>
      <w:pPr>
        <w:ind w:left="1140" w:hanging="336"/>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deSPAC Warrant;</w:t>
      </w:r>
    </w:p>
    <w:p>
      <w:pPr>
        <w:spacing w:after="0" w:line="34" w:lineRule="exact"/>
        <w:rPr>
          <w:rFonts w:ascii="Times New Roman" w:cs="Times New Roman" w:eastAsia="Times New Roman" w:hAnsi="Times New Roman"/>
          <w:sz w:val="18"/>
          <w:szCs w:val="18"/>
          <w:color w:val="auto"/>
        </w:rPr>
      </w:pPr>
    </w:p>
    <w:p>
      <w:pPr>
        <w:ind w:left="1140" w:hanging="336"/>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w:t>
      </w:r>
      <w:r>
        <w:rPr>
          <w:rFonts w:ascii="Times New Roman" w:cs="Times New Roman" w:eastAsia="Times New Roman" w:hAnsi="Times New Roman"/>
          <w:sz w:val="18"/>
          <w:szCs w:val="18"/>
          <w:i w:val="1"/>
          <w:iCs w:val="1"/>
          <w:color w:val="auto"/>
        </w:rPr>
        <w:t>30-day redemption period</w:t>
      </w:r>
      <w:r>
        <w:rPr>
          <w:rFonts w:ascii="Times New Roman" w:cs="Times New Roman" w:eastAsia="Times New Roman" w:hAnsi="Times New Roman"/>
          <w:sz w:val="18"/>
          <w:szCs w:val="18"/>
          <w:color w:val="auto"/>
        </w:rPr>
        <w:t>”) to each deSPAC Warrant holder; and</w:t>
      </w:r>
    </w:p>
    <w:p>
      <w:pPr>
        <w:spacing w:after="0" w:line="38" w:lineRule="exact"/>
        <w:rPr>
          <w:rFonts w:ascii="Times New Roman" w:cs="Times New Roman" w:eastAsia="Times New Roman" w:hAnsi="Times New Roman"/>
          <w:sz w:val="18"/>
          <w:szCs w:val="18"/>
          <w:color w:val="auto"/>
        </w:rPr>
      </w:pPr>
    </w:p>
    <w:p>
      <w:pPr>
        <w:jc w:val="both"/>
        <w:ind w:left="1140" w:right="120" w:hanging="336"/>
        <w:spacing w:after="0" w:line="258"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our Common Stock for any 20 trading days within a 30-trading day period commencing after the deSPAC Warrants become exercisable and ending three business days before we send the notice of redemption to the deSPAC Warrant holders (which we refer to as the “</w:t>
      </w:r>
      <w:r>
        <w:rPr>
          <w:rFonts w:ascii="Times New Roman" w:cs="Times New Roman" w:eastAsia="Times New Roman" w:hAnsi="Times New Roman"/>
          <w:sz w:val="18"/>
          <w:szCs w:val="18"/>
          <w:i w:val="1"/>
          <w:iCs w:val="1"/>
          <w:color w:val="auto"/>
        </w:rPr>
        <w:t>Reference Value</w:t>
      </w:r>
      <w:r>
        <w:rPr>
          <w:rFonts w:ascii="Times New Roman" w:cs="Times New Roman" w:eastAsia="Times New Roman" w:hAnsi="Times New Roman"/>
          <w:sz w:val="18"/>
          <w:szCs w:val="18"/>
          <w:color w:val="auto"/>
        </w:rPr>
        <w:t>”) equals or exceeds $108.00 per share (as adjusted by the same ratio as the reverse stock split that was effective as of July 5, 2023, or 1-for-6, and subject to further adjustment for stock splits, stock dividends, reorganizations, recapitalizations and the like).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and when the deSPAC Warrants become redeemable by us, we may exercise our redemption right even if we are unable to register or qualify the underlying securities for sale under all applicable state securities laws. However, we will not redeem the deSPAC Warrants unless an effective registration statement under the Securities Act covering the shares of our Common Stock issuable upon exercise of the deSPAC Warrants is effective and a current prospectus relating to those shares of our Common Stock is available throughout the 30-day redemption period.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established the last redemption criterion discussed above to prevent a redemption call unless there is at the time of the call a significant premium to the deSPAC Warrant exercise price. If the foregoing conditions are satisfied and we issue a notice of redemption of the deSPAC Warrants, each deSPAC Warrant holder will be entitled to exercise his, her or its deSPAC Warrant prior to the scheduled redemption date. Any such exercise would not be done on a “cashless” basis and would require the exercising deSPAC Warrant holder to pay the exercise price for each deSPAC Warrant being exercised. However, the price of the shares of our Common Stock may fall below the $108.00 redemption trigger price (as adjusted by the same ratio as the reverse stock split that was effective as of July 5, 2023, or 1-for-6, and subject to further adjustment for stock splits, stock dividends, reorganizations, recapitalizations and the like) as well as the $11.50 (for one sixth of a share) deSPAC Warrant exercise price after the redemption notice is issued.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deSPAC Warrants When the Price per Share of Our Common Stock Equals or Exceeds $60.00 (as adjusted)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redeem the outstanding deSPAC Warrants (except with respect to the deSPAC Private Placement Warrants if we do not utilize this redemption provision):</w:t>
      </w:r>
    </w:p>
    <w:p>
      <w:pPr>
        <w:spacing w:after="0" w:line="162" w:lineRule="exact"/>
        <w:rPr>
          <w:sz w:val="20"/>
          <w:szCs w:val="20"/>
          <w:color w:val="auto"/>
        </w:rPr>
      </w:pPr>
    </w:p>
    <w:p>
      <w:pPr>
        <w:ind w:left="1140" w:hanging="336"/>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36" w:lineRule="exact"/>
        <w:rPr>
          <w:rFonts w:ascii="Times New Roman" w:cs="Times New Roman" w:eastAsia="Times New Roman" w:hAnsi="Times New Roman"/>
          <w:sz w:val="18"/>
          <w:szCs w:val="18"/>
          <w:color w:val="auto"/>
        </w:rPr>
      </w:pPr>
    </w:p>
    <w:p>
      <w:pPr>
        <w:jc w:val="both"/>
        <w:ind w:left="1140" w:right="120" w:hanging="336"/>
        <w:spacing w:after="0" w:line="257"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deSPAC Warrant upon a minimum of 30 days’ prior written notice of redemption; provided that holders will be able to exercise their deSPAC Warrants on a cashless basis prior to redemption and receive that number of shares determined by reference to the table below, based on the redemption date and the “fair market value” of our Common Stock (as defined below);</w:t>
      </w:r>
    </w:p>
    <w:p>
      <w:pPr>
        <w:spacing w:after="0" w:line="1" w:lineRule="exact"/>
        <w:rPr>
          <w:rFonts w:ascii="Times New Roman" w:cs="Times New Roman" w:eastAsia="Times New Roman" w:hAnsi="Times New Roman"/>
          <w:sz w:val="18"/>
          <w:szCs w:val="18"/>
          <w:color w:val="auto"/>
        </w:rPr>
      </w:pPr>
    </w:p>
    <w:p>
      <w:pPr>
        <w:jc w:val="both"/>
        <w:ind w:left="1140" w:right="120" w:hanging="336"/>
        <w:spacing w:after="0" w:line="250"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$60.00 per share (as adjusted by the same ratio as the reverse stock split that was effective as of July 5, 2023, or 1-for-6, and subject to further adjustment for stock splits, stock dividends, reorganizations, recapitalizations and the like); and</w:t>
      </w:r>
    </w:p>
    <w:p>
      <w:pPr>
        <w:spacing w:after="0" w:line="1" w:lineRule="exact"/>
        <w:rPr>
          <w:rFonts w:ascii="Times New Roman" w:cs="Times New Roman" w:eastAsia="Times New Roman" w:hAnsi="Times New Roman"/>
          <w:sz w:val="18"/>
          <w:szCs w:val="18"/>
          <w:color w:val="auto"/>
        </w:rPr>
      </w:pPr>
    </w:p>
    <w:p>
      <w:pPr>
        <w:jc w:val="both"/>
        <w:ind w:left="1140" w:right="140" w:hanging="336"/>
        <w:spacing w:after="0" w:line="253"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$108.00 per share (as adjusted by the same ratio as the reverse stock split that was effective as of July 5, 2023, or 1-for-6, and subject to further adjustment for stock splits, stock dividends, reorganizations, recapitalizations and the like) the deSPAC Private Placement Warrants must also be concurrently called for redemption on the same terms (except as described above with respect to a holder’s ability to cashless exercise its warrants) as the rest of the outstanding deSPAC Warrants, as described above.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numbers in the table below represent the number of shares of our Common Stock that a deSPAC Warrant holder will receive upon exercise in connection with a redemption by us pursuant to this redemption feature, based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jc w:val="both"/>
        <w:spacing w:after="0" w:line="258" w:lineRule="auto"/>
        <w:rPr>
          <w:sz w:val="20"/>
          <w:szCs w:val="20"/>
          <w:color w:val="auto"/>
        </w:rPr>
      </w:pPr>
      <w:r>
        <w:rPr>
          <w:rFonts w:ascii="Times New Roman" w:cs="Times New Roman" w:eastAsia="Times New Roman" w:hAnsi="Times New Roman"/>
          <w:sz w:val="18"/>
          <w:szCs w:val="18"/>
          <w:color w:val="auto"/>
        </w:rPr>
        <w:t>“fair market value” of our Common Stock on the corresponding redemption date (assuming holders elect to exercise their deSPAC Warrants and such warrants are not redeemed for $0.10 per warrant), determined based on the volume-weighted average price of our Common Stock as reported during the 10 trading days immediately following the date on which the notice of redemption is sent to the holders of deSPAC Warrants, and the number of months that the corresponding redemption date precedes the expiration date of the deSPAC Warrants, each as set forth in the table below. We will provide our deSPAC Warrant holders with the final fair market value no later than one business day after the 10-trading day period described above ends.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stock prices set forth in the column headings of the table below will be adjusted for the reverse stock split that was effective as of July 5, 2023, and will be further adjusted as of any date on which the number of shares issuable upon exercise of a deSPAC Warrant or the exercise price of the deSPAC Warrant is adjusted as set forth under the heading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If the number of shares issuable upon exercise of a deSPAC Warrant is adjusted, including as a result of the reverse stock split that was effective as of July 5, 2023, the adjusted stock prices in the column headings will equal the stock prices immediately prior to such adjustment, multiplied by a fraction, the numerator of which is the exercise price of the deSPAC Warrant after such adjustment and the denominator of which is the exercise price of the deSPAC Warrant immediately after such adjustment. In such an event, the number of shares in the table below shall be adjusted by multiplying such share amounts by a fraction, the numerator of which is the number of shares deliverable upon exercise of a deSPAC Warrant immediately prior to such adjustment and the denominator of which is the number of shares deliverable upon exercise of a deSPAC Warrant as so adjusted.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8"/>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8"/>
              </w:rPr>
              <w:t>Fair Market Value of Our Common stock</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Redemption Date (period to</w:t>
            </w: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280" w:type="dxa"/>
            <w:vAlign w:val="bottom"/>
            <w:gridSpan w:val="2"/>
            <w:vMerge w:val="continue"/>
          </w:tcPr>
          <w:p>
            <w:pPr>
              <w:spacing w:after="0"/>
              <w:rPr>
                <w:sz w:val="10"/>
                <w:szCs w:val="10"/>
                <w:color w:val="auto"/>
              </w:rPr>
            </w:pPr>
          </w:p>
        </w:tc>
        <w:tc>
          <w:tcPr>
            <w:tcW w:w="920" w:type="dxa"/>
            <w:vAlign w:val="bottom"/>
            <w:tcBorders>
              <w:top w:val="single" w:sz="8" w:color="auto"/>
            </w:tcBorders>
          </w:tcPr>
          <w:p>
            <w:pPr>
              <w:jc w:val="right"/>
              <w:ind w:right="197"/>
              <w:spacing w:after="0" w:line="115" w:lineRule="exact"/>
              <w:rPr>
                <w:sz w:val="20"/>
                <w:szCs w:val="20"/>
                <w:color w:val="auto"/>
              </w:rPr>
            </w:pPr>
            <w:r>
              <w:rPr>
                <w:rFonts w:ascii="Times New Roman" w:cs="Times New Roman" w:eastAsia="Times New Roman" w:hAnsi="Times New Roman"/>
                <w:sz w:val="13"/>
                <w:szCs w:val="13"/>
                <w:b w:val="1"/>
                <w:bCs w:val="1"/>
                <w:color w:val="auto"/>
              </w:rPr>
              <w:t>≤$10.00</w:t>
            </w:r>
          </w:p>
        </w:tc>
        <w:tc>
          <w:tcPr>
            <w:tcW w:w="460" w:type="dxa"/>
            <w:vAlign w:val="bottom"/>
            <w:tcBorders>
              <w:top w:val="single" w:sz="8" w:color="auto"/>
            </w:tcBorders>
            <w:gridSpan w:val="2"/>
          </w:tcPr>
          <w:p>
            <w:pPr>
              <w:jc w:val="right"/>
              <w:ind w:right="160"/>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tcBorders>
          </w:tcPr>
          <w:p>
            <w:pPr>
              <w:jc w:val="right"/>
              <w:ind w:right="97"/>
              <w:spacing w:after="0" w:line="115" w:lineRule="exact"/>
              <w:rPr>
                <w:sz w:val="20"/>
                <w:szCs w:val="20"/>
                <w:color w:val="auto"/>
              </w:rPr>
            </w:pPr>
            <w:r>
              <w:rPr>
                <w:rFonts w:ascii="Times New Roman" w:cs="Times New Roman" w:eastAsia="Times New Roman" w:hAnsi="Times New Roman"/>
                <w:sz w:val="13"/>
                <w:szCs w:val="13"/>
                <w:b w:val="1"/>
                <w:bCs w:val="1"/>
                <w:color w:val="auto"/>
              </w:rPr>
              <w:t>11.00</w:t>
            </w:r>
          </w:p>
        </w:tc>
        <w:tc>
          <w:tcPr>
            <w:tcW w:w="460" w:type="dxa"/>
            <w:vAlign w:val="bottom"/>
            <w:tcBorders>
              <w:top w:val="single" w:sz="8" w:color="auto"/>
            </w:tcBorders>
            <w:gridSpan w:val="2"/>
          </w:tcPr>
          <w:p>
            <w:pPr>
              <w:jc w:val="right"/>
              <w:ind w:right="160"/>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tcBorders>
          </w:tcPr>
          <w:p>
            <w:pPr>
              <w:jc w:val="right"/>
              <w:ind w:right="97"/>
              <w:spacing w:after="0" w:line="115" w:lineRule="exact"/>
              <w:rPr>
                <w:sz w:val="20"/>
                <w:szCs w:val="20"/>
                <w:color w:val="auto"/>
              </w:rPr>
            </w:pPr>
            <w:r>
              <w:rPr>
                <w:rFonts w:ascii="Times New Roman" w:cs="Times New Roman" w:eastAsia="Times New Roman" w:hAnsi="Times New Roman"/>
                <w:sz w:val="13"/>
                <w:szCs w:val="13"/>
                <w:b w:val="1"/>
                <w:bCs w:val="1"/>
                <w:color w:val="auto"/>
              </w:rPr>
              <w:t>12.00</w:t>
            </w:r>
          </w:p>
        </w:tc>
        <w:tc>
          <w:tcPr>
            <w:tcW w:w="440" w:type="dxa"/>
            <w:vAlign w:val="bottom"/>
            <w:tcBorders>
              <w:top w:val="single" w:sz="8" w:color="auto"/>
            </w:tcBorders>
            <w:gridSpan w:val="2"/>
          </w:tcPr>
          <w:p>
            <w:pPr>
              <w:jc w:val="right"/>
              <w:ind w:right="77"/>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tcBorders>
          </w:tcPr>
          <w:p>
            <w:pPr>
              <w:jc w:val="right"/>
              <w:ind w:right="77"/>
              <w:spacing w:after="0" w:line="115" w:lineRule="exact"/>
              <w:rPr>
                <w:sz w:val="20"/>
                <w:szCs w:val="20"/>
                <w:color w:val="auto"/>
              </w:rPr>
            </w:pPr>
            <w:r>
              <w:rPr>
                <w:rFonts w:ascii="Times New Roman" w:cs="Times New Roman" w:eastAsia="Times New Roman" w:hAnsi="Times New Roman"/>
                <w:sz w:val="13"/>
                <w:szCs w:val="13"/>
                <w:b w:val="1"/>
                <w:bCs w:val="1"/>
                <w:color w:val="auto"/>
              </w:rPr>
              <w:t>13.00</w:t>
            </w:r>
          </w:p>
        </w:tc>
        <w:tc>
          <w:tcPr>
            <w:tcW w:w="420" w:type="dxa"/>
            <w:vAlign w:val="bottom"/>
            <w:tcBorders>
              <w:top w:val="single" w:sz="8" w:color="auto"/>
            </w:tcBorders>
            <w:gridSpan w:val="2"/>
          </w:tcPr>
          <w:p>
            <w:pPr>
              <w:jc w:val="right"/>
              <w:ind w:right="140"/>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top w:val="single" w:sz="8" w:color="auto"/>
            </w:tcBorders>
          </w:tcPr>
          <w:p>
            <w:pPr>
              <w:jc w:val="right"/>
              <w:ind w:right="77"/>
              <w:spacing w:after="0" w:line="115" w:lineRule="exact"/>
              <w:rPr>
                <w:sz w:val="20"/>
                <w:szCs w:val="20"/>
                <w:color w:val="auto"/>
              </w:rPr>
            </w:pPr>
            <w:r>
              <w:rPr>
                <w:rFonts w:ascii="Times New Roman" w:cs="Times New Roman" w:eastAsia="Times New Roman" w:hAnsi="Times New Roman"/>
                <w:sz w:val="13"/>
                <w:szCs w:val="13"/>
                <w:b w:val="1"/>
                <w:bCs w:val="1"/>
                <w:color w:val="auto"/>
              </w:rPr>
              <w:t>14.00</w:t>
            </w:r>
          </w:p>
        </w:tc>
        <w:tc>
          <w:tcPr>
            <w:tcW w:w="400" w:type="dxa"/>
            <w:vAlign w:val="bottom"/>
            <w:tcBorders>
              <w:top w:val="single" w:sz="8" w:color="auto"/>
            </w:tcBorders>
            <w:gridSpan w:val="2"/>
          </w:tcPr>
          <w:p>
            <w:pPr>
              <w:jc w:val="right"/>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15.00</w:t>
            </w:r>
          </w:p>
        </w:tc>
        <w:tc>
          <w:tcPr>
            <w:tcW w:w="400" w:type="dxa"/>
            <w:vAlign w:val="bottom"/>
            <w:tcBorders>
              <w:top w:val="single" w:sz="8" w:color="auto"/>
            </w:tcBorders>
            <w:gridSpan w:val="2"/>
          </w:tcPr>
          <w:p>
            <w:pPr>
              <w:jc w:val="right"/>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rPr>
              <w:t>16.00</w:t>
            </w:r>
          </w:p>
        </w:tc>
        <w:tc>
          <w:tcPr>
            <w:tcW w:w="400" w:type="dxa"/>
            <w:vAlign w:val="bottom"/>
            <w:tcBorders>
              <w:top w:val="single" w:sz="8" w:color="auto"/>
            </w:tcBorders>
            <w:gridSpan w:val="2"/>
          </w:tcPr>
          <w:p>
            <w:pPr>
              <w:jc w:val="right"/>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tcBorders>
          </w:tcPr>
          <w:p>
            <w:pPr>
              <w:jc w:val="right"/>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17.00</w:t>
            </w: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37"/>
              <w:spacing w:after="0" w:line="115" w:lineRule="exact"/>
              <w:rPr>
                <w:sz w:val="20"/>
                <w:szCs w:val="20"/>
                <w:color w:val="auto"/>
              </w:rPr>
            </w:pPr>
            <w:r>
              <w:rPr>
                <w:rFonts w:ascii="Times New Roman" w:cs="Times New Roman" w:eastAsia="Times New Roman" w:hAnsi="Times New Roman"/>
                <w:sz w:val="13"/>
                <w:szCs w:val="13"/>
                <w:b w:val="1"/>
                <w:bCs w:val="1"/>
                <w:color w:val="auto"/>
              </w:rPr>
              <w:t>≥$18.00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expiration of warrants)</w:t>
            </w:r>
          </w:p>
        </w:tc>
        <w:tc>
          <w:tcPr>
            <w:tcW w:w="1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60 months</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0.261</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0.281</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0.297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0.311</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0.324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0.337</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0.348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0.358</w:t>
            </w:r>
          </w:p>
        </w:tc>
        <w:tc>
          <w:tcPr>
            <w:tcW w:w="1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57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0.257</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0.277</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0.294</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0.310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0.337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0.348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0.358</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54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0.252</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0.272</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0.291</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0.307</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0.322</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0.335</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0.347</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0.357</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51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0.246</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0.268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0.287</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0.304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0.333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0.346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0.357</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48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0.241</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0.263</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0.283</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0.301</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0.317</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0.332</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0.344</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0.356</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45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0.235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0.258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0.279</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0.298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0.315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0.330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0.343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0.356</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42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0.228</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0.252</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0.274</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0.294</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0.312</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0.328</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0.342</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0.355</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39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0.221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0.246</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0.269</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0.290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0.309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0.340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0.354</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36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0.213</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0.239</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0.263</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0.285</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0.305</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0.339</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0.353</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33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0.205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0.232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0.257</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0.280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0.301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0.337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0.352</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30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0.196</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0.224</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0.250</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0.274</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0.297</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0.316</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0.335</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0.351</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27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0.185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0.214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0.242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0.268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0.291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0.313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0.332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0.350</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24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0.173</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0.204</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0.233</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0.260</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0.285</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0.308</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0.329</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0.348</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21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0.161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0.193</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0.223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0.252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0.279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0.304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0.347</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18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0.146</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0.179</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0.211</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0.242</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0.271</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0.298</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0.322</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0.345</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15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0.130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0.164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0.197</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0.230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0.262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0.291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0.317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0.342</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12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0.111</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0.146</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0.181</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0.216</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0.250</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0.282</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0.312</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0.339</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9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0.090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0.125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0.162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0.237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0.272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0.305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0.336</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6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0.065</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0.099</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0.137</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0.178</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0.219</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0.259</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0.296</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0.331</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3 months</w:t>
            </w: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0.034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0.065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0.104</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0.150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0.197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0.243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0.286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0.326</w:t>
            </w:r>
          </w:p>
        </w:tc>
        <w:tc>
          <w:tcPr>
            <w:tcW w:w="12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gridSpan w:val="2"/>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0 months</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0.042</w:t>
            </w: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0.115</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0.179</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0.233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0.281</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0.323</w:t>
            </w:r>
          </w:p>
        </w:tc>
        <w:tc>
          <w:tcPr>
            <w:tcW w:w="1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0.361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our Common Stock to be issued for each deSPAC Warrant exercised will be determined by a straight-line interpolation between the number of shares set forth for the higher and lower fair market values and the earlier and later redemption dates, as applicable, based on a 365 or 366-day year, as applicable. For example, if the volume-weighted average price of our Common Stock as reported during the 10 trading days immediately following the date on which the notice of redemption is sent to the holders of the deSPAC Warrants is $11.00 per share, and at such time there are 57 months until the expiration of the deSPAC Warrants, holders may choose to, in connection with this redemption feature, exercise their warrants for 0.277 of a share of Common Stock for each whole deSPAC Warrant. For an example where the exact fair market value and redemption date are not as set forth in the table above, if the volume-weighted average price of our Common Stock as reported during the 10 trading days immediately following the date on which the notice of redemption is sent to the holders of the deSPAC Warrants is $13.50 per share, and at such time there are 38 months until the expiration of the deSPAC Warrants, holders may choose to, in connection with this redemption feature, exercise their warrants for 0.298 of a share of Common Stock for each whole deSPAC Warrant. The foregoing examples are subject to adjustment for the reverse stock split that was effective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0" w:name="page111"/>
    <w:bookmarkEnd w:id="11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July 5, 2023, and subject to further adjustment as described above. In no event will the deSPAC Warrants be exercisable in connection with this redemption feature for more than 0.361 of a share of Common Stock per warrant (subject to adjustment for the reverse stock split that was effective as of July 5, 2023, and subject to further adjustment as described above).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redemption feature differs from the typical warrant redemption features used in many other blank check offerings, which typically only provide for a redemption of warrants (other than the deSPAC Private Placement Warrants) when the trading price for the shares of Common Stock exceeds $108.00 per share (as adjusted by the same ratio as the reverse stock split that was effective as of July 5, 2023, or 1-for-6, and subject to further adjustment) for a specified period of time. This redemption feature is structured to allow for all of the outstanding deSPAC Warrants to be redeemed when the shares of our Common Stock are trading at or above $60.00 per share (as adjusted by the same ratio as the reverse stock split that was effective as of July 5, 2023, or 1-for-6, and subject to further adjustment), which may be at a time when the trading price of our shares of Common Stock is below the exercise price of the deSPAC Warrants. We have established this redemption feature to provide us with the flexibility to redeem the deSPAC Warrants without the warrants having to reach the $108.00 per share threshold (as adjusted by the same ratio as the reverse stock split that was effective as of July 5, 2023, or 1-for-6, and subject to further adjustment) set forth above under “</w:t>
      </w:r>
      <w:r>
        <w:rPr>
          <w:rFonts w:ascii="Times New Roman" w:cs="Times New Roman" w:eastAsia="Times New Roman" w:hAnsi="Times New Roman"/>
          <w:sz w:val="18"/>
          <w:szCs w:val="18"/>
          <w:i w:val="1"/>
          <w:iCs w:val="1"/>
          <w:color w:val="auto"/>
        </w:rPr>
        <w:t>-Redemption of deSPAC Warrants When the Price per Share of Our Common Stock Equals or Exceeds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$108.00 (as adjusted)</w:t>
      </w:r>
      <w:r>
        <w:rPr>
          <w:rFonts w:ascii="Times New Roman" w:cs="Times New Roman" w:eastAsia="Times New Roman" w:hAnsi="Times New Roman"/>
          <w:sz w:val="18"/>
          <w:szCs w:val="18"/>
          <w:color w:val="auto"/>
        </w:rPr>
        <w:t>.” Holders choosing to exercise their deSPAC Warrants in connection with a redemption pursuant to this feature will,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 number of shares for their deSPAC Warrants based on an option pricing model with a fixed volatility input as of January 14, 2021. This redemption right provides us with an additional mechanism by which to redeem all of the outstanding deSPAC Warrants, and therefore have certainty as to our capital structure.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stated above, we can redeem the deSPAC Warrants when the shares of our Common Stock are trading at a price starting at $60.00 (as adjusted by the same ratio as the reverse stock split that was effective as of July 5, 2023, or 1-for-6, and subject to further adjustment), which is below the exercise price of $69.00 (as adjusted upon exercise by the same ratio as the reverse stock split that was effective as of July 5, 2023, or 1-for-6, and subject to further adjustment), because it will provide certainty with respect to our capital structure and cash position while providing deSPAC Warrant holders with the opportunity to exercise their deSPAC Warrants on a cashless basis for the applicable number of shares. If we choose to redeem the deSPAC Warrants when the shares of our Common Stock are trading at a price below the exercise price of the deSPAC Warrants, this could result in the deSPAC Warrant holders receiving fewer shares of Common Stock than they would have received if they had chosen to wait to exercise their deSPAC Warrants for Common Stock if and when such shares of Common Stock were trading at a price higher than the exercise price of $69.00 (as adjusted upon exercise by the same ratio as the reverse stock split that was effective as of July 5, 2023, or 1-for-6, and subject to further adjustment).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fractional shares of our Common Stock will be issued upon exercise. If, upon exercise, a holder would be entitled to receive a fractional interest in a share, we will round down to the nearest whole number of the number of shares of our Common Stock to be issued to the holder. If, at the time of redemption, the deSPAC Warrants are exercisable for a security other than the shares of our Common Stock pursuant to the Warrant Agreement, the deSPAC Warrants may be exercised for such security. At such time as the deSPAC Warrants become exercisable for a security other than the shares of our Common Stock, the Company will use its commercially reasonable efforts to register under the Securities Act the security issuable upon the exercise of the deSPAC Warrants.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Maximum Percentage</w:t>
      </w:r>
      <w:r>
        <w:rPr>
          <w:rFonts w:ascii="Times New Roman" w:cs="Times New Roman" w:eastAsia="Times New Roman" w:hAnsi="Times New Roman"/>
          <w:sz w:val="18"/>
          <w:szCs w:val="18"/>
          <w:color w:val="auto"/>
        </w:rPr>
        <w:t>. A holder of a deSPAC Warrant may notify us in writing in the event it elects to be subject to a requirement that such holder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right to exercise such deSPAC Warrant, to the extent that after giving effect to such exercise, such person (together with such person’s affiliates), to the Warrant Agent’s actual knowledge, would beneficially own in excess of 4.9% or 9.8% (as specified by the holder) of the shares of our Common Stock issued and outstanding immediately after giving effect to such exercise.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shares of our Common Stock is increased by a stock capitalization or stock dividend payable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Common Stock, or by a split-up of common stock or other similar event, then, on the effective date of such stock capitalization or stock dividend, split-up or similar event, the number of shares of our Common Stock issuable on exercise of each deSPAC Warrant will be increased in proportion to such increase in the outstanding shares of common stock. A rights offering to holders of common stock entitling holders to purchase Common Stock at a price less than the “historical fair market value” (as defined below)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1" w:name="page112"/>
    <w:bookmarkEnd w:id="111"/>
    <w:p>
      <w:pPr>
        <w:jc w:val="both"/>
        <w:spacing w:after="0" w:line="254" w:lineRule="auto"/>
        <w:rPr>
          <w:sz w:val="20"/>
          <w:szCs w:val="20"/>
          <w:color w:val="auto"/>
        </w:rPr>
      </w:pPr>
      <w:r>
        <w:rPr>
          <w:rFonts w:ascii="Times New Roman" w:cs="Times New Roman" w:eastAsia="Times New Roman" w:hAnsi="Times New Roman"/>
          <w:sz w:val="18"/>
          <w:szCs w:val="18"/>
          <w:color w:val="auto"/>
        </w:rPr>
        <w:t>deemed a stock dividend of a number of shares of our Common Stock equal to the product of (i) the number of shares of our Common Stock actually sold in such rights offering (or issuable under any other equity securities sold in such rights offering that are convertible into or exercisable for Common Stock) and (ii) one minus the quotient of (x) the price per share of our Common Stock paid in such rights offering and (y) the historical fair market value. For these purposes, (i) if the rights offering is for securities convertible into or exercisable for shares of our Common Stock, in determining the price payable for Common Stock, there will be taken into account any consideration received for such rights, as well as any additional amount payable upon exercise or conversion and (ii) “historical fair market value” means the volume-weighted average price of shares of our Common Stock as reported during the 10 trading day period ending on the trading day prior to the first date on which the shares of our Common Stock trade on the applicable exchange or in the applicable market, regular way, without the right to receive such rights.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we, at any time while the deSPAC Warrants are outstanding and unexpired, pay a dividend or make a distribution in cash, securities or other assets to the holders of shares of our Common Stock on account of such Common Stock (or other securities into which the deSPAC Warrants are convertible), other than (a) as described above and (b) any cash dividends or cash distributions which, when combined on a per share basis with all other cash dividends and cash distributions paid on the shares of our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our Common Stock issuable on exercise of each deSPAC Warrant) but only with respect to the amount of the aggregate cash dividends or cash distributions equal to or less than $0.50 per share (as adjusted to appropriately reflect any other adjustments and excluding cash dividends or cash distributions that resulted in an adjustment to the exercise price or to the number of shares of our Common Stock issuable on exercise of each deSPAC Warrant), then the deSPAC Warrant exercise price will be decreased, effective immediately after the effective date of such event, by the amount of cash and/or the fair market value of any securities or other assets paid on each share of our Common Stock in respect of such event.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stock split or reclassification of our Common Stock or other similar event, then, on the effective date of such consolidation, combination, reverse stock split, reclassification or similar event, the number of shares of our Common Stock issuable on exercise of each deSPAC Warrant will be decreased in proportion to such decrease in outstanding shares of our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our Common Stock purchasable upon the exercise of the deSPAC Warrants is adjusted, as described above, the deSPAC Warrant exercise price will be adjusted by multiplying the deSPAC Warrant exercise price immediately prior to such adjustment by a fraction (x) the numerator of which will be the number of shares of our Common Stock purchasable upon the exercise of the deSPAC Warrants immediately prior to such adjustment and (y) the denominator of which will be the number of shares of our Common Stock so purchasable immediately thereafter.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Stock (other than those described above or that solely affects the par value of such Common Stock), or in the case of any merger or consolidation of us with or into another corporation (other than a consolidation or merger in which we are the continuing corporation and that does not result in any reclassification or reorganization of our outstanding Common Stock), or in the case of any sale or conveyance to another corporation or entity of the assets or other property of us as an entirety or substantially as an entirety in connection with which we are dissolved, the holders of the deSPAC Warrants will thereafter have the right to purchase and receive, upon the basis and upon the terms and conditions specified in the deSPAC Warrants and in lieu of the shares of our Common Stock immediately theretofore purchasable and receivable upon the exercise of the rights represented thereby, the kind and amount of our Common Stock or other securities or property (including cash) receivable upon such reclassification, reorganization, merger or consolidation, or upon a dissolution following any such sale or transfer, that the holder of the deSPAC Warrants would have received if such holder had exercised their warrants immediately prior to such event. If less than 70% of the consideration receivable by the holders of our Common Stock in such a transaction is payable in the form of our Common Stock in the successor entity that is listed for trading on a national securities exchange or is quoted in an established over-the-counter market, or is to be so listed for trading or quoted immediately following such event, and if the registered holder of the deSPAC Warrant properly exercises the deSPAC Warrant within thirty days following public disclosure of such transaction, the warrant exercise price will be reduced as specified in the Warrant Agreement based on the Black-Scholes value (as defined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2" w:name="page113"/>
    <w:bookmarkEnd w:id="112"/>
    <w:p>
      <w:pPr>
        <w:jc w:val="both"/>
        <w:spacing w:after="0" w:line="266" w:lineRule="auto"/>
        <w:rPr>
          <w:sz w:val="20"/>
          <w:szCs w:val="20"/>
          <w:color w:val="auto"/>
        </w:rPr>
      </w:pPr>
      <w:r>
        <w:rPr>
          <w:rFonts w:ascii="Times New Roman" w:cs="Times New Roman" w:eastAsia="Times New Roman" w:hAnsi="Times New Roman"/>
          <w:sz w:val="18"/>
          <w:szCs w:val="18"/>
          <w:color w:val="auto"/>
        </w:rPr>
        <w:t>Warrant Agreement) of the deSPAC Warrant. The purpose of such exercise price reduction is to provide additional value to holders of the deSPAC Warrants when an extraordinary transaction occurs during the exercise period of the deSPAC Warrants pursuant to which the holders of the deSPAC Warrants otherwise do not receive the full potential value of the deSPAC Warrants.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deSPAC Warrants were issued in registered form under a warrant agreement between Continental Stock Transfer &amp; Trust Company, as Warrant Agent, and Rotor. The Warrant Agreement provides that the terms of the warrants may be amended without the consent of any holder to cure any ambiguity or correct any defective provision or mistake, including to conform the provisions of the Warrant Agreement to the description of the terms of the deSPAC Warrants and the Warrant Agreement, but requires the approval by the holders of at least 65% of the then-outstanding deSPAC Public Warrants to make any change that adversely affects the interests of the registered holders.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deSPAC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deSPAC Warrant holders do not have the rights or privileges of holders of common stock and any voting rights until they exercise their warrants and receive Common Stock. After the issuance of our Common Stock upon exercise of the deSPAC Warrants, each holder will be entitled to one vote for each share held of record on all matters to be voted on by stockholders.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deSPAC Private Placement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deSPAC Private Placement Warrants (including the shares of our Common Stock issuable upon exercise of the deSPAC Private Placement Warrants) will not be redeemable by us so long as they are held by the initial purchasers or their permitted transferees (except as otherwise set forth herein). The initial purchasers or their permitted transferees have the option to exercise the deSPAC Private Placement Warrants on a cashless basis. Except as described herein, the deSPAC Private Placement Warrants have terms and provisions that are identical to those of the deSPAC Public Warrants. If the deSPAC Private Placement Warrants are held by holders other than the initial purchasers or their permitted transferees, the deSPAC Private Placement Warrants will be redeemable by us in all redemption scenarios and exercisable by the holders on the same basis as the deSPAC Public Warrants.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redemption rights described under “</w:t>
      </w:r>
      <w:r>
        <w:rPr>
          <w:rFonts w:ascii="Times New Roman" w:cs="Times New Roman" w:eastAsia="Times New Roman" w:hAnsi="Times New Roman"/>
          <w:sz w:val="18"/>
          <w:szCs w:val="18"/>
          <w:i w:val="1"/>
          <w:iCs w:val="1"/>
          <w:color w:val="auto"/>
        </w:rPr>
        <w:t>-Redemption of deSPAC Warrants When the Price per Share of Our Common Stock Equals or Exceeds $60.00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will not apply to the deSPAC Private Placement Warrants if at the time of redemption the deSPAC Private Placement Warrants continue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the initial purchasers or their permitted transferees under the Warrant Agreement. If holders of the deSPAC Private Placement Warrants elect to exercise them on a cashless basis, they would pay the exercise price by surrendering his, her or its warrants for that number of shares of our Common Stock equal to the quotient obtained by dividing (x) the product of the number of shares of our Common Stock underlying the warrants, multiplied by the excess of the “historical fair market value” (defined below) over the exercise price of the warrants by (y) the historical fair market value. For these purposes, the “historical fair market value” shall mean the volume-weighted average sale price of the shares of our Common Stock for the 10 trading days ending on the third trading day prior to the date on which the notice of warrant exercise is received by the Warrant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On November 1, 2024, in a private placement, we issued to our Chief Executive Officer and certain other members of our Board warrants to purchase up to 430,105 shares of Common Stock, at a price of $0.125 per warrant (the “2024 Warrants”). The 2024 Warrants have an exercise price of $2.30 per share, are exercisable commencing six months from the date of issuance and will expire five and one-half years following the date of issue. </w:t>
      </w:r>
      <w:r>
        <w:rPr>
          <w:rFonts w:ascii="Times New Roman" w:cs="Times New Roman" w:eastAsia="Times New Roman" w:hAnsi="Times New Roman"/>
          <w:sz w:val="18"/>
          <w:szCs w:val="18"/>
          <w:color w:val="000000"/>
        </w:rPr>
        <w:t>The 2024 Warrants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contain standard anti-dilution adjustments to the exercise price including for share splits, share dividends, rights offerings and pro rata distributions.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3" w:name="page114"/>
    <w:bookmarkEnd w:id="113"/>
    <w:p>
      <w:pPr>
        <w:jc w:val="both"/>
        <w:spacing w:after="0" w:line="261"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such claims and losses that may arise out of acts performed or omitted for its activities in that capacity, except for any claims and losses due to any gross negligence or intentional misconduct of the indemnified person or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the Company’s Certificate of Incorporation and Bylaws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provisions of our Charter and Bylaws which are summarized below may have the effect of delaying, deferring or discouraging another person from acquiring control of us. They are also designed, in part, to encourage persons seeking to acquire control of the Company to negotiate first with our board of directors (the “Board”). We believe that the benefits of increased protection of our ability to negotiate with an unfriendly or unsolicited acquirer will outweigh the disadvantages of discouraging a proposal to acquire the post-combination company because negotiation of these proposals could result in an improvement of their terms.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176" w:lineRule="exact"/>
        <w:rPr>
          <w:sz w:val="20"/>
          <w:szCs w:val="20"/>
          <w:color w:val="auto"/>
        </w:rPr>
      </w:pPr>
    </w:p>
    <w:p>
      <w:pPr>
        <w:ind w:left="1360" w:hanging="448"/>
        <w:spacing w:after="0" w:line="261" w:lineRule="auto"/>
        <w:tabs>
          <w:tab w:leader="none" w:pos="1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transaction which resulted in the stockholder becoming an interested stockholder was approved by the Board prior to the time that the stockholder became an interested stockholder;</w:t>
      </w:r>
    </w:p>
    <w:p>
      <w:pPr>
        <w:jc w:val="both"/>
        <w:ind w:left="1360" w:hanging="448"/>
        <w:spacing w:after="0" w:line="250" w:lineRule="auto"/>
        <w:tabs>
          <w:tab w:leader="none" w:pos="1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 w:lineRule="exact"/>
        <w:rPr>
          <w:rFonts w:ascii="Times New Roman" w:cs="Times New Roman" w:eastAsia="Times New Roman" w:hAnsi="Times New Roman"/>
          <w:sz w:val="18"/>
          <w:szCs w:val="18"/>
          <w:color w:val="auto"/>
        </w:rPr>
      </w:pPr>
    </w:p>
    <w:p>
      <w:pPr>
        <w:jc w:val="both"/>
        <w:ind w:left="1360" w:hanging="448"/>
        <w:spacing w:after="0" w:line="255" w:lineRule="auto"/>
        <w:tabs>
          <w:tab w:leader="none" w:pos="13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7" w:lineRule="exact"/>
        <w:rPr>
          <w:sz w:val="20"/>
          <w:szCs w:val="20"/>
          <w:color w:val="auto"/>
        </w:rPr>
      </w:pPr>
    </w:p>
    <w:p>
      <w:pPr>
        <w:ind w:left="1360" w:hanging="448"/>
        <w:spacing w:after="0" w:line="250" w:lineRule="auto"/>
        <w:tabs>
          <w:tab w:leader="none" w:pos="1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consolidations involving the corporation, or any direct or indirect majority-owned subsidiary of the corporation, and the interested stockholder or any other entity if the merger or consolidation is caused by the interested stockholder;</w:t>
      </w:r>
    </w:p>
    <w:p>
      <w:pPr>
        <w:ind w:left="1360" w:right="20" w:hanging="448"/>
        <w:spacing w:after="0" w:line="250" w:lineRule="auto"/>
        <w:tabs>
          <w:tab w:leader="none" w:pos="1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 or any direct or indirect majority-owned subsidiary of the corporation;</w:t>
      </w:r>
    </w:p>
    <w:p>
      <w:pPr>
        <w:ind w:left="1360" w:right="20" w:hanging="448"/>
        <w:spacing w:after="0" w:line="250" w:lineRule="auto"/>
        <w:tabs>
          <w:tab w:leader="none" w:pos="1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or any direct or indirect majority-owned subsidiary of the corporation, of any stock of the corporation or such subsidiary to the interested stockholder;</w:t>
      </w:r>
    </w:p>
    <w:p>
      <w:pPr>
        <w:jc w:val="both"/>
        <w:ind w:left="1360" w:hanging="448"/>
        <w:spacing w:after="0" w:line="250" w:lineRule="auto"/>
        <w:tabs>
          <w:tab w:leader="none" w:pos="1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spacing w:after="0" w:line="1" w:lineRule="exact"/>
        <w:rPr>
          <w:rFonts w:ascii="Times New Roman" w:cs="Times New Roman" w:eastAsia="Times New Roman" w:hAnsi="Times New Roman"/>
          <w:sz w:val="18"/>
          <w:szCs w:val="18"/>
          <w:color w:val="auto"/>
        </w:rPr>
      </w:pPr>
    </w:p>
    <w:p>
      <w:pPr>
        <w:ind w:left="1360" w:right="20" w:hanging="448"/>
        <w:spacing w:after="0" w:line="260" w:lineRule="auto"/>
        <w:tabs>
          <w:tab w:leader="none" w:pos="1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may have the effect of delaying, deferring or preventing changes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the Charter and the Bylaws include a number of provisions that could deter hostile takeovers or delay or prevent changes in control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management. Among other things, the Charter and the Bylaws:</w:t>
      </w:r>
    </w:p>
    <w:p>
      <w:pPr>
        <w:spacing w:after="0" w:line="9" w:lineRule="exact"/>
        <w:rPr>
          <w:sz w:val="20"/>
          <w:szCs w:val="20"/>
          <w:color w:val="auto"/>
        </w:rPr>
      </w:pPr>
    </w:p>
    <w:p>
      <w:pPr>
        <w:ind w:left="1360" w:hanging="448"/>
        <w:spacing w:after="0"/>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to issue shares of preferred stock, with any powers, rights, preferences and privileges as they may designate;</w:t>
      </w:r>
    </w:p>
    <w:p>
      <w:pPr>
        <w:spacing w:after="0" w:line="17" w:lineRule="exact"/>
        <w:rPr>
          <w:rFonts w:ascii="Times New Roman" w:cs="Times New Roman" w:eastAsia="Times New Roman" w:hAnsi="Times New Roman"/>
          <w:sz w:val="18"/>
          <w:szCs w:val="18"/>
          <w:color w:val="auto"/>
        </w:rPr>
      </w:pPr>
    </w:p>
    <w:p>
      <w:pPr>
        <w:ind w:left="1360" w:hanging="448"/>
        <w:spacing w:after="0"/>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w:t>
      </w:r>
    </w:p>
    <w:p>
      <w:pPr>
        <w:spacing w:after="0" w:line="36" w:lineRule="exact"/>
        <w:rPr>
          <w:rFonts w:ascii="Times New Roman" w:cs="Times New Roman" w:eastAsia="Times New Roman" w:hAnsi="Times New Roman"/>
          <w:sz w:val="18"/>
          <w:szCs w:val="18"/>
          <w:color w:val="auto"/>
        </w:rPr>
      </w:pPr>
    </w:p>
    <w:p>
      <w:pPr>
        <w:jc w:val="both"/>
        <w:ind w:left="1360" w:right="120" w:hanging="448"/>
        <w:spacing w:after="0" w:line="255" w:lineRule="auto"/>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and newly created directorships resulting from any increase in the authorized number of directors, may, except as otherwise required by law, our governing documents or resolution of our Board, and subject to the rights of holders of our preferred stock, only be filled by the affirmative vote of a majority of directors then in office, even if less than a quorum, or by a sole remaining director;</w:t>
      </w:r>
    </w:p>
    <w:p>
      <w:pPr>
        <w:spacing w:after="0" w:line="2" w:lineRule="exact"/>
        <w:rPr>
          <w:rFonts w:ascii="Times New Roman" w:cs="Times New Roman" w:eastAsia="Times New Roman" w:hAnsi="Times New Roman"/>
          <w:sz w:val="18"/>
          <w:szCs w:val="18"/>
          <w:color w:val="auto"/>
        </w:rPr>
      </w:pPr>
    </w:p>
    <w:p>
      <w:pPr>
        <w:ind w:left="1360" w:hanging="448"/>
        <w:spacing w:after="0"/>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into three classes, each of which stands for election once every three years;</w:t>
      </w:r>
    </w:p>
    <w:p>
      <w:pPr>
        <w:spacing w:after="0" w:line="17" w:lineRule="exact"/>
        <w:rPr>
          <w:rFonts w:ascii="Times New Roman" w:cs="Times New Roman" w:eastAsia="Times New Roman" w:hAnsi="Times New Roman"/>
          <w:sz w:val="18"/>
          <w:szCs w:val="18"/>
          <w:color w:val="auto"/>
        </w:rPr>
      </w:pPr>
    </w:p>
    <w:p>
      <w:pPr>
        <w:jc w:val="both"/>
        <w:ind w:left="1360" w:right="120" w:hanging="448"/>
        <w:spacing w:after="0" w:line="257" w:lineRule="auto"/>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our Board is classified, and subject to the rights of holders of our preferred stock, provide that a director may only be removed from the Board by the stockholders for cause, and only by the affirmative vote of the holders of at least a 66⅔% of the voting power of the issued and outstanding capital stock of the Company entitled to vote in the election of directors;</w:t>
      </w:r>
    </w:p>
    <w:p>
      <w:pPr>
        <w:spacing w:after="0" w:line="1" w:lineRule="exact"/>
        <w:rPr>
          <w:rFonts w:ascii="Times New Roman" w:cs="Times New Roman" w:eastAsia="Times New Roman" w:hAnsi="Times New Roman"/>
          <w:sz w:val="18"/>
          <w:szCs w:val="18"/>
          <w:color w:val="auto"/>
        </w:rPr>
      </w:pPr>
    </w:p>
    <w:p>
      <w:pPr>
        <w:ind w:left="1360" w:right="140" w:hanging="448"/>
        <w:spacing w:after="0" w:line="250" w:lineRule="auto"/>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w:t>
      </w:r>
    </w:p>
    <w:p>
      <w:pPr>
        <w:jc w:val="both"/>
        <w:ind w:left="1360" w:right="120" w:hanging="448"/>
        <w:spacing w:after="0" w:line="250" w:lineRule="auto"/>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 w:lineRule="exact"/>
        <w:rPr>
          <w:rFonts w:ascii="Times New Roman" w:cs="Times New Roman" w:eastAsia="Times New Roman" w:hAnsi="Times New Roman"/>
          <w:sz w:val="18"/>
          <w:szCs w:val="18"/>
          <w:color w:val="auto"/>
        </w:rPr>
      </w:pPr>
    </w:p>
    <w:p>
      <w:pPr>
        <w:ind w:left="1360" w:right="140" w:hanging="448"/>
        <w:spacing w:after="0" w:line="250" w:lineRule="auto"/>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plurality of the shares of Common Stock entitled to vote in any election of directors to elect all of the directors standing for election, if they should so choose);</w:t>
      </w:r>
    </w:p>
    <w:p>
      <w:pPr>
        <w:ind w:left="1360" w:right="120" w:hanging="448"/>
        <w:spacing w:after="0" w:line="250" w:lineRule="auto"/>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a majority of our Board, the chairperson of our Board, our chief executive officer or our secretary;</w:t>
      </w:r>
    </w:p>
    <w:p>
      <w:pPr>
        <w:jc w:val="both"/>
        <w:ind w:left="1360" w:right="120" w:hanging="448"/>
        <w:spacing w:after="0" w:line="250" w:lineRule="auto"/>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will be permitted to amend certain provisions of the Charter and the Bylaws only upon receiving the affirmative vote of at least two-thirds of the voting power of the then outstanding voting securities, voting together as a single class; and</w:t>
      </w:r>
    </w:p>
    <w:p>
      <w:pPr>
        <w:spacing w:after="0" w:line="1" w:lineRule="exact"/>
        <w:rPr>
          <w:rFonts w:ascii="Times New Roman" w:cs="Times New Roman" w:eastAsia="Times New Roman" w:hAnsi="Times New Roman"/>
          <w:sz w:val="18"/>
          <w:szCs w:val="18"/>
          <w:color w:val="auto"/>
        </w:rPr>
      </w:pPr>
    </w:p>
    <w:p>
      <w:pPr>
        <w:ind w:left="1360" w:right="120" w:hanging="448"/>
        <w:spacing w:after="0" w:line="260" w:lineRule="auto"/>
        <w:tabs>
          <w:tab w:leader="none" w:pos="1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the Court of Chancery of the State of Delaware (or, if the Court of Chancery does not have jurisdiction, another State court in Delaware or the federal district court for the District of Delaware) as the exclusive forums for certain disputes.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sole and exclusive forum, to the fullest extent permitted by law, for (1) any derivative action or proceeding brought on our behalf, (2) any action asserting a breach of a fiduciary duty owed by any director, stockholder, officer or other employee to us or our stockholders, (3) any action arising pursuant to any provision of the DGCL or our Charter and Bylaws (as either may be amended from time to time), or (4)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Bylaws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Securities Exchange Act of 1934, as amended (the “Exchange Act”).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of Director Nominations and New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include advance notice procedures with respect to stockholder proposals and the nomination of candidates for election as director. In order for any matter to be “properly brought” before a meeting, a stockholder will have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jc w:val="both"/>
        <w:spacing w:after="0" w:line="266" w:lineRule="auto"/>
        <w:rPr>
          <w:sz w:val="20"/>
          <w:szCs w:val="20"/>
          <w:color w:val="auto"/>
        </w:rPr>
      </w:pPr>
      <w:r>
        <w:rPr>
          <w:rFonts w:ascii="Times New Roman" w:cs="Times New Roman" w:eastAsia="Times New Roman" w:hAnsi="Times New Roman"/>
          <w:sz w:val="18"/>
          <w:szCs w:val="18"/>
          <w:color w:val="auto"/>
        </w:rPr>
        <w:t>comply with such advance notice procedures and provide us with certain information in certain form. Our Bylaws allow the presiding officer at a meeting of stockholders to adopt rules and regulations for the conduct of meetings which may have the effect of precluding the conduct of certain business at a meeting if such rules and regulations are not followed.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deSPAC Registration Rights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Rotor, Old Sarcos, the Sponsor and certain security holders of Old Sarcos and Rotor entered into a registration rights agreement with respect to the Company’s securities (the “deSPAC Registration Rights Agreement”), including for the shares issued in the business combination in exchange for Founder Shares, the deSPAC Private Placement Warrants and the shares of Common Stock issuable upon exercise of the deSPAC Private Placement Warrants. The Registration Rights Agreement provides for the registration of the Common Stock and deSPAC Private Placement Warrants (and the Common Stock underlying such warrants) held by such security holders with the SEC on Form S-1 or, when available, Form S-3, as well as certain piggy-back registration rights. We will bear the expenses incurred in connection with the filing of any such registration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Warrant Registration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provided the purchasers of the 2024 Warrants with certain customary registration rights with respect to the Common Stock issuable upon exercise of the 2024 Warrants. We are obligated, at our sole expense, to register with the SEC such Common Stock for resale no later than 45 days following the 2024 Warrant Closing and to use commercially reasonable efforts to have such registration statement declared effective no later than 90 days following the 2024 Warrant Closing and to keep such registration statement effective until no purchaser of the 2024 Warrants owns any 2024 Warrants or the Common Stock issuable upon exercise thereof.</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or Rule 144, a person who has beneficially owned restricted Common Stock or restricted warrants for at least six months would be entitled to sell their securities provided that (i) such person is not deemed to have been an affiliate of ours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other than Form 8-K reports, preceding the sale.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or restricted warrants for at least six months but who are affiliates of ours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6" w:name="page117"/>
    <w:bookmarkEnd w:id="116"/>
    <w:p>
      <w:pPr>
        <w:spacing w:after="0" w:line="194" w:lineRule="exact"/>
        <w:rPr>
          <w:sz w:val="20"/>
          <w:szCs w:val="20"/>
          <w:color w:val="auto"/>
        </w:rPr>
      </w:pPr>
    </w:p>
    <w:p>
      <w:pPr>
        <w:ind w:left="1360" w:hanging="448"/>
        <w:spacing w:after="0"/>
        <w:tabs>
          <w:tab w:leader="none" w:pos="1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the then outstanding equity shares of the same class; or</w:t>
      </w:r>
    </w:p>
    <w:p>
      <w:pPr>
        <w:spacing w:after="0" w:line="36" w:lineRule="exact"/>
        <w:rPr>
          <w:rFonts w:ascii="Times New Roman" w:cs="Times New Roman" w:eastAsia="Times New Roman" w:hAnsi="Times New Roman"/>
          <w:sz w:val="18"/>
          <w:szCs w:val="18"/>
          <w:color w:val="auto"/>
        </w:rPr>
      </w:pPr>
    </w:p>
    <w:p>
      <w:pPr>
        <w:ind w:left="1360" w:hanging="448"/>
        <w:spacing w:after="0" w:line="282" w:lineRule="auto"/>
        <w:tabs>
          <w:tab w:leader="none" w:pos="1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our Common Stock or warrants, as applicable, during the four calendar weeks preceding the filing of a notice on Form 144 with respect to the sale.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subject to certain requirements relating to manner of sale, notice and availability of current public information about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1360" w:hanging="448"/>
        <w:spacing w:after="0"/>
        <w:tabs>
          <w:tab w:leader="none" w:pos="1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36" w:lineRule="exact"/>
        <w:rPr>
          <w:rFonts w:ascii="Times New Roman" w:cs="Times New Roman" w:eastAsia="Times New Roman" w:hAnsi="Times New Roman"/>
          <w:sz w:val="18"/>
          <w:szCs w:val="18"/>
          <w:color w:val="auto"/>
        </w:rPr>
      </w:pPr>
    </w:p>
    <w:p>
      <w:pPr>
        <w:ind w:left="1360" w:hanging="448"/>
        <w:spacing w:after="0"/>
        <w:tabs>
          <w:tab w:leader="none" w:pos="1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36" w:lineRule="exact"/>
        <w:rPr>
          <w:rFonts w:ascii="Times New Roman" w:cs="Times New Roman" w:eastAsia="Times New Roman" w:hAnsi="Times New Roman"/>
          <w:sz w:val="18"/>
          <w:szCs w:val="18"/>
          <w:color w:val="auto"/>
        </w:rPr>
      </w:pPr>
    </w:p>
    <w:p>
      <w:pPr>
        <w:ind w:left="1360" w:hanging="448"/>
        <w:spacing w:after="0" w:line="261" w:lineRule="auto"/>
        <w:tabs>
          <w:tab w:leader="none" w:pos="1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ind w:left="1360" w:hanging="448"/>
        <w:spacing w:after="0" w:line="260" w:lineRule="auto"/>
        <w:tabs>
          <w:tab w:leader="none" w:pos="1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 longer a shell company, and as a result, if the conditions set forth in the exceptions listed above are satisfied, Rule 144 will become available for the resale of restricted shares of Common Stock or restricted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145</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shares of Common Stock and warrants held by certain persons or entities is subject to the provisions of Rule 145 under the Securities Act, or Rule 145. Under Rule 145, a person or entity that is an affiliate of a party to a merger, acquisition or reclassification (a “merger”) involving a shell company at the time the merger is submitted for vote or consent by the parties is deemed to be an underwriter in connection with any transaction to publicly offer or sell securities acquired in the merger unless the following conditions are met:</w:t>
      </w:r>
    </w:p>
    <w:p>
      <w:pPr>
        <w:spacing w:after="0" w:line="199" w:lineRule="exact"/>
        <w:rPr>
          <w:sz w:val="20"/>
          <w:szCs w:val="20"/>
          <w:color w:val="auto"/>
        </w:rPr>
      </w:pPr>
    </w:p>
    <w:p>
      <w:pPr>
        <w:ind w:left="1360" w:hanging="448"/>
        <w:spacing w:after="0"/>
        <w:tabs>
          <w:tab w:leader="none" w:pos="1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under “Restrictions on the Use of Rule 144 by Shell Companies or Former Shell Companies”; and</w:t>
      </w:r>
    </w:p>
    <w:p>
      <w:pPr>
        <w:spacing w:after="0" w:line="36" w:lineRule="exact"/>
        <w:rPr>
          <w:rFonts w:ascii="Times New Roman" w:cs="Times New Roman" w:eastAsia="Times New Roman" w:hAnsi="Times New Roman"/>
          <w:sz w:val="18"/>
          <w:szCs w:val="18"/>
          <w:color w:val="auto"/>
        </w:rPr>
      </w:pPr>
    </w:p>
    <w:p>
      <w:pPr>
        <w:jc w:val="both"/>
        <w:ind w:left="1360" w:hanging="448"/>
        <w:spacing w:after="0" w:line="258" w:lineRule="auto"/>
        <w:tabs>
          <w:tab w:leader="none" w:pos="1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the sale occurs at least 90 days after the securities were acquired in the merger, or December 31, 2021, and the conditions applicable to resales under Rule 144(c), (e), (f) and (g), are satisfied or (ii) for a person who is not an affiliate of ours on the date of sale (and has not been an affiliate of ours within three months prior to the date of sale), either (A) at least one year has elapsed since the securities were acquired in the merger, or September 24, 2022, or (B) if we satisfy the current public information requirements set forth in Rule 144(c), at least six months have elapsed since the securities were acquired in the merger, or March 24, 2022.</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Securities subject to Rule 145 may be resold pursuant to a registration statement registering their resale which is also registering the resales of the securities acquired in the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and warrants are listed on Nasdaq under the symbols “PDYN” and “PDYNW,”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PALLADYNE AI CORP.</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INSIDER TRADING POLICY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on October 30, 2024)</w:t>
      </w:r>
    </w:p>
    <w:p>
      <w:pPr>
        <w:spacing w:after="0" w:line="202"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OVERVIEW</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Palladyne AI Corp. (together with any subsidiaries, collectively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adopted this Insider Trading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to help you comply with the federal and state securities laws and regulations that govern trading in securities and to help the Company minimize its own legal and reputational risk.</w:t>
      </w:r>
    </w:p>
    <w:p>
      <w:pPr>
        <w:spacing w:after="0" w:line="17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Insider trading, and in some circumstances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For purposes of this Policy, the Company’s Chief Legal Officer serves as the Compliance Officer. The Compliance Officer may designate others, from time to time, to assist with the execution of his or her duties under this Policy.</w:t>
      </w:r>
    </w:p>
    <w:p>
      <w:pPr>
        <w:spacing w:after="0" w:line="154"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STATEMENT</w:t>
      </w:r>
    </w:p>
    <w:p>
      <w:pPr>
        <w:spacing w:after="0" w:line="210" w:lineRule="exact"/>
        <w:rPr>
          <w:rFonts w:ascii="Times New Roman" w:cs="Times New Roman" w:eastAsia="Times New Roman" w:hAnsi="Times New Roman"/>
          <w:sz w:val="22"/>
          <w:szCs w:val="22"/>
          <w:b w:val="1"/>
          <w:bCs w:val="1"/>
          <w:color w:val="auto"/>
        </w:rPr>
      </w:pPr>
    </w:p>
    <w:p>
      <w:pPr>
        <w:ind w:firstLine="757"/>
        <w:spacing w:after="0" w:line="282" w:lineRule="auto"/>
        <w:tabs>
          <w:tab w:leader="none" w:pos="1018" w:val="left"/>
        </w:tabs>
        <w:numPr>
          <w:ilvl w:val="1"/>
          <w:numId w:val="5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No Trading on Material Nonpublic Information</w:t>
      </w:r>
      <w:r>
        <w:rPr>
          <w:rFonts w:ascii="Times New Roman" w:cs="Times New Roman" w:eastAsia="Times New Roman" w:hAnsi="Times New Roman"/>
          <w:sz w:val="21"/>
          <w:szCs w:val="21"/>
          <w:color w:val="auto"/>
        </w:rPr>
        <w:t>. It is illegal for anyone to trade in securities on the basis of material nonpublic information. If you are in possession of material nonpublic information about the Company, you are prohibited from:</w:t>
      </w:r>
    </w:p>
    <w:p>
      <w:pPr>
        <w:spacing w:after="0" w:line="134" w:lineRule="exact"/>
        <w:rPr>
          <w:rFonts w:ascii="Times New Roman" w:cs="Times New Roman" w:eastAsia="Times New Roman" w:hAnsi="Times New Roman"/>
          <w:sz w:val="21"/>
          <w:szCs w:val="21"/>
          <w:u w:val="single" w:color="auto"/>
          <w:color w:val="auto"/>
        </w:rPr>
      </w:pPr>
    </w:p>
    <w:p>
      <w:pPr>
        <w:ind w:left="2260" w:hanging="755"/>
        <w:spacing w:after="0"/>
        <w:tabs>
          <w:tab w:leader="none" w:pos="226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transacting in securities of the Company;</w:t>
      </w:r>
    </w:p>
    <w:p>
      <w:pPr>
        <w:spacing w:after="0" w:line="206" w:lineRule="exact"/>
        <w:rPr>
          <w:rFonts w:ascii="Times New Roman" w:cs="Times New Roman" w:eastAsia="Times New Roman" w:hAnsi="Times New Roman"/>
          <w:sz w:val="22"/>
          <w:szCs w:val="22"/>
          <w:color w:val="auto"/>
        </w:rPr>
      </w:pPr>
    </w:p>
    <w:p>
      <w:pPr>
        <w:ind w:left="2260" w:right="20" w:hanging="755"/>
        <w:spacing w:after="0" w:line="258" w:lineRule="auto"/>
        <w:tabs>
          <w:tab w:leader="none" w:pos="226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it to other directors, officers, employees, consultants, contractors, agents or other service providers whose roles do not require them to have the information;</w:t>
      </w:r>
    </w:p>
    <w:p>
      <w:pPr>
        <w:spacing w:after="0" w:line="158"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it to anyone outside of the Company, including family, friends, business associates, investors or consulting firms, without prior written authorization from the Compliance Officer; or</w:t>
      </w:r>
    </w:p>
    <w:p>
      <w:pPr>
        <w:spacing w:after="0" w:line="158"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expressing an opinion or make a recommendation to anyone (including family and friends) about trading in the Company’s securities.</w:t>
      </w:r>
    </w:p>
    <w:p>
      <w:pPr>
        <w:spacing w:after="0" w:line="15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In addition, if you learn of material nonpublic information, including material nonpublic information about another company (including the potential impact on that company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relationship with the Company) through your service with the Company that could be expected to affect the trading price of the securities of that other company, you cannot (x) use that information to trade, directly or indirectly through others or (y) provide that information to another person in order to trade, in the securities of that other company. Any such action will be deemed a violation of this Policy.</w:t>
      </w:r>
    </w:p>
    <w:p>
      <w:pPr>
        <w:spacing w:after="0" w:line="180" w:lineRule="exact"/>
        <w:rPr>
          <w:sz w:val="20"/>
          <w:szCs w:val="20"/>
          <w:color w:val="auto"/>
        </w:rPr>
      </w:pPr>
    </w:p>
    <w:p>
      <w:pPr>
        <w:jc w:val="both"/>
        <w:ind w:firstLine="757"/>
        <w:spacing w:after="0" w:line="238" w:lineRule="auto"/>
        <w:tabs>
          <w:tab w:leader="none" w:pos="1018" w:val="left"/>
        </w:tabs>
        <w:numPr>
          <w:ilvl w:val="0"/>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Disclosure of Confidential Information</w:t>
      </w:r>
      <w:r>
        <w:rPr>
          <w:rFonts w:ascii="Times New Roman" w:cs="Times New Roman" w:eastAsia="Times New Roman" w:hAnsi="Times New Roman"/>
          <w:sz w:val="22"/>
          <w:szCs w:val="22"/>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you should refer the inquiry to Investor Relations. Responding to a request yourself may violate this Policy, the Company’s External Communications Policy and, in some circumstances, the law. Please consult the Company’s External Communications Policy for more details.</w:t>
      </w:r>
    </w:p>
    <w:p>
      <w:pPr>
        <w:spacing w:after="0" w:line="173" w:lineRule="exact"/>
        <w:rPr>
          <w:sz w:val="20"/>
          <w:szCs w:val="20"/>
          <w:color w:val="auto"/>
        </w:rPr>
      </w:pPr>
    </w:p>
    <w:p>
      <w:pPr>
        <w:jc w:val="both"/>
        <w:ind w:firstLine="757"/>
        <w:spacing w:after="0" w:line="238" w:lineRule="auto"/>
        <w:tabs>
          <w:tab w:leader="none" w:pos="1018"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Definition of Material Nonpublic Information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Material information</w:t>
      </w:r>
      <w:r>
        <w:rPr>
          <w:rFonts w:ascii="Times New Roman" w:cs="Times New Roman" w:eastAsia="Times New Roman" w:hAnsi="Times New Roman"/>
          <w:sz w:val="22"/>
          <w:szCs w:val="22"/>
          <w:color w:val="auto"/>
        </w:rPr>
        <w:t>” means information that a reasonable investor would be substantially likely to consider important in deciding whether to buy, hold or sell securities or would view as significantly altering the total mix of information available in the marketplace about the issuer of the securities. In general, any information that could reasonably be expected to affect the market price of a security is likely to be material. Either positive or negative information may be material.</w:t>
      </w:r>
    </w:p>
    <w:p>
      <w:pPr>
        <w:spacing w:after="0" w:line="18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It is not possible to define all categories of “material” information. However, some examples of information that could be regarded as material include, but are not limited to:</w:t>
      </w:r>
    </w:p>
    <w:p>
      <w:pPr>
        <w:spacing w:after="0" w:line="158" w:lineRule="exact"/>
        <w:rPr>
          <w:sz w:val="20"/>
          <w:szCs w:val="20"/>
          <w:color w:val="auto"/>
        </w:rPr>
      </w:pPr>
    </w:p>
    <w:p>
      <w:pPr>
        <w:jc w:val="both"/>
        <w:ind w:left="2260" w:hanging="755"/>
        <w:spacing w:after="0" w:line="244" w:lineRule="auto"/>
        <w:tabs>
          <w:tab w:leader="none" w:pos="22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key metrics, financial condition, earnings pre-announcements, guidance, projections or forecasts, particularly if inconsistent with the Company’s guidance or the expectations of the investment community;</w:t>
      </w:r>
    </w:p>
    <w:p>
      <w:pPr>
        <w:spacing w:after="0" w:line="173"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restatements of financial results, or material impairments, write-offs or restructurings;</w:t>
      </w:r>
    </w:p>
    <w:p>
      <w:pPr>
        <w:spacing w:after="0" w:line="206"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independent auditors, or notification that the Company may no longer rely on an audit report;</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plans or budgets;</w:t>
      </w:r>
    </w:p>
    <w:p>
      <w:pPr>
        <w:spacing w:after="0" w:line="206"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creation of significant financial obligations, or any significant default under or acceleration of any financial obligation;</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5" w:lineRule="exact"/>
        <w:rPr>
          <w:sz w:val="20"/>
          <w:szCs w:val="20"/>
          <w:color w:val="auto"/>
        </w:rPr>
      </w:pPr>
    </w:p>
    <w:p>
      <w:pPr>
        <w:jc w:val="both"/>
        <w:ind w:left="2260" w:hanging="755"/>
        <w:spacing w:after="0" w:line="244" w:lineRule="auto"/>
        <w:tabs>
          <w:tab w:leader="none" w:pos="22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73"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information relating to the operation of product or service, such as new products or services, major modifications or performance issues, defects or recalls, significant pricing changes or other announcements of a significant nature;</w:t>
      </w:r>
    </w:p>
    <w:p>
      <w:pPr>
        <w:spacing w:after="0" w:line="173"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in research and development or relating to intellectual property;</w:t>
      </w:r>
    </w:p>
    <w:p>
      <w:pPr>
        <w:spacing w:after="0" w:line="206"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legal or regulatory developments, whether positive or negative, actual or threatened, including litigation or resolving litigation;</w:t>
      </w:r>
    </w:p>
    <w:p>
      <w:pPr>
        <w:spacing w:after="0" w:line="158" w:lineRule="exact"/>
        <w:rPr>
          <w:rFonts w:ascii="Times New Roman" w:cs="Times New Roman" w:eastAsia="Times New Roman" w:hAnsi="Times New Roman"/>
          <w:sz w:val="22"/>
          <w:szCs w:val="22"/>
          <w:color w:val="auto"/>
        </w:rPr>
      </w:pPr>
    </w:p>
    <w:p>
      <w:pPr>
        <w:jc w:val="both"/>
        <w:ind w:left="2260" w:hanging="755"/>
        <w:spacing w:after="0" w:line="261" w:lineRule="auto"/>
        <w:tabs>
          <w:tab w:leader="none" w:pos="226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57" w:lineRule="exact"/>
        <w:rPr>
          <w:rFonts w:ascii="Times New Roman" w:cs="Times New Roman" w:eastAsia="Times New Roman" w:hAnsi="Times New Roman"/>
          <w:sz w:val="21"/>
          <w:szCs w:val="21"/>
          <w:color w:val="auto"/>
        </w:rPr>
      </w:pPr>
    </w:p>
    <w:p>
      <w:pPr>
        <w:jc w:val="both"/>
        <w:ind w:left="2260" w:hanging="755"/>
        <w:spacing w:after="0" w:line="244" w:lineRule="auto"/>
        <w:tabs>
          <w:tab w:leader="none" w:pos="22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73"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personnel changes, such as changes in senior management or employee lay-offs;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data breaches or other cybersecurity events;</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updates regarding any prior material disclosure that has materially changed; and</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 special restricted period.</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nonpublic information</w:t>
      </w:r>
      <w:r>
        <w:rPr>
          <w:rFonts w:ascii="Times New Roman" w:cs="Times New Roman" w:eastAsia="Times New Roman" w:hAnsi="Times New Roman"/>
          <w:sz w:val="22"/>
          <w:szCs w:val="22"/>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After the release of information, a reasonable period of time must elapse in order to provide the public an opportunity to absorb and evaluate the information provided. As a general rule, at least one full trading day must pass after the dissemination of information before being considered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As a rule of thumb, if you think something might be material nonpublic information, it probably is. You can always reach out to the Compliance Officer if you have questions.</w:t>
      </w:r>
    </w:p>
    <w:p>
      <w:pPr>
        <w:spacing w:after="0" w:line="154"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PERSONS COVERED BY THIS POLICY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Policy applies to you if you are a director, officer, employee, consultant, contractor, agent or other service provider (for example, auditor or attorney)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You are responsible for making sure that these other individuals and entities comply with this Policy.</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Policy continues to apply even if you leave the Company or are otherwise no longer affiliated with or providing services to the Company, for as long as you remain in possession of material nonpublic information. In addition, if you are subject to a trading restriction under this Policy at the time you leave the Company, you must abide by the applicable trading restrictions until at least the end of the relevant restricted period.</w:t>
      </w:r>
    </w:p>
    <w:p>
      <w:pPr>
        <w:spacing w:after="0" w:line="176"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TRADING COVERED BY THIS POLICY</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Except as discussed in Section H (</w:t>
      </w:r>
      <w:r>
        <w:rPr>
          <w:rFonts w:ascii="Times New Roman" w:cs="Times New Roman" w:eastAsia="Times New Roman" w:hAnsi="Times New Roman"/>
          <w:sz w:val="22"/>
          <w:szCs w:val="22"/>
          <w:i w:val="1"/>
          <w:iCs w:val="1"/>
          <w:color w:val="auto"/>
        </w:rPr>
        <w:t>Exceptions to Trading Restrictions</w:t>
      </w:r>
      <w:r>
        <w:rPr>
          <w:rFonts w:ascii="Times New Roman" w:cs="Times New Roman" w:eastAsia="Times New Roman" w:hAnsi="Times New Roman"/>
          <w:sz w:val="22"/>
          <w:szCs w:val="22"/>
          <w:color w:val="auto"/>
        </w:rPr>
        <w:t>), this Policy applies to all transactions involving the Company’s securities or other companies’ securities for which you possess material nonpublic information obtained in connection with your service with the Company. This Policy therefore applies to:</w:t>
      </w:r>
    </w:p>
    <w:p>
      <w:pPr>
        <w:spacing w:after="0" w:line="171" w:lineRule="exact"/>
        <w:rPr>
          <w:sz w:val="20"/>
          <w:szCs w:val="20"/>
          <w:color w:val="auto"/>
        </w:rPr>
      </w:pPr>
    </w:p>
    <w:p>
      <w:pPr>
        <w:jc w:val="both"/>
        <w:ind w:firstLine="757"/>
        <w:spacing w:after="0" w:line="239" w:lineRule="auto"/>
        <w:tabs>
          <w:tab w:leader="none" w:pos="1018"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any of the foregoing transactions;</w:t>
      </w:r>
    </w:p>
    <w:p>
      <w:pPr>
        <w:spacing w:after="0" w:line="180"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disposition in the form of a gift of any securities of the Company;</w:t>
      </w:r>
    </w:p>
    <w:p>
      <w:pPr>
        <w:spacing w:after="0" w:line="206"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distribution to holders of interests in an entity if the entity is subject to this Policy; and</w:t>
      </w:r>
    </w:p>
    <w:p>
      <w:pPr>
        <w:spacing w:after="0" w:line="206"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 and any offer to engage in any of the foregoing transactions.</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There are no exceptions from insider trading laws or this Policy based on the size of the transaction or the type of consideration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1"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TRADING RESTRICTIONS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Subject to the exceptions set forth below, this Policy restricts trading during certain periods and by certain people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78" w:lineRule="exact"/>
        <w:rPr>
          <w:sz w:val="20"/>
          <w:szCs w:val="20"/>
          <w:color w:val="auto"/>
        </w:rPr>
      </w:pPr>
    </w:p>
    <w:p>
      <w:pPr>
        <w:jc w:val="both"/>
        <w:ind w:firstLine="757"/>
        <w:spacing w:after="0" w:line="236" w:lineRule="auto"/>
        <w:tabs>
          <w:tab w:leader="none" w:pos="1018" w:val="left"/>
        </w:tabs>
        <w:numPr>
          <w:ilvl w:val="0"/>
          <w:numId w:val="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Quarterly Restricted Periods</w:t>
      </w:r>
      <w:r>
        <w:rPr>
          <w:rFonts w:ascii="Times New Roman" w:cs="Times New Roman" w:eastAsia="Times New Roman" w:hAnsi="Times New Roman"/>
          <w:sz w:val="22"/>
          <w:szCs w:val="22"/>
          <w:color w:val="auto"/>
        </w:rPr>
        <w:t>. Except as discussed in Section H (</w:t>
      </w:r>
      <w:r>
        <w:rPr>
          <w:rFonts w:ascii="Times New Roman" w:cs="Times New Roman" w:eastAsia="Times New Roman" w:hAnsi="Times New Roman"/>
          <w:sz w:val="22"/>
          <w:szCs w:val="22"/>
          <w:i w:val="1"/>
          <w:iCs w:val="1"/>
          <w:color w:val="auto"/>
        </w:rPr>
        <w:t>Exceptions to Trading Restrictions</w:t>
      </w:r>
      <w:r>
        <w:rPr>
          <w:rFonts w:ascii="Times New Roman" w:cs="Times New Roman" w:eastAsia="Times New Roman" w:hAnsi="Times New Roman"/>
          <w:sz w:val="22"/>
          <w:szCs w:val="22"/>
          <w:color w:val="auto"/>
        </w:rPr>
        <w:t>), all directors, officers and those employees and agents identified by the Company must refrain from conducting transactions involving the Company’s securities during quarterly restricted periods. All directors and employees are subject to quarterly restricted periods. Quarterly restricted periods also cover your immediate family members, persons with whom you share a household, persons who are your economic dependents, and any entity whose transactions in securities you influence, direct or control. If, for whatever reason, you are not subject to quarterly restricted periods, you should exercise caution when engaging in transactions during quarterly restricted periods because of the heightened risk of insider trading exposure.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Quarterly restricted periods will start at the end of the last day of each fiscal quarter and will end at the start of the second full trading day following the Company’s earnings release. The Company will endeavor to remind employees of these periods, but failure by the Company to send a reminder does not relieve those subject to the policy from complying with quarterly restricted periods.</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prohibition against trading during the restricted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restricted period, including “limit orders” to buy or sell stock at a specific price or better and “stop orders” to buy or sell stock once the price of the stock reaches a specified price. If you are subject to restricted periods or pre-clearance requirements, you should so inform any broker with whom such an open order is placed at the time it is placed.</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From time to time, the Company may identify other persons, such as consultants or advisors, who should be subject to quarterly restricted periods, and the Compliance Officer will inform such persons as appropriate.</w:t>
      </w:r>
    </w:p>
    <w:p>
      <w:pPr>
        <w:spacing w:after="0" w:line="158" w:lineRule="exact"/>
        <w:rPr>
          <w:sz w:val="20"/>
          <w:szCs w:val="20"/>
          <w:color w:val="auto"/>
        </w:rPr>
      </w:pPr>
    </w:p>
    <w:p>
      <w:pPr>
        <w:jc w:val="both"/>
        <w:ind w:firstLine="757"/>
        <w:spacing w:after="0" w:line="235" w:lineRule="auto"/>
        <w:tabs>
          <w:tab w:leader="none" w:pos="1018" w:val="left"/>
        </w:tabs>
        <w:numPr>
          <w:ilvl w:val="0"/>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Special Restricted Periods</w:t>
      </w:r>
      <w:r>
        <w:rPr>
          <w:rFonts w:ascii="Times New Roman" w:cs="Times New Roman" w:eastAsia="Times New Roman" w:hAnsi="Times New Roman"/>
          <w:sz w:val="22"/>
          <w:szCs w:val="22"/>
          <w:color w:val="auto"/>
        </w:rPr>
        <w:t>. The Company always retains the right to impose additional or longer trading restricted periods at any time on any or all of its directors, officers, employees, consultants, advisors, contractors, agents and other service providers. The Compliance Officer will notify you in writing if you are subject to a special restricted period . If you are notified that you are subject to a special restricted period, you may not engage in any transaction involving the Company’s securities until the special restricted period has ended other than the transactions that are covered by the exceptions below. You also may not disclose to anyone else that the Company has imposed a special restricted period. To the extent applicable to you, special restricted periods also cover your immediate family members, persons with whom you share a household, persons who are your economic dependents, and any entity whose transactions in securities you influence, direct or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85" w:lineRule="exact"/>
        <w:rPr>
          <w:sz w:val="20"/>
          <w:szCs w:val="20"/>
          <w:color w:val="auto"/>
        </w:rPr>
      </w:pPr>
    </w:p>
    <w:p>
      <w:pPr>
        <w:jc w:val="both"/>
        <w:ind w:firstLine="757"/>
        <w:spacing w:after="0" w:line="234" w:lineRule="auto"/>
        <w:tabs>
          <w:tab w:leader="none" w:pos="1018" w:val="left"/>
        </w:tabs>
        <w:numPr>
          <w:ilvl w:val="1"/>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Regulation BTR Restrictions</w:t>
      </w:r>
      <w:r>
        <w:rPr>
          <w:rFonts w:ascii="Times New Roman" w:cs="Times New Roman" w:eastAsia="Times New Roman" w:hAnsi="Times New Roman"/>
          <w:sz w:val="22"/>
          <w:szCs w:val="22"/>
          <w:color w:val="auto"/>
        </w:rPr>
        <w:t>. Directors and officers may also be subject to trading restrictions pursuant to Regulation Blackout Trading Restriction, or Regulation BTR, under U.S. federal securities laws. In general, Regulation BTR prohibits any director or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trading restriction under Regulation BTR. Failure to comply with an applicable trading restriction in accordance with Regulation BTR is a violation of law and this Policy.</w:t>
      </w:r>
    </w:p>
    <w:p>
      <w:pPr>
        <w:spacing w:after="0" w:line="179"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TRANSACTIONS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You may not engage in any of the following types of transactions other than as noted below, regardless of whether you have material nonpublic information or not.</w:t>
      </w:r>
    </w:p>
    <w:p>
      <w:pPr>
        <w:spacing w:after="0" w:line="158" w:lineRule="exact"/>
        <w:rPr>
          <w:sz w:val="20"/>
          <w:szCs w:val="20"/>
          <w:color w:val="auto"/>
        </w:rPr>
      </w:pPr>
    </w:p>
    <w:p>
      <w:pPr>
        <w:jc w:val="both"/>
        <w:ind w:firstLine="757"/>
        <w:spacing w:after="0" w:line="244" w:lineRule="auto"/>
        <w:tabs>
          <w:tab w:leader="none" w:pos="1018" w:val="left"/>
        </w:tabs>
        <w:numPr>
          <w:ilvl w:val="1"/>
          <w:numId w:val="6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36" w:lineRule="auto"/>
        <w:tabs>
          <w:tab w:leader="none" w:pos="1018" w:val="left"/>
        </w:tabs>
        <w:numPr>
          <w:ilvl w:val="1"/>
          <w:numId w:val="6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Derivative Securities and Hedging Transactions</w:t>
      </w:r>
      <w:r>
        <w:rPr>
          <w:rFonts w:ascii="Times New Roman" w:cs="Times New Roman" w:eastAsia="Times New Roman" w:hAnsi="Times New Roman"/>
          <w:sz w:val="22"/>
          <w:szCs w:val="22"/>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spacing w:after="0" w:line="181"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1"/>
          <w:numId w:val="6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Pledging Transactions</w:t>
      </w:r>
      <w:r>
        <w:rPr>
          <w:rFonts w:ascii="Times New Roman" w:cs="Times New Roman" w:eastAsia="Times New Roman" w:hAnsi="Times New Roman"/>
          <w:sz w:val="22"/>
          <w:szCs w:val="22"/>
          <w:color w:val="auto"/>
        </w:rPr>
        <w:t>. You may not pledge the Company’s securities as collateral for any loan or as part of any other pledging transaction.</w:t>
      </w:r>
    </w:p>
    <w:p>
      <w:pPr>
        <w:spacing w:after="0" w:line="158"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1"/>
          <w:numId w:val="6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Margin Accounts</w:t>
      </w:r>
      <w:r>
        <w:rPr>
          <w:rFonts w:ascii="Times New Roman" w:cs="Times New Roman" w:eastAsia="Times New Roman" w:hAnsi="Times New Roman"/>
          <w:sz w:val="22"/>
          <w:szCs w:val="22"/>
          <w:color w:val="auto"/>
        </w:rPr>
        <w:t>. You may not hold the Company’s common stock in margin accounts.</w:t>
      </w:r>
    </w:p>
    <w:p>
      <w:pPr>
        <w:spacing w:after="0" w:line="202" w:lineRule="exact"/>
        <w:rPr>
          <w:rFonts w:ascii="Times New Roman" w:cs="Times New Roman" w:eastAsia="Times New Roman" w:hAnsi="Times New Roman"/>
          <w:sz w:val="22"/>
          <w:szCs w:val="22"/>
          <w:u w:val="single" w:color="auto"/>
          <w:color w:val="auto"/>
        </w:rPr>
      </w:pPr>
    </w:p>
    <w:p>
      <w:pPr>
        <w:spacing w:after="0"/>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color w:val="auto"/>
        </w:rPr>
        <w:t>G.   PRE-CLEARANCE OF TRADES</w:t>
      </w:r>
    </w:p>
    <w:p>
      <w:pPr>
        <w:spacing w:after="0" w:line="21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The Company’s directors and officers and any other persons identified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of this Policy as being subject to pre-clearance requirements must obtain pre-clearance prior to trading the Company’s securities. If you are subject to pre-clearance requirements, you should submit a pre-clearance request in the form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the Compliance Officer at least two business days prior to your desired trade date. Among other things,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If the Compliance Officer is the requester, then the Company’s Chief Financial Officer must pre-clear or deny any trade. All trades must be executed within one week of any pre-clearance or, if earlier, prior to the commencement of any restricted period. Even after pre-clearance, a person may not trade the Company’s securities if they become subject to a restricted period or aware of material nonpublic information prior to the trade being executed.</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From time to time, the Company may identify other persons who should be subject to the pre-clearance requirements set forth above, and the Compliance Officer may update and revise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as appropriate.</w:t>
      </w:r>
    </w:p>
    <w:p>
      <w:pPr>
        <w:spacing w:after="0" w:line="154"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EXCEPTIONS TO TRADING RESTRICTIONS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There are no unconditional “safe harbors” for trades made at particular times, and all persons subject to this Policy should exercise good judgment at all times. Even when a quarterly restricted period is not in effect, you may be prohibited from engaging in transactions involving the Company’s securities because you possess material nonpublic information, are subject to a special restricted period or are otherwise restricted under this Policy.</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Other than the limited exceptions set forth below, any other exceptions to this Policy must be approved by the Compliance Officer, or, if the exception is requested by the Compliance Officer, by the Chief Financial Officer.</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are certain limited exceptions to the quarterly and special restricted period restrictions and pre-clearance requirements imposed by the Company under this Policy:</w:t>
      </w:r>
    </w:p>
    <w:p>
      <w:pPr>
        <w:spacing w:after="0" w:line="158" w:lineRule="exact"/>
        <w:rPr>
          <w:sz w:val="20"/>
          <w:szCs w:val="20"/>
          <w:color w:val="auto"/>
        </w:rPr>
      </w:pPr>
    </w:p>
    <w:p>
      <w:pPr>
        <w:ind w:right="20" w:firstLine="757"/>
        <w:spacing w:after="0" w:line="258" w:lineRule="auto"/>
        <w:tabs>
          <w:tab w:leader="none" w:pos="1018" w:val="left"/>
        </w:tabs>
        <w:numPr>
          <w:ilvl w:val="0"/>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stock option exercises where the purchase price of such stock options is paid in cash and there is no other associated market activity;</w:t>
      </w:r>
    </w:p>
    <w:p>
      <w:pPr>
        <w:spacing w:after="0" w:line="158"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0"/>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receipt and vesting of stock options, restricted stock units, restricted stock or other equity compensation awards from the Company;</w:t>
      </w:r>
    </w:p>
    <w:p>
      <w:pPr>
        <w:spacing w:after="0" w:line="158"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0"/>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purchases pursuant to the employee stock purchase plan; however, this exception does not apply to subsequent sales of the shares;</w:t>
      </w:r>
    </w:p>
    <w:p>
      <w:pPr>
        <w:spacing w:after="0" w:line="158" w:lineRule="exact"/>
        <w:rPr>
          <w:rFonts w:ascii="Times New Roman" w:cs="Times New Roman" w:eastAsia="Times New Roman" w:hAnsi="Times New Roman"/>
          <w:sz w:val="22"/>
          <w:szCs w:val="22"/>
          <w:u w:val="single" w:color="auto"/>
          <w:color w:val="auto"/>
        </w:rPr>
      </w:pPr>
    </w:p>
    <w:p>
      <w:pPr>
        <w:jc w:val="both"/>
        <w:ind w:firstLine="757"/>
        <w:spacing w:after="0" w:line="255" w:lineRule="auto"/>
        <w:tabs>
          <w:tab w:leader="none" w:pos="1018" w:val="left"/>
        </w:tabs>
        <w:numPr>
          <w:ilvl w:val="0"/>
          <w:numId w:val="6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net share withholding with respect to restricted stock units or restricted stock awards where shares are withheld by the Company in order to satisfy tax withholding requirements upon vesting (x) as required by the Company or (y) as you elect, if permitted by the Company, so long as the election is irrevocable and made in writing (or through the Company’s equity award system) at a time when a trading restriction is not in place and you are not in possession of material nonpublic information;</w:t>
      </w:r>
    </w:p>
    <w:p>
      <w:pPr>
        <w:spacing w:after="0" w:line="161" w:lineRule="exact"/>
        <w:rPr>
          <w:rFonts w:ascii="Times New Roman" w:cs="Times New Roman" w:eastAsia="Times New Roman" w:hAnsi="Times New Roman"/>
          <w:sz w:val="21"/>
          <w:szCs w:val="21"/>
          <w:u w:val="single" w:color="auto"/>
          <w:color w:val="auto"/>
        </w:rPr>
      </w:pPr>
    </w:p>
    <w:p>
      <w:pPr>
        <w:jc w:val="both"/>
        <w:ind w:firstLine="757"/>
        <w:spacing w:after="0" w:line="238" w:lineRule="auto"/>
        <w:tabs>
          <w:tab w:leader="none" w:pos="1018" w:val="left"/>
        </w:tabs>
        <w:numPr>
          <w:ilvl w:val="0"/>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sell to cover transactions where shares are sold on your behalf upon vesting of restricted stock units or restricted stock awards and sold in order to satisfy tax withholding requirements, (x) as required by the Company or (y) as you elect, if permitted by the Company, so long as the election is irrevocable and made in writing (or through the Company’s equity award system) at a time when a Restricted Period is not in place and you are not in possession of material nonpublic information; however, this exception does not apply to any other market sale for the purposes of paying required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1" w:lineRule="exact"/>
        <w:rPr>
          <w:sz w:val="20"/>
          <w:szCs w:val="20"/>
          <w:color w:val="auto"/>
        </w:rPr>
      </w:pPr>
    </w:p>
    <w:p>
      <w:pPr>
        <w:ind w:firstLine="757"/>
        <w:spacing w:after="0" w:line="262" w:lineRule="auto"/>
        <w:tabs>
          <w:tab w:leader="none" w:pos="1018" w:val="left"/>
        </w:tabs>
        <w:numPr>
          <w:ilvl w:val="1"/>
          <w:numId w:val="6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transactions made pursuant to a valid 10b5-1 trading plan approved by the Company (see Section I (</w:t>
      </w:r>
      <w:r>
        <w:rPr>
          <w:rFonts w:ascii="Times New Roman" w:cs="Times New Roman" w:eastAsia="Times New Roman" w:hAnsi="Times New Roman"/>
          <w:sz w:val="22"/>
          <w:szCs w:val="22"/>
          <w:i w:val="1"/>
          <w:iCs w:val="1"/>
          <w:color w:val="auto"/>
        </w:rPr>
        <w:t>10b5-1 Trading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Plans</w:t>
      </w:r>
      <w:r>
        <w:rPr>
          <w:rFonts w:ascii="Times New Roman" w:cs="Times New Roman" w:eastAsia="Times New Roman" w:hAnsi="Times New Roman"/>
          <w:sz w:val="22"/>
          <w:szCs w:val="22"/>
          <w:color w:val="auto"/>
        </w:rPr>
        <w:t>) below);</w:t>
      </w:r>
    </w:p>
    <w:p>
      <w:pPr>
        <w:spacing w:after="0" w:line="153" w:lineRule="exact"/>
        <w:rPr>
          <w:rFonts w:ascii="Times New Roman" w:cs="Times New Roman" w:eastAsia="Times New Roman" w:hAnsi="Times New Roman"/>
          <w:sz w:val="22"/>
          <w:szCs w:val="22"/>
          <w:u w:val="single" w:color="auto"/>
          <w:color w:val="auto"/>
        </w:rPr>
      </w:pPr>
    </w:p>
    <w:p>
      <w:pPr>
        <w:jc w:val="both"/>
        <w:ind w:firstLine="757"/>
        <w:spacing w:after="0" w:line="247" w:lineRule="auto"/>
        <w:tabs>
          <w:tab w:leader="none" w:pos="1018" w:val="left"/>
        </w:tabs>
        <w:numPr>
          <w:ilvl w:val="1"/>
          <w:numId w:val="6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purchases of the Company’s stock in the 401(k) plan resulting from periodic contributions to the plan based on your payroll contribution election;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trading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w:t>
      </w:r>
    </w:p>
    <w:p>
      <w:pPr>
        <w:spacing w:after="0" w:line="1" w:lineRule="exact"/>
        <w:rPr>
          <w:rFonts w:ascii="Times New Roman" w:cs="Times New Roman" w:eastAsia="Times New Roman" w:hAnsi="Times New Roman"/>
          <w:sz w:val="21"/>
          <w:szCs w:val="21"/>
          <w:u w:val="single" w:color="auto"/>
          <w:color w:val="auto"/>
        </w:rPr>
      </w:pPr>
    </w:p>
    <w:p>
      <w:pPr>
        <w:jc w:val="both"/>
        <w:ind w:firstLine="8"/>
        <w:spacing w:after="0" w:line="234" w:lineRule="auto"/>
        <w:tabs>
          <w:tab w:leader="none" w:pos="31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spacing w:after="0" w:line="177"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transfers by will or the laws of descent or distribution and, provided that prior written notice provided to the Compliance Officer, distributions or transfers (such as certain tax planning or estate planning transfers) that effect only a change in the form of beneficial interest without changing your pecuniary interest in the Company’s securities; and</w:t>
      </w:r>
    </w:p>
    <w:p>
      <w:pPr>
        <w:spacing w:after="0" w:line="173"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1"/>
          <w:numId w:val="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changes in the number of the Company’s securities you hold due to a stock split or a stock dividend that applies equally to all securities of a class, or similar transactions.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there is a Regulation BTR restriction (and no quarterly or special restricted period), then the limited exceptions set forth in Regulation BTR will apply. Please be aware that even if a transaction is subject to an exception to this Policy, you will need to separately assess whether the transaction complies with applicable law.</w:t>
      </w:r>
    </w:p>
    <w:p>
      <w:pPr>
        <w:spacing w:after="0" w:line="169"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10B5-1 TRADING PLANS</w:t>
      </w:r>
    </w:p>
    <w:p>
      <w:pPr>
        <w:spacing w:after="0" w:line="21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 xml:space="preserve">The Company permits its directors, officers and employees to adopt written 10b5-1 trading plans in order to mitigate the risk of trading on material nonpublic information. These plans allow for individuals to enter into a prearranged trading plan as long as the plan is not established or modified during a restricted period or when the individual is otherwise in possession of material nonpublic information. To be approved by the Company and qualify for the exception to this Policy, any 10b5-1 trading plan adopted by a director, officer or any other person identified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must be submitted to the Compliance Officer for approval and comply with the requirements set forth in the Requirements for Trading Plans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If the Compliance Officer is the requester, then the Company’s Chief Financial Officer must approve the written 10b5-1 trading plan.</w:t>
      </w:r>
    </w:p>
    <w:p>
      <w:pPr>
        <w:spacing w:after="0" w:line="166"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16 COMPLIANCE</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cs="Times New Roman" w:eastAsia="Times New Roman" w:hAnsi="Times New Roman"/>
          <w:sz w:val="22"/>
          <w:szCs w:val="22"/>
          <w:i w:val="1"/>
          <w:iCs w:val="1"/>
          <w:color w:val="auto"/>
        </w:rPr>
        <w:t>etc</w:t>
      </w:r>
      <w:r>
        <w:rPr>
          <w:rFonts w:ascii="Times New Roman" w:cs="Times New Roman" w:eastAsia="Times New Roman" w:hAnsi="Times New Roman"/>
          <w:sz w:val="22"/>
          <w:szCs w:val="22"/>
          <w:color w:val="auto"/>
        </w:rPr>
        <w:t>.) about his or her transactions involving the Company’s securities.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Company is available to assist in filing Section 16 reports, but the obligation to comply with Section 16 is personal.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have any questions, you should check with the Compliance Officer.</w:t>
      </w:r>
    </w:p>
    <w:p>
      <w:pPr>
        <w:spacing w:after="0" w:line="178"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VIOLATIONS OF THIS POLICY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Company directors, officers, employees, consultants, advisors, contractors, agents and other service providers who violate this Policy will be subject to disciplinary action by the Company, which may include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There are also serious legal consequences for individuals who violate insider trading laws, including the possibility of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Please consult with your personal legal and financial advisors as needed. Note that the Company’s legal counsel, both internal (including the Compliance Officer)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trading-restricted period will not extend the term of your options. As a consequence, you may be prevented from exercising your options by this Policy or as a result of a restriction on your trading, and as a result your options may expire by their terms. In such instances, the Company cannot extend the term of your options and has no obligation or liability to replace the economic value or lost benefit to you. It is your responsibility to manage your economic interests and to consider potential trading restrictions when determining whether and when to exercise your options.</w:t>
      </w:r>
    </w:p>
    <w:p>
      <w:pPr>
        <w:spacing w:after="0" w:line="183"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PROTECTED ACTIVITY NOT PROHIBITED</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 or as otherwise provided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1"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in accordance with the Company’s Whistleblower Policy. Reports relating to the Compliance Officer or the Chief Executive Officer may also be submitted to the Chairperson of the Audit Committee at audit.committee.chair@palladyneai.com.</w:t>
      </w:r>
    </w:p>
    <w:p>
      <w:pPr>
        <w:spacing w:after="0" w:line="173"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or authorized by the Nominating and Corporate Governance Committee and the Board of Directors of the Company will be informed of any material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1148080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ind w:left="1044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Significant Subsidiaries (as of December 31, 2025)</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are the subsidiaries of Palladyne AI Corp.:</w:t>
            </w:r>
          </w:p>
        </w:tc>
        <w:tc>
          <w:tcPr>
            <w:tcW w:w="5600" w:type="dxa"/>
            <w:vAlign w:val="bottom"/>
          </w:tcPr>
          <w:p>
            <w:pPr>
              <w:spacing w:after="0"/>
              <w:rPr>
                <w:sz w:val="20"/>
                <w:szCs w:val="20"/>
                <w:color w:val="auto"/>
              </w:rPr>
            </w:pPr>
          </w:p>
        </w:tc>
      </w:tr>
      <w:tr>
        <w:trPr>
          <w:trHeight w:val="253"/>
        </w:trPr>
        <w:tc>
          <w:tcPr>
            <w:tcW w:w="5640" w:type="dxa"/>
            <w:vAlign w:val="bottom"/>
            <w:tcBorders>
              <w:bottom w:val="single" w:sz="8" w:color="auto"/>
            </w:tcBorders>
          </w:tcPr>
          <w:p>
            <w:pPr>
              <w:spacing w:after="0"/>
              <w:rPr>
                <w:sz w:val="21"/>
                <w:szCs w:val="21"/>
                <w:color w:val="auto"/>
              </w:rPr>
            </w:pPr>
          </w:p>
        </w:tc>
        <w:tc>
          <w:tcPr>
            <w:tcW w:w="5600" w:type="dxa"/>
            <w:vAlign w:val="bottom"/>
            <w:tcBorders>
              <w:bottom w:val="single" w:sz="8" w:color="auto"/>
            </w:tcBorders>
          </w:tcPr>
          <w:p>
            <w:pPr>
              <w:spacing w:after="0"/>
              <w:rPr>
                <w:sz w:val="21"/>
                <w:szCs w:val="21"/>
                <w:color w:val="auto"/>
              </w:rPr>
            </w:pPr>
          </w:p>
        </w:tc>
      </w:tr>
      <w:tr>
        <w:trPr>
          <w:trHeight w:val="150"/>
        </w:trPr>
        <w:tc>
          <w:tcPr>
            <w:tcW w:w="5640" w:type="dxa"/>
            <w:vAlign w:val="bottom"/>
            <w:tcBorders>
              <w:left w:val="single" w:sz="8" w:color="auto"/>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Name of Subsidiary</w:t>
            </w:r>
          </w:p>
        </w:tc>
        <w:tc>
          <w:tcPr>
            <w:tcW w:w="560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r>
      <w:tr>
        <w:trPr>
          <w:trHeight w:val="255"/>
        </w:trPr>
        <w:tc>
          <w:tcPr>
            <w:tcW w:w="5640" w:type="dxa"/>
            <w:vAlign w:val="bottom"/>
            <w:tcBorders>
              <w:left w:val="single" w:sz="8" w:color="auto"/>
              <w:bottom w:val="single" w:sz="8" w:color="auto"/>
              <w:right w:val="single" w:sz="8" w:color="auto"/>
            </w:tcBorders>
          </w:tcPr>
          <w:p>
            <w:pPr>
              <w:spacing w:after="0"/>
              <w:rPr>
                <w:sz w:val="22"/>
                <w:szCs w:val="22"/>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r>
      <w:tr>
        <w:trPr>
          <w:trHeight w:val="193"/>
        </w:trPr>
        <w:tc>
          <w:tcPr>
            <w:tcW w:w="56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RE2, LLC</w:t>
            </w:r>
          </w:p>
        </w:tc>
        <w:tc>
          <w:tcPr>
            <w:tcW w:w="56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Delaware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ZeptoVision Inc.</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MKR Fabrication LLC</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Michigan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MKR Fabrication Properties, LLC</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Michigan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Warnke Precision Machining, LLC</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Michigan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Palladyne Corp.</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Utah</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Sarcos Group LC</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Utah</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GuideTech, LLC</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Utah</w:t>
            </w:r>
          </w:p>
        </w:tc>
      </w:tr>
    </w:tbl>
    <w:p>
      <w:pPr>
        <w:spacing w:after="0" w:line="198" w:lineRule="exact"/>
        <w:rPr>
          <w:sz w:val="20"/>
          <w:szCs w:val="20"/>
          <w:color w:val="auto"/>
        </w:rPr>
      </w:pPr>
    </w:p>
    <w:p>
      <w:pPr>
        <w:ind w:right="220" w:firstLine="8"/>
        <w:spacing w:after="0" w:line="282" w:lineRule="auto"/>
        <w:tabs>
          <w:tab w:leader="none" w:pos="1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on the list above is not an admission that any of the above entities, individually or in the aggregate, constitutes a significant subsidiary within the meaning of Rule 1-02(w) of Regulation - and Item 601(b)(21)(ii)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333-292638, 333-289308, 333-260296, 333-264952, 333-283359) on Form S-3 and in the registration statements (Nos. 333-261553, 333-264500, 333-283357) on Form S-8 of our report dated March 5, 2026, with respect to the consolidated financial statements of Palladyne AI Corp.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G. Wolff, certify that:</w:t>
      </w:r>
    </w:p>
    <w:p>
      <w:pPr>
        <w:spacing w:after="0" w:line="225" w:lineRule="exact"/>
        <w:rPr>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Palladyne AI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80" w:hanging="512"/>
        <w:spacing w:after="0" w:line="266"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Trevor Thatcher</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Palladyne AI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8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6"/>
          <w:szCs w:val="16"/>
          <w:color w:val="auto"/>
        </w:rPr>
        <w:t>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Palladyne AI Corp. (the “Company”) on Form 10-K for the period ending December 31, 2025 as filed with the Securities and Exchange Commission on the date hereof (the “Report”), I, Benjamin G. Wolff,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Annual Report of Palladyne AI Corp. (the “Company”) on Form 10-K for the period ending December 31, 2025 as filed with the Securities and Exchange Commission on the date hereof (the “Report”), I, </w:t>
      </w:r>
      <w:r>
        <w:rPr>
          <w:rFonts w:ascii="Times New Roman" w:cs="Times New Roman" w:eastAsia="Times New Roman" w:hAnsi="Times New Roman"/>
          <w:sz w:val="16"/>
          <w:szCs w:val="16"/>
          <w:color w:val="auto"/>
        </w:rPr>
        <w:t>Trevor Thatcher</w:t>
      </w:r>
      <w:r>
        <w:rPr>
          <w:rFonts w:ascii="Times New Roman" w:cs="Times New Roman" w:eastAsia="Times New Roman" w:hAnsi="Times New Roman"/>
          <w:sz w:val="18"/>
          <w:szCs w:val="18"/>
          <w:color w:val="auto"/>
        </w:rPr>
        <w:t>, certify, pursuant to 18 U.S.C. § 1350, as adopted pursuant to</w:t>
      </w:r>
    </w:p>
    <w:p>
      <w:pPr>
        <w:ind w:left="140" w:hanging="132"/>
        <w:spacing w:after="0"/>
        <w:tabs>
          <w:tab w:leader="none" w:pos="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that:</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6"/>
          <w:szCs w:val="16"/>
          <w:color w:val="auto"/>
        </w:rPr>
        <w:t>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1."/>
      <w:numFmt w:val="decimal"/>
      <w:start w:val="2"/>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1."/>
      <w:numFmt w:val="decimal"/>
      <w:start w:val="1"/>
    </w:lvl>
  </w:abstractNum>
  <w:abstractNum w:abstractNumId="13">
    <w:nsid w:val="4B588F54"/>
    <w:multiLevelType w:val="hybridMultilevel"/>
    <w:lvl w:ilvl="0">
      <w:lvlJc w:val="left"/>
      <w:lvlText w:val="%1."/>
      <w:numFmt w:val="decimal"/>
      <w:start w:val="3"/>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1."/>
      <w:numFmt w:val="decimal"/>
      <w:start w:val="4"/>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1)"/>
      <w:numFmt w:val="lowerRoman"/>
      <w:start w:val="2"/>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1."/>
      <w:numFmt w:val="decimal"/>
      <w:start w:val="10"/>
    </w:lvl>
  </w:abstractNum>
  <w:abstractNum w:abstractNumId="30">
    <w:nsid w:val="4F4EF005"/>
    <w:multiLevelType w:val="hybridMultilevel"/>
    <w:lvl w:ilvl="0">
      <w:lvlJc w:val="left"/>
      <w:lvlText w:val="%1."/>
      <w:numFmt w:val="decimal"/>
      <w:start w:val="13"/>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lowerLetter"/>
      <w:start w:val="1"/>
    </w:lvl>
  </w:abstractNum>
  <w:abstractNum w:abstractNumId="33">
    <w:nsid w:val="275AC794"/>
    <w:multiLevelType w:val="hybridMultilevel"/>
    <w:lvl w:ilvl="0">
      <w:lvlJc w:val="left"/>
      <w:lvlText w:val="%1)"/>
      <w:numFmt w:val="lowerLetter"/>
      <w:start w:val="2"/>
    </w:lvl>
  </w:abstractNum>
  <w:abstractNum w:abstractNumId="34">
    <w:nsid w:val="39386575"/>
    <w:multiLevelType w:val="hybridMultilevel"/>
    <w:lvl w:ilvl="0">
      <w:lvlJc w:val="left"/>
      <w:lvlText w:val="%1)"/>
      <w:numFmt w:val="lowerLetter"/>
      <w:start w:val="3"/>
    </w:lvl>
  </w:abstractNum>
  <w:abstractNum w:abstractNumId="35">
    <w:nsid w:val="1CF10FD8"/>
    <w:multiLevelType w:val="hybridMultilevel"/>
    <w:lvl w:ilvl="0">
      <w:lvlJc w:val="left"/>
      <w:lvlText w:val="%1"/>
      <w:numFmt w:val="decimal"/>
      <w:start w:val="97"/>
    </w:lvl>
  </w:abstractNum>
  <w:abstractNum w:abstractNumId="36">
    <w:nsid w:val="180115BE"/>
    <w:multiLevelType w:val="hybridMultilevel"/>
    <w:lvl w:ilvl="0">
      <w:lvlJc w:val="left"/>
      <w:lvlText w:val="*"/>
      <w:numFmt w:val="bullet"/>
      <w:start w:val="1"/>
    </w:lvl>
    <w:lvl w:ilvl="1">
      <w:lvlJc w:val="left"/>
      <w:lvlText w:val="%2"/>
      <w:numFmt w:val="decimal"/>
      <w:start w:val="104"/>
    </w:lvl>
  </w:abstractNum>
  <w:abstractNum w:abstractNumId="37">
    <w:nsid w:val="235BA861"/>
    <w:multiLevelType w:val="hybridMultilevel"/>
    <w:lvl w:ilvl="0">
      <w:lvlJc w:val="left"/>
      <w:lvlText w:val="**"/>
      <w:numFmt w:val="bullet"/>
      <w:start w:val="1"/>
    </w:lvl>
    <w:lvl w:ilvl="1">
      <w:lvlJc w:val="left"/>
      <w:lvlText w:val="%2"/>
      <w:numFmt w:val="decimal"/>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1."/>
      <w:numFmt w:val="upperLetter"/>
      <w:start w:val="1"/>
    </w:lvl>
  </w:abstractNum>
  <w:abstractNum w:abstractNumId="49">
    <w:nsid w:val="310C50B3"/>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50">
    <w:nsid w:val="5FF87E05"/>
    <w:multiLevelType w:val="hybridMultilevel"/>
    <w:lvl w:ilvl="0">
      <w:lvlJc w:val="left"/>
      <w:lvlText w:val="%1."/>
      <w:numFmt w:val="decimal"/>
      <w:start w:val="2"/>
    </w:lvl>
  </w:abstractNum>
  <w:abstractNum w:abstractNumId="51">
    <w:nsid w:val="2F305DEF"/>
    <w:multiLevelType w:val="hybridMultilevel"/>
    <w:lvl w:ilvl="0">
      <w:lvlJc w:val="left"/>
      <w:lvlText w:val="%1."/>
      <w:numFmt w:val="decimal"/>
      <w:start w:val="3"/>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7"/>
    </w:lvl>
  </w:abstractNum>
  <w:abstractNum w:abstractNumId="54">
    <w:nsid w:val="4AD084E9"/>
    <w:multiLevelType w:val="hybridMultilevel"/>
    <w:lvl w:ilvl="0">
      <w:lvlJc w:val="left"/>
      <w:lvlText w:val="%1."/>
      <w:numFmt w:val="upperLetter"/>
      <w:start w:val="3"/>
    </w:lvl>
  </w:abstractNum>
  <w:abstractNum w:abstractNumId="55">
    <w:nsid w:val="1F48EAA1"/>
    <w:multiLevelType w:val="hybridMultilevel"/>
    <w:lvl w:ilvl="0">
      <w:lvlJc w:val="left"/>
      <w:lvlText w:val="%1."/>
      <w:numFmt w:val="upperLetter"/>
      <w:start w:val="4"/>
    </w:lvl>
  </w:abstractNum>
  <w:abstractNum w:abstractNumId="56">
    <w:nsid w:val="1381823A"/>
    <w:multiLevelType w:val="hybridMultilevel"/>
    <w:lvl w:ilvl="0">
      <w:lvlJc w:val="left"/>
      <w:lvlText w:val="%1."/>
      <w:numFmt w:val="decimal"/>
      <w:start w:val="1"/>
    </w:lvl>
  </w:abstractNum>
  <w:abstractNum w:abstractNumId="57">
    <w:nsid w:val="5DB70AE5"/>
    <w:multiLevelType w:val="hybridMultilevel"/>
    <w:lvl w:ilvl="0">
      <w:lvlJc w:val="left"/>
      <w:lvlText w:val="%1."/>
      <w:numFmt w:val="upperLetter"/>
      <w:start w:val="5"/>
    </w:lvl>
  </w:abstractNum>
  <w:abstractNum w:abstractNumId="58">
    <w:nsid w:val="100F8FCA"/>
    <w:multiLevelType w:val="hybridMultilevel"/>
    <w:lvl w:ilvl="0">
      <w:lvlJc w:val="left"/>
      <w:lvlText w:val="%1."/>
      <w:numFmt w:val="decimal"/>
      <w:start w:val="1"/>
    </w:lvl>
  </w:abstractNum>
  <w:abstractNum w:abstractNumId="59">
    <w:nsid w:val="6590700B"/>
    <w:multiLevelType w:val="hybridMultilevel"/>
    <w:lvl w:ilvl="0">
      <w:lvlJc w:val="left"/>
      <w:lvlText w:val="%1."/>
      <w:numFmt w:val="decimal"/>
      <w:start w:val="2"/>
    </w:lvl>
  </w:abstractNum>
  <w:abstractNum w:abstractNumId="60">
    <w:nsid w:val="15014ACB"/>
    <w:multiLevelType w:val="hybridMultilevel"/>
    <w:lvl w:ilvl="0">
      <w:lvlJc w:val="left"/>
      <w:lvlText w:val="%1"/>
      <w:numFmt w:val="upperLetter"/>
      <w:start w:val="1"/>
    </w:lvl>
    <w:lvl w:ilvl="1">
      <w:lvlJc w:val="left"/>
      <w:lvlText w:val="%2."/>
      <w:numFmt w:val="decimal"/>
      <w:start w:val="3"/>
    </w:lvl>
  </w:abstractNum>
  <w:abstractNum w:abstractNumId="61">
    <w:nsid w:val="5F5E7FD0"/>
    <w:multiLevelType w:val="hybridMultilevel"/>
    <w:lvl w:ilvl="0">
      <w:lvlJc w:val="left"/>
      <w:lvlText w:val="%1."/>
      <w:numFmt w:val="upperLetter"/>
      <w:start w:val="6"/>
    </w:lvl>
    <w:lvl w:ilvl="1">
      <w:lvlJc w:val="left"/>
      <w:lvlText w:val="%2"/>
      <w:numFmt w:val="decimal"/>
      <w:start w:val="1"/>
    </w:lvl>
  </w:abstractNum>
  <w:abstractNum w:abstractNumId="62">
    <w:nsid w:val="98A3148"/>
    <w:multiLevelType w:val="hybridMultilevel"/>
    <w:lvl w:ilvl="0">
      <w:lvlJc w:val="left"/>
      <w:lvlText w:val="%1"/>
      <w:numFmt w:val="upperLetter"/>
      <w:start w:val="1"/>
    </w:lvl>
    <w:lvl w:ilvl="1">
      <w:lvlJc w:val="left"/>
      <w:lvlText w:val="%2."/>
      <w:numFmt w:val="decimal"/>
      <w:start w:val="1"/>
    </w:lvl>
  </w:abstractNum>
  <w:abstractNum w:abstractNumId="63">
    <w:nsid w:val="799D0247"/>
    <w:multiLevelType w:val="hybridMultilevel"/>
    <w:lvl w:ilvl="0">
      <w:lvlJc w:val="left"/>
      <w:lvlText w:val="%1."/>
      <w:numFmt w:val="upperLetter"/>
      <w:start w:val="8"/>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lowerLetter"/>
      <w:start w:val="1"/>
    </w:lvl>
    <w:lvl w:ilvl="1">
      <w:lvlJc w:val="left"/>
      <w:lvlText w:val="%2."/>
      <w:numFmt w:val="decimal"/>
      <w:start w:val="6"/>
    </w:lvl>
  </w:abstractNum>
  <w:abstractNum w:abstractNumId="66">
    <w:nsid w:val="168E121F"/>
    <w:multiLevelType w:val="hybridMultilevel"/>
    <w:lvl w:ilvl="0">
      <w:lvlJc w:val="left"/>
      <w:lvlText w:val="(%1)"/>
      <w:numFmt w:val="lowerLetter"/>
      <w:start w:val="2"/>
    </w:lvl>
    <w:lvl w:ilvl="1">
      <w:lvlJc w:val="left"/>
      <w:lvlText w:val="%2."/>
      <w:numFmt w:val="decimal"/>
      <w:start w:val="8"/>
    </w:lvl>
  </w:abstractNum>
  <w:abstractNum w:abstractNumId="67">
    <w:nsid w:val="1EBA5D23"/>
    <w:multiLevelType w:val="hybridMultilevel"/>
    <w:lvl w:ilvl="0">
      <w:lvlJc w:val="left"/>
      <w:lvlText w:val="%1."/>
      <w:numFmt w:val="upperLetter"/>
      <w:start w:val="9"/>
    </w:lvl>
  </w:abstractNum>
  <w:abstractNum w:abstractNumId="68">
    <w:nsid w:val="661E3F1E"/>
    <w:multiLevelType w:val="hybridMultilevel"/>
    <w:lvl w:ilvl="0">
      <w:lvlJc w:val="left"/>
      <w:lvlText w:val="%1."/>
      <w:numFmt w:val="upperLetter"/>
      <w:start w:val="10"/>
    </w:lvl>
  </w:abstractNum>
  <w:abstractNum w:abstractNumId="69">
    <w:nsid w:val="5DC79EA8"/>
    <w:multiLevelType w:val="hybridMultilevel"/>
    <w:lvl w:ilvl="0">
      <w:lvlJc w:val="left"/>
      <w:lvlText w:val="%1."/>
      <w:numFmt w:val="upperLetter"/>
      <w:start w:val="11"/>
    </w:lvl>
  </w:abstractNum>
  <w:abstractNum w:abstractNumId="70">
    <w:nsid w:val="540A471C"/>
    <w:multiLevelType w:val="hybridMultilevel"/>
    <w:lvl w:ilvl="0">
      <w:lvlJc w:val="left"/>
      <w:lvlText w:val="%1."/>
      <w:numFmt w:val="upperLetter"/>
      <w:start w:val="12"/>
    </w:lvl>
  </w:abstractNum>
  <w:abstractNum w:abstractNumId="71">
    <w:nsid w:val="7BD3EE7B"/>
    <w:multiLevelType w:val="hybridMultilevel"/>
    <w:lvl w:ilvl="0">
      <w:lvlJc w:val="left"/>
      <w:lvlText w:val="%1."/>
      <w:numFmt w:val="upperLetter"/>
      <w:start w:val="13"/>
    </w:lvl>
  </w:abstractNum>
  <w:abstractNum w:abstractNumId="72">
    <w:nsid w:val="51D9C564"/>
    <w:multiLevelType w:val="hybridMultilevel"/>
    <w:lvl w:ilvl="0">
      <w:lvlJc w:val="left"/>
      <w:lvlText w:val="%1."/>
      <w:numFmt w:val="upperLetter"/>
      <w:start w:val="14"/>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386" Type="http://schemas.openxmlformats.org/officeDocument/2006/relationships/image" Target="media/image340.png"/><Relationship Id="rId387" Type="http://schemas.openxmlformats.org/officeDocument/2006/relationships/image" Target="media/image341.png"/><Relationship Id="rId388" Type="http://schemas.openxmlformats.org/officeDocument/2006/relationships/image" Target="media/image342.png"/><Relationship Id="rId389" Type="http://schemas.openxmlformats.org/officeDocument/2006/relationships/image" Target="media/image343.png"/><Relationship Id="rId390" Type="http://schemas.openxmlformats.org/officeDocument/2006/relationships/image" Target="media/image344.png"/><Relationship Id="rId391" Type="http://schemas.openxmlformats.org/officeDocument/2006/relationships/image" Target="media/image345.png"/><Relationship Id="rId392"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314" Type="http://schemas.openxmlformats.org/officeDocument/2006/relationships/hyperlink" Target="https://www.sec.gov/Archives/edgar/data/1826681/000121390021020283/ea139001ex2-1_rotoracq.htm" TargetMode="External"/><Relationship Id="rId315" Type="http://schemas.openxmlformats.org/officeDocument/2006/relationships/hyperlink" Target="https://www.sec.gov/Archives/edgar/data/1826681/000156459021046200/rot-ex21_8.htm" TargetMode="External"/><Relationship Id="rId316" Type="http://schemas.openxmlformats.org/officeDocument/2006/relationships/hyperlink" Target="https://www.sec.gov/Archives/edgar/data/1826681/000156459022012046/strc-ex21_6.htm" TargetMode="External"/><Relationship Id="rId317" Type="http://schemas.openxmlformats.org/officeDocument/2006/relationships/hyperlink" Target="https://www.sec.gov/Archives/edgar/data/1826681/000156459021049662/strc-ex31_83.htm" TargetMode="External"/><Relationship Id="rId318" Type="http://schemas.openxmlformats.org/officeDocument/2006/relationships/hyperlink" Target="https://www.sec.gov/Archives/edgar/data/1826681/000095017023028943/strc-ex3_1.htm" TargetMode="External"/><Relationship Id="rId321" Type="http://schemas.openxmlformats.org/officeDocument/2006/relationships/hyperlink" Target="https://www.sec.gov/Archives/edgar/data/1826681/000095017024032876/strc-ex3_1.htm" TargetMode="External"/><Relationship Id="rId322" Type="http://schemas.openxmlformats.org/officeDocument/2006/relationships/hyperlink" Target="https://www.sec.gov/Archives/edgar/data/1826681/000095017024032876/strc-ex3_2.htm" TargetMode="External"/><Relationship Id="rId323" Type="http://schemas.openxmlformats.org/officeDocument/2006/relationships/hyperlink" Target="https://www.sec.gov/Archives/edgar/data/1826681/000121390020045501/fs12020a1ex4-4_rotoracq.htm" TargetMode="External"/><Relationship Id="rId324" Type="http://schemas.openxmlformats.org/officeDocument/2006/relationships/hyperlink" Target="https://www.sec.gov/Archives/edgar/data/1826681/000121390020045501/fs12020a1ex4-3_rotoracq.htm" TargetMode="External"/><Relationship Id="rId325" Type="http://schemas.openxmlformats.org/officeDocument/2006/relationships/hyperlink" Target="https://www.sec.gov/Archives/edgar/data/1826681/000156459021049662/strc-ex41_82.htm" TargetMode="External"/><Relationship Id="rId326" Type="http://schemas.openxmlformats.org/officeDocument/2006/relationships/hyperlink" Target="https://www.sec.gov/Archives/edgar/data/1826681/000095017024119511/pdyn-ex4_1.htm" TargetMode="External"/><Relationship Id="rId327" Type="http://schemas.openxmlformats.org/officeDocument/2006/relationships/hyperlink" Target="https://www.sec.gov/Archives/edgar/data/1826681/000121390021003229/ea133550ex10-4_rotoracqui.htm" TargetMode="External"/><Relationship Id="rId328" Type="http://schemas.openxmlformats.org/officeDocument/2006/relationships/hyperlink" Target="https://www.sec.gov/Archives/edgar/data/1826681/000121390021003229/ea133550ex10-5_rotoracqui.htm" TargetMode="External"/><Relationship Id="rId329" Type="http://schemas.openxmlformats.org/officeDocument/2006/relationships/hyperlink" Target="https://www.sec.gov/Archives/edgar/data/1826681/000121390021020283/ea139001ex10-3_rotoracq.htm" TargetMode="External"/><Relationship Id="rId330" Type="http://schemas.openxmlformats.org/officeDocument/2006/relationships/hyperlink" Target="https://www.sec.gov/Archives/edgar/data/1826681/000121390021020283/ea139001ex10-4_rotoracq.htm" TargetMode="External"/><Relationship Id="rId331" Type="http://schemas.openxmlformats.org/officeDocument/2006/relationships/hyperlink" Target="https://www.sec.gov/Archives/edgar/data/1826681/000121390021020283/ea139001ex10-5_rotoracq.htm" TargetMode="External"/><Relationship Id="rId332" Type="http://schemas.openxmlformats.org/officeDocument/2006/relationships/hyperlink" Target="https://www.sec.gov/Archives/edgar/data/1826681/000156459021049662/strc-ex1016_79.htm" TargetMode="External"/><Relationship Id="rId333" Type="http://schemas.openxmlformats.org/officeDocument/2006/relationships/hyperlink" Target="https://www.sec.gov/Archives/edgar/data/1826681/000156459021049662/strc-ex1010_78.htm" TargetMode="External"/><Relationship Id="rId334" Type="http://schemas.openxmlformats.org/officeDocument/2006/relationships/hyperlink" Target="https://www.sec.gov/Archives/edgar/data/1826681/000156459021049662/strc-ex108_81.htm" TargetMode="External"/><Relationship Id="rId335" Type="http://schemas.openxmlformats.org/officeDocument/2006/relationships/hyperlink" Target="https://www.sec.gov/Archives/edgar/data/1826681/000095017024126347/pdyn-ex10_1.htm" TargetMode="External"/><Relationship Id="rId336" Type="http://schemas.openxmlformats.org/officeDocument/2006/relationships/hyperlink" Target="https://www.sec.gov/Archives/edgar/data/1826681/000095017024119243/pdyn-ex99_1.htm" TargetMode="External"/><Relationship Id="rId337" Type="http://schemas.openxmlformats.org/officeDocument/2006/relationships/hyperlink" Target="https://www.sec.gov/Archives/edgar/data/1826681/000095017024022168/strc-ex10_19.htm" TargetMode="External"/><Relationship Id="rId338" Type="http://schemas.openxmlformats.org/officeDocument/2006/relationships/hyperlink" Target="https://www.sec.gov/Archives/edgar/data/1826681/000119312525283918/pdyn-ex10_1.htm" TargetMode="External"/><Relationship Id="rId339" Type="http://schemas.openxmlformats.org/officeDocument/2006/relationships/hyperlink" Target="https://www.sec.gov/Archives/edgar/data/1826681/000095017024055837/pdyn-ex10_1.htm" TargetMode="External"/><Relationship Id="rId340" Type="http://schemas.openxmlformats.org/officeDocument/2006/relationships/hyperlink" Target="https://www.sec.gov/Archives/edgar/data/1826681/000095017023028608/strc-ex10_2.htm" TargetMode="External"/><Relationship Id="rId341" Type="http://schemas.openxmlformats.org/officeDocument/2006/relationships/hyperlink" Target="https://www.sec.gov/Archives/edgar/data/1826681/000095017024055837/pdyn-ex10_6.htm" TargetMode="External"/><Relationship Id="rId342" Type="http://schemas.openxmlformats.org/officeDocument/2006/relationships/hyperlink" Target="https://www.sec.gov/Archives/edgar/data/1826681/000095017024022168/strc-ex10_13.htm" TargetMode="External"/><Relationship Id="rId345" Type="http://schemas.openxmlformats.org/officeDocument/2006/relationships/hyperlink" Target="https://www.sec.gov/Archives/edgar/data/1826681/000095017024055837/pdyn-ex10_7.htm" TargetMode="External"/><Relationship Id="rId346" Type="http://schemas.openxmlformats.org/officeDocument/2006/relationships/hyperlink" Target="https://www.sec.gov/Archives/edgar/data/1826681/000095017024027294/strc-ex10_1.htm" TargetMode="External"/><Relationship Id="rId347" Type="http://schemas.openxmlformats.org/officeDocument/2006/relationships/hyperlink" Target="https://www.sec.gov/Archives/edgar/data/1826681/000095017024140797/pdyn-ex10_1.htm" TargetMode="External"/><Relationship Id="rId348" Type="http://schemas.openxmlformats.org/officeDocument/2006/relationships/hyperlink" Target="https://www.sec.gov/Archives/edgar/data/1826681/000095017025065781/pdyn-ex10_1.htm" TargetMode="External"/><Relationship Id="rId349" Type="http://schemas.openxmlformats.org/officeDocument/2006/relationships/hyperlink" Target="https://www.sec.gov/Archives/edgar/data/1826681/000095017024055837/pdyn-ex10_13.htm" TargetMode="External"/><Relationship Id="rId350" Type="http://schemas.openxmlformats.org/officeDocument/2006/relationships/hyperlink" Target="https://www.sec.gov/Archives/edgar/data/1826681/000095017024055837/pdyn-ex10_14.htm" TargetMode="External"/><Relationship Id="rId351" Type="http://schemas.openxmlformats.org/officeDocument/2006/relationships/hyperlink" Target="https://www.sec.gov/Archives/edgar/data/1826681/000095017024055837/pdyn-ex10_15.htm" TargetMode="External"/><Relationship Id="rId352" Type="http://schemas.openxmlformats.org/officeDocument/2006/relationships/hyperlink" Target="https://www.sec.gov/Archives/edgar/data/1826681/000095017024126347/pdyn-ex10_2.htm" TargetMode="External"/><Relationship Id="rId353" Type="http://schemas.openxmlformats.org/officeDocument/2006/relationships/hyperlink" Target="https://www.sec.gov/Archives/edgar/data/1826681/000095017024119511/pdyn-ex10_1.htm" TargetMode="External"/><Relationship Id="rId354" Type="http://schemas.openxmlformats.org/officeDocument/2006/relationships/hyperlink" Target="https://www.sec.gov/Archives/edgar/data/1826681/000095017024119511/pdyn-ex10_2.htm" TargetMode="External"/><Relationship Id="rId355" Type="http://schemas.openxmlformats.org/officeDocument/2006/relationships/hyperlink" Target="https://www.sec.gov/Archives/edgar/data/1826681/000095017024042970/pdyn-ex16_1.htm" TargetMode="External"/><Relationship Id="rId356" Type="http://schemas.openxmlformats.org/officeDocument/2006/relationships/hyperlink" Target="https://www.sec.gov/Archives/edgar/data/1826681/000095017024022168/strc-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2026-03-05T05:28:06Z</dcterms:created>
  <dcterms:modified xsi:type="dcterms:W3CDTF">2026-03-05T05:28:06Z</dcterms:modified>
</cp:coreProperties>
</file>