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12026_110854.xml.htm"/>
      <w:bookmarkStart w:id="1" w:name="ksform408212026_11085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GARAGIC DENIS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PALLADYNE AI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650 SOUTH 500 WEST, SUITE 150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SALT LAKE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84101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Palladyne AI Corp.</w:t>
              </w:r>
            </w:hyperlink>
            <w:r>
              <w:rPr/>
              <w:t xml:space="preserve"> [ </w:t>
            </w:r>
            <w:r>
              <w:rPr>
                <w:rFonts w:ascii="Times;serif" w:hAnsi="Times;serif"/>
                <w:color w:val="0000FF"/>
                <w:sz w:val="24"/>
                <w:shd w:fill="FFFFFF" w:val="clear"/>
              </w:rPr>
              <w:t>PDYN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20"/>
        <w:gridCol w:w="443"/>
        <w:gridCol w:w="880"/>
        <w:gridCol w:w="1177"/>
        <w:gridCol w:w="984"/>
        <w:gridCol w:w="9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17,255</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6.1589</w:t>
            </w:r>
            <w:r>
              <w:rPr>
                <w:rFonts w:ascii="Times;serif" w:hAnsi="Times;serif"/>
                <w:color w:val="008000"/>
                <w:position w:val="7"/>
                <w:sz w:val="16"/>
                <w:sz w:val="20"/>
                <w:shd w:fill="FFFFFF" w:val="clear"/>
              </w:rPr>
              <w:t>(2)</w:t>
            </w:r>
          </w:p>
        </w:tc>
        <w:tc>
          <w:tcPr>
            <w:tcW w:w="11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990,798</w:t>
            </w:r>
            <w:r>
              <w:rPr>
                <w:rFonts w:ascii="Times;serif" w:hAnsi="Times;serif"/>
                <w:color w:val="008000"/>
                <w:position w:val="7"/>
                <w:sz w:val="16"/>
                <w:sz w:val="20"/>
                <w:shd w:fill="FFFFFF" w:val="clear"/>
              </w:rPr>
              <w:t>(3)</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sold to cover income tax liabilities in connection with the vesting of restricted stock unit awards pursuant to sell-to-cover arrangements implemented by the Issuer, which the Reporting Person may elect to pay in cash, and does not represent discretionary transactions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"Amount" and "Price" reported in this Column 4 reflect the aggregate number and weighted-average price, respectively, of shares sold. These shares were sold in multiple transactions at prices ranging from $6.1201 to $6.2101, inclusive. The reporting person undertakes to provide to the Issuer, any security holder of the Issuer, or the SEC staff, upon request,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shares represented by RSUs, of which 41,539 settled on August 20, 2026 and were then reduced by the 17,255 shares sold for taxes as reported on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Sonne, attorney-in-fact on behalf of Denis Garagic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20634" TargetMode="External"/><Relationship Id="rId5" Type="http://schemas.openxmlformats.org/officeDocument/2006/relationships/hyperlink" Target="http://www.sec.gov/cgi-bin/browse-edgar?action=getcompany&amp;CIK=00018266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731</Words>
  <Characters>3953</Characters>
  <CharactersWithSpaces>4614</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