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82026_100933.xml.htm"/>
      <w:bookmarkStart w:id="1" w:name="ksform409082026_1009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Wolff Benjamin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PALLADYNE AI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SOUTH 500 WEST,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Palladyne AI Corp.</w:t>
              </w:r>
            </w:hyperlink>
            <w:r>
              <w:rPr/>
              <w:t xml:space="preserve"> [ </w:t>
            </w:r>
            <w:r>
              <w:rPr>
                <w:rFonts w:ascii="Times;serif" w:hAnsi="Times;serif"/>
                <w:color w:val="0000FF"/>
                <w:sz w:val="24"/>
                <w:shd w:fill="FFFFFF" w:val="clear"/>
              </w:rPr>
              <w:t>PDYN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07"/>
        <w:gridCol w:w="431"/>
        <w:gridCol w:w="877"/>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17,121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5.7899</w:t>
            </w: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400,240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7,308,343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107,526</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and "Price" reported in this Column 4 reflect the aggregate number and weighted-average price, respectively, of shares purchased. These shares were purchased in multiple transactions at prices ranging from $5.75 to $5.84, inclusive. The reporting person undertakes to provide to the Issuer, any security holder of the Issuer, or the SEC staff, upon request, full information regarding the number of shares purchased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Mare's Leg Capital, LLC ("MLC"). MLC is an entity wholly owned by Mr. Wolff and his spouse Julie Wolff.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MLC Solo 401k Trust FOB Benjamin Wolff ("401k Trust"). Mr. Wolff and his spouse Julie Wolff are the trustees of the 401k Trust and share voting and dispositive power over equity held by the trust. Mr. Wolff is the sole beneficiary of the 401k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Trevor Thatcher, attorney-in-fact on behalf of Benjamin G. Wolff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sz w:val="22"/>
        </w:rPr>
      </w:pPr>
      <w:bookmarkStart w:id="2" w:name="ex24-09082026_100933.htm"/>
      <w:bookmarkStart w:id="3" w:name="ksex2409082026_100933"/>
      <w:bookmarkEnd w:id="2"/>
      <w:bookmarkEnd w:id="3"/>
      <w:r>
        <w:rPr>
          <w:sz w:val="22"/>
        </w:rPr>
        <w:t>POWER OF ATTORNEY</w:t>
      </w:r>
      <w:r>
        <w:br w:type="page"/>
      </w:r>
    </w:p>
    <w:p>
      <w:pPr>
        <w:pStyle w:val="TextBody"/>
        <w:bidi w:val="0"/>
        <w:spacing w:before="0" w:after="0"/>
        <w:ind w:left="0" w:right="0" w:hanging="0"/>
        <w:jc w:val="both"/>
        <w:rPr/>
      </w:pPr>
      <w:r>
        <w:rPr/>
      </w:r>
    </w:p>
    <w:p>
      <w:pPr>
        <w:pStyle w:val="TextBody"/>
        <w:bidi w:val="0"/>
        <w:spacing w:before="210" w:after="0"/>
        <w:ind w:left="0" w:right="0" w:firstLine="720"/>
        <w:jc w:val="both"/>
        <w:rPr>
          <w:sz w:val="22"/>
        </w:rPr>
      </w:pPr>
      <w:r>
        <w:rPr>
          <w:sz w:val="22"/>
        </w:rPr>
        <w:t>The undersigned hereby constitutes and appoints Stephen Sonne, Trevor Thatcher, Luisa Patoni, Benjamin Jones and Barbara A. Mery the undersigneds true and lawful attorney-in-fact to:</w:t>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Palladyne AI Corp. (the Company), Schedules 13D and 13G, Form ID, and Form 144, Forms 3, 4 and 5 and amendments thereto in accordance with Section 13 and/or Section 16(a) of the Securities Exchange Act of 1934, as amended (the Exchange Act), and the rules thereunder, and Form 144 and amendments thereto in accordance with Rule 144 promulgated under the Securities Act of 1933, as amended (the Securities Act);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685800" cy="160655"/>
                <wp:effectExtent l="0" t="0" r="0" b="0"/>
                <wp:wrapSquare wrapText="right"/>
                <wp:docPr id="6" name="Frame1"/>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0"/>
        <w:ind w:left="0" w:right="0" w:hanging="30"/>
        <w:jc w:val="both"/>
        <w:rPr>
          <w:sz w:val="22"/>
        </w:rPr>
      </w:pPr>
      <w:r>
        <w:rPr>
          <w:sz w:val="22"/>
        </w:rPr>
        <w:t xml:space="preserve">do and perform any and all acts for and on behalf of the undersigned which may be necessary or desirable to complete and execute any such Schedules 13D and 13G, Form ID, Form 144, and Forms 3, 4 and 5 and amendments thereto and timely file such form with the United States Securities and Exchange Commission and any stock exchange or similar authority.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685800" cy="160655"/>
                <wp:effectExtent l="0" t="0" r="0" b="0"/>
                <wp:wrapSquare wrapText="right"/>
                <wp:docPr id="7" name="Frame2"/>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lineRule="atLeast" w:line="265" w:before="0" w:after="0"/>
        <w:ind w:left="0" w:right="0" w:hanging="30"/>
        <w:jc w:val="both"/>
        <w:rPr>
          <w:sz w:val="22"/>
        </w:rPr>
      </w:pPr>
      <w:r>
        <w:rPr>
          <w:sz w:val="22"/>
        </w:rPr>
        <w:t>serve as the undersigneds account administrator pursuant to the Electronic Data Gathering, Analysis, and Retrieval system (</w:t>
      </w:r>
      <w:r>
        <w:rPr>
          <w:b/>
          <w:sz w:val="22"/>
        </w:rPr>
        <w:t>EDGAR</w:t>
      </w:r>
      <w:r>
        <w:rPr>
          <w:sz w:val="22"/>
        </w:rPr>
        <w:t>) of the U.S. Securities and Exchange Commission, which role includes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685800" cy="168275"/>
                <wp:effectExtent l="0" t="0" r="0" b="0"/>
                <wp:wrapSquare wrapText="right"/>
                <wp:docPr id="8" name="Frame3"/>
                <a:graphic xmlns:a="http://schemas.openxmlformats.org/drawingml/2006/main">
                  <a:graphicData uri="http://schemas.microsoft.com/office/word/2010/wordprocessingShape">
                    <wps:wsp>
                      <wps:cNvSpPr txBox="1"/>
                      <wps:spPr>
                        <a:xfrm>
                          <a:off x="0" y="0"/>
                          <a:ext cx="685800" cy="168275"/>
                        </a:xfrm>
                        <a:prstGeom prst="rect"/>
                        <a:solidFill>
                          <a:srgbClr val="FFFFFF"/>
                        </a:solidFill>
                      </wps:spPr>
                      <wps:txbx>
                        <w:txbxContent>
                          <w:p>
                            <w:pPr>
                              <w:pStyle w:val="TextBody"/>
                              <w:bidi w:val="0"/>
                              <w:spacing w:lineRule="atLeast" w:line="265"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54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65" w:before="0" w:after="283"/>
                        <w:jc w:val="left"/>
                        <w:rPr>
                          <w:sz w:val="22"/>
                        </w:rPr>
                      </w:pPr>
                      <w:r>
                        <w:rPr>
                          <w:sz w:val="22"/>
                        </w:rPr>
                        <w:t>3.</w:t>
                      </w:r>
                    </w:p>
                  </w:txbxContent>
                </v:textbox>
                <w10:wrap type="square" side="right"/>
              </v:rect>
            </w:pict>
          </mc:Fallback>
        </mc:AlternateContent>
      </w:r>
    </w:p>
    <w:p>
      <w:pPr>
        <w:pStyle w:val="TextBody"/>
        <w:pBdr/>
        <w:bidi w:val="0"/>
        <w:spacing w:before="0" w:after="0"/>
        <w:ind w:left="0" w:right="0" w:hanging="30"/>
        <w:jc w:val="both"/>
        <w:rPr>
          <w:sz w:val="22"/>
        </w:rPr>
      </w:pPr>
      <w:r>
        <w:rPr>
          <w:sz w:val="22"/>
        </w:rPr>
        <w:t>take any other action of any type whatsoever in connection with the foregoing which, in the opinion of such attorney-in-fact, may be necessary or desirable in connection with the foregoing authority, it being understood that the documents executed by such attorney-in-fact on behalf of the undersigned pursuant to this Power of Attorney shall be in such form and shall contain such terms and conditions as such attorney-in-fact may approve.</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685800" cy="160655"/>
                <wp:effectExtent l="0" t="0" r="0" b="0"/>
                <wp:wrapSquare wrapText="right"/>
                <wp:docPr id="9" name="Frame4"/>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pBdr/>
        <w:bidi w:val="0"/>
        <w:spacing w:lineRule="atLeast" w:line="262" w:before="210" w:after="0"/>
        <w:jc w:val="both"/>
        <w:rPr>
          <w:sz w:val="22"/>
        </w:rPr>
      </w:pPr>
      <w:r>
        <w:rPr>
          <w:sz w:val="22"/>
        </w:rPr>
        <w:t>The undersigned hereby ratifies and confirms all that said attorneys-in-fact, agents, and account administrators shall do or cause to be done by virtue hereof. The undersigned acknowledges that the foregoing attorneys-in-fact, in serving in such capacity at the request of the undersigned, are not assuming (i) any of the undersigneds responsibilities to comply with the Securities Exchange Act of 1934 (as amended) (the </w:t>
      </w:r>
      <w:r>
        <w:rPr>
          <w:b/>
          <w:sz w:val="22"/>
        </w:rPr>
        <w:t>Exchange Act</w:t>
      </w:r>
      <w:r>
        <w:rPr>
          <w:sz w:val="22"/>
        </w:rPr>
        <w:t>), (ii) any liability of the undersigned for failure to comply with such requirements, or (iii) any obligation or liability of the undersigned for profit disgorgement under Section 16(b) of the Exchange Act.</w:t>
      </w:r>
    </w:p>
    <w:p>
      <w:pPr>
        <w:pStyle w:val="TextBody"/>
        <w:pBdr/>
        <w:bidi w:val="0"/>
        <w:spacing w:lineRule="atLeast" w:line="262" w:before="210" w:after="0"/>
        <w:jc w:val="both"/>
        <w:rPr>
          <w:sz w:val="22"/>
        </w:rPr>
      </w:pPr>
      <w:r>
        <w:rPr>
          <w:sz w:val="22"/>
        </w:rPr>
        <w:t xml:space="preserve">This Limited Power of Attorney shall remain in full force and effect until the earlier to occur of the following: (i) the date on which the undersigned is no longer required to file Schedules 13D and 13G, Form ID, and Form 144, Forms 3, 4 and 5 and amendments thereto with respect to the undersigneds holdings of and transactions in securities issued by </w:t>
      </w:r>
      <w:bookmarkStart w:id="4" w:name="_Hlk203552821"/>
      <w:bookmarkEnd w:id="4"/>
      <w:r>
        <w:rPr>
          <w:sz w:val="22"/>
        </w:rPr>
        <w:t xml:space="preserve">Palladyne AI Corp.; (ii) the date on which the applicable account administrator is removed as an account administrator on the undersigneds EDGAR account; or (iii) the date on which this Limited Power of Attorney is revoked by the undersigned in a writing delivered to the applicable foregoing attorney-in-fact. </w:t>
      </w:r>
    </w:p>
    <w:p>
      <w:pPr>
        <w:pStyle w:val="TextBody"/>
        <w:bidi w:val="0"/>
        <w:spacing w:before="210" w:after="0"/>
        <w:ind w:left="0" w:right="0" w:firstLine="720"/>
        <w:jc w:val="both"/>
        <w:rPr>
          <w:sz w:val="22"/>
        </w:rPr>
      </w:pPr>
      <w:r>
        <w:rPr>
          <w:sz w:val="22"/>
        </w:rPr>
        <w:t>IN WITNESS WHEREOF, the undersigned has caused this Power of Attorney to be executed as of July 30, 2025.</w:t>
      </w:r>
    </w:p>
    <w:p>
      <w:pPr>
        <w:pStyle w:val="TextBody"/>
        <w:bidi w:val="0"/>
        <w:spacing w:before="210" w:after="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Benjamin G. Wolff</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771900" cy="160655"/>
                <wp:effectExtent l="0" t="0" r="0" b="0"/>
                <wp:wrapSquare wrapText="right"/>
                <wp:docPr id="10" name="Frame5"/>
                <a:graphic xmlns:a="http://schemas.openxmlformats.org/drawingml/2006/main">
                  <a:graphicData uri="http://schemas.microsoft.com/office/word/2010/wordprocessingShape">
                    <wps:wsp>
                      <wps:cNvSpPr txBox="1"/>
                      <wps:spPr>
                        <a:xfrm>
                          <a:off x="0" y="0"/>
                          <a:ext cx="3771900" cy="160655"/>
                        </a:xfrm>
                        <a:prstGeom prst="rect"/>
                        <a:solidFill>
                          <a:srgbClr val="FFFFFF"/>
                        </a:solidFill>
                      </wps:spPr>
                      <wps:txbx>
                        <w:txbxContent>
                          <w:p>
                            <w:pPr>
                              <w:pStyle w:val="TextBody"/>
                              <w:bidi w:val="0"/>
                              <w:spacing w:before="0" w:after="283"/>
                              <w:jc w:val="left"/>
                              <w:rPr>
                                <w:sz w:val="22"/>
                              </w:rPr>
                            </w:pPr>
                            <w:r>
                              <w:rPr>
                                <w:sz w:val="22"/>
                              </w:rPr>
                              <w:t>Signature:</w:t>
                            </w:r>
                          </w:p>
                        </w:txbxContent>
                      </wps:txbx>
                      <wps:bodyPr anchor="t" lIns="0" tIns="0" rIns="0" bIns="0">
                        <a:noAutofit/>
                      </wps:bodyPr>
                    </wps:wsp>
                  </a:graphicData>
                </a:graphic>
              </wp:anchor>
            </w:drawing>
          </mc:Choice>
          <mc:Fallback>
            <w:pict>
              <v:rect style="position:absolute;rotation:-0;width:297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Signature:</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Benjamin G. Wolff</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771900" cy="160655"/>
                <wp:effectExtent l="0" t="0" r="0" b="0"/>
                <wp:wrapSquare wrapText="right"/>
                <wp:docPr id="11" name="Frame6"/>
                <a:graphic xmlns:a="http://schemas.openxmlformats.org/drawingml/2006/main">
                  <a:graphicData uri="http://schemas.microsoft.com/office/word/2010/wordprocessingShape">
                    <wps:wsp>
                      <wps:cNvSpPr txBox="1"/>
                      <wps:spPr>
                        <a:xfrm>
                          <a:off x="0" y="0"/>
                          <a:ext cx="37719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297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8618" TargetMode="External"/><Relationship Id="rId5" Type="http://schemas.openxmlformats.org/officeDocument/2006/relationships/hyperlink" Target="http://www.sec.gov/cgi-bin/browse-edgar?action=getcompany&amp;CIK=00018266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1348</Words>
  <Characters>7038</Characters>
  <CharactersWithSpaces>8255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