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10816.xml.htm"/>
      <w:bookmarkStart w:id="1" w:name="ksform408212026_110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THATCHER TREVOR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PALLADYNE AI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SOUTH 500 WEST,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Palladyne AI Corp.</w:t>
              </w:r>
            </w:hyperlink>
            <w:r>
              <w:rPr/>
              <w:t xml:space="preserve"> [ </w:t>
            </w:r>
            <w:r>
              <w:rPr>
                <w:rFonts w:ascii="Times;serif" w:hAnsi="Times;serif"/>
                <w:color w:val="0000FF"/>
                <w:sz w:val="24"/>
                <w:shd w:fill="FFFFFF" w:val="clear"/>
              </w:rPr>
              <w:t>PDYN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6.1589</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319,602</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sold to cover income tax liabilities in connection with the vesting of restricted stock unit awards pursuant to sell-to-cover arrangements implemented by the Issuer, which the Reporting Person may elect to pay in cash, and does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and "Price" reported in this Column 4 reflect the aggregate number and weighted-average price, respectively, of shares sold. These shares were sold in multiple transactions at prices ranging from $6.1201 to $6.2101, inclusive. The reporting person undertakes to provide to the Issuer, any security holder of the Issuer, or the SEC staff,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represented by RSUs, of which 11,428 settled on August 20, 2026 and were then reduced by the 4,636 shares sold for taxes as reported on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Sonne, attorney-in-fact on behalf of Trevor Thatcher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215" TargetMode="External"/><Relationship Id="rId5" Type="http://schemas.openxmlformats.org/officeDocument/2006/relationships/hyperlink" Target="http://www.sec.gov/cgi-bin/browse-edgar?action=getcompany&amp;CIK=00018266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731</Words>
  <Characters>3954</Characters>
  <CharactersWithSpaces>4615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