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trc-20231231.htm"/>
      <w:bookmarkStart w:id="1" w:name="ksstrc20231231"/>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32"/>
        </w:rPr>
        <w:t>FORM 10-K</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40" w:after="283"/>
        <w:jc w:val="center"/>
        <w:rPr>
          <w:rFonts w:ascii="Times New Roman" w:hAnsi="Times New Roman"/>
          <w:sz w:val="20"/>
        </w:rPr>
      </w:pPr>
      <w:r>
        <w:rPr>
          <w:rFonts w:ascii="Times New Roman" w:hAnsi="Times New Roman"/>
          <w:b/>
          <w:color w:val="000000"/>
          <w:sz w:val="18"/>
        </w:rPr>
        <w:t>For the fiscal year ended</w:t>
      </w:r>
      <w:r>
        <w:rPr>
          <w:rFonts w:ascii="Times New Roman" w:hAnsi="Times New Roman"/>
          <w:color w:val="000000"/>
          <w:sz w:val="20"/>
        </w:rPr>
        <w:t xml:space="preserve"> </w:t>
      </w:r>
      <w:r>
        <w:rPr>
          <w:rFonts w:ascii="Times New Roman" w:hAnsi="Times New Roman"/>
          <w:b/>
          <w:color w:val="000000"/>
          <w:sz w:val="18"/>
        </w:rPr>
        <w:t>December 31, 2023</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both"/>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Commission File Number 001-39897</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SARCOS TECHNOLOGY AND ROBOTICS CORPORATION</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3227" w:type="dxa"/>
        <w:jc w:val="left"/>
        <w:tblInd w:w="0" w:type="dxa"/>
        <w:tblLayout w:type="fixed"/>
        <w:tblCellMar>
          <w:top w:w="28" w:type="dxa"/>
          <w:left w:w="28" w:type="dxa"/>
          <w:bottom w:w="28" w:type="dxa"/>
          <w:right w:w="28" w:type="dxa"/>
        </w:tblCellMar>
      </w:tblPr>
      <w:tblGrid>
        <w:gridCol w:w="1981"/>
        <w:gridCol w:w="1246"/>
      </w:tblGrid>
      <w:tr>
        <w:trPr/>
        <w:tc>
          <w:tcPr>
            <w:tcW w:w="19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85-2838301</w:t>
            </w:r>
          </w:p>
        </w:tc>
      </w:tr>
      <w:tr>
        <w:trP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bl>
    <w:p>
      <w:pPr>
        <w:pStyle w:val="TextBody"/>
        <w:bidi w:val="0"/>
        <w:spacing w:before="20" w:after="283"/>
        <w:jc w:val="center"/>
        <w:rPr>
          <w:rFonts w:ascii="Times New Roman" w:hAnsi="Times New Roman"/>
          <w:b/>
          <w:color w:val="000000"/>
          <w:sz w:val="16"/>
        </w:rPr>
      </w:pPr>
      <w:r>
        <w:rPr>
          <w:rFonts w:ascii="Times New Roman" w:hAnsi="Times New Roman"/>
          <w:b/>
          <w:color w:val="000000"/>
          <w:sz w:val="16"/>
        </w:rPr>
        <w:t>650 South 500 West, Suite 150</w:t>
      </w:r>
    </w:p>
    <w:p>
      <w:pPr>
        <w:pStyle w:val="TextBody"/>
        <w:bidi w:val="0"/>
        <w:spacing w:before="20" w:after="283"/>
        <w:jc w:val="center"/>
        <w:rPr>
          <w:rFonts w:ascii="Times New Roman" w:hAnsi="Times New Roman"/>
          <w:b/>
          <w:color w:val="000000"/>
          <w:sz w:val="16"/>
        </w:rPr>
      </w:pPr>
      <w:r>
        <w:rPr>
          <w:rFonts w:ascii="Times New Roman" w:hAnsi="Times New Roman"/>
          <w:b/>
          <w:color w:val="000000"/>
          <w:sz w:val="16"/>
        </w:rPr>
        <w:t>Salt Lake City, Utah, 84101</w:t>
      </w:r>
    </w:p>
    <w:p>
      <w:pPr>
        <w:pStyle w:val="TextBody"/>
        <w:bidi w:val="0"/>
        <w:spacing w:before="20" w:after="283"/>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20" w:after="283"/>
        <w:jc w:val="center"/>
        <w:rPr/>
      </w:pPr>
      <w:r>
        <w:rPr/>
        <w:t> </w:t>
      </w:r>
    </w:p>
    <w:p>
      <w:pPr>
        <w:pStyle w:val="TextBody"/>
        <w:bidi w:val="0"/>
        <w:spacing w:before="20" w:after="283"/>
        <w:jc w:val="center"/>
        <w:rPr>
          <w:rFonts w:ascii="Times New Roman" w:hAnsi="Times New Roman"/>
          <w:b/>
          <w:color w:val="000000"/>
          <w:sz w:val="16"/>
        </w:rPr>
      </w:pPr>
      <w:r>
        <w:rPr>
          <w:rFonts w:ascii="Times New Roman" w:hAnsi="Times New Roman"/>
          <w:b/>
          <w:color w:val="000000"/>
          <w:sz w:val="16"/>
        </w:rPr>
        <w:t>(888) 927-7296</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40" w:after="283"/>
        <w:jc w:val="center"/>
        <w:rPr>
          <w:rFonts w:ascii="Times New Roman" w:hAnsi="Times New Roman"/>
          <w:color w:val="000000"/>
          <w:sz w:val="17"/>
        </w:rPr>
      </w:pPr>
      <w:r>
        <w:rPr>
          <w:rFonts w:ascii="Times New Roman" w:hAnsi="Times New Roman"/>
          <w:color w:val="000000"/>
          <w:sz w:val="17"/>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235"/>
        <w:gridCol w:w="146"/>
        <w:gridCol w:w="750"/>
        <w:gridCol w:w="146"/>
        <w:gridCol w:w="2928"/>
      </w:tblGrid>
      <w:tr>
        <w:trPr/>
        <w:tc>
          <w:tcPr>
            <w:tcW w:w="6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r>
      <w:tr>
        <w:trPr/>
        <w:tc>
          <w:tcPr>
            <w:tcW w:w="623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center"/>
              <w:rPr/>
            </w:pPr>
            <w:r>
              <w:rPr/>
              <w:t> </w:t>
            </w:r>
          </w:p>
        </w:tc>
        <w:tc>
          <w:tcPr>
            <w:tcW w:w="750"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Trading</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Symbol(s)</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center"/>
              <w:rPr/>
            </w:pPr>
            <w:r>
              <w:rPr/>
              <w:t> </w:t>
            </w:r>
          </w:p>
        </w:tc>
        <w:tc>
          <w:tcPr>
            <w:tcW w:w="292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62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STRC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2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5"/>
              </w:rPr>
            </w:pPr>
            <w:r>
              <w:rPr>
                <w:rFonts w:ascii="Times New Roman" w:hAnsi="Times New Roman"/>
                <w:color w:val="000000"/>
                <w:sz w:val="15"/>
              </w:rPr>
              <w:t>The Nasdaq Stock Market LLC</w:t>
            </w:r>
          </w:p>
          <w:p>
            <w:pPr>
              <w:pStyle w:val="TableContents"/>
              <w:bidi w:val="0"/>
              <w:spacing w:before="0" w:after="283"/>
              <w:jc w:val="center"/>
              <w:rPr/>
            </w:pPr>
            <w:r>
              <w:rPr/>
              <w:t> </w:t>
            </w:r>
          </w:p>
        </w:tc>
      </w:tr>
      <w:tr>
        <w:trPr/>
        <w:tc>
          <w:tcPr>
            <w:tcW w:w="62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Redeemable warrants, exercisable for shares of Common Stock at an exercise price of $11.50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STRCW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28"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5"/>
              </w:rPr>
            </w:pPr>
            <w:r>
              <w:rPr>
                <w:rFonts w:ascii="Times New Roman" w:hAnsi="Times New Roman"/>
                <w:color w:val="000000"/>
                <w:sz w:val="15"/>
              </w:rPr>
              <w:t>The Nasdaq Stock Market LLC</w:t>
            </w:r>
          </w:p>
          <w:p>
            <w:pPr>
              <w:pStyle w:val="TableContents"/>
              <w:bidi w:val="0"/>
              <w:spacing w:before="0" w:after="283"/>
              <w:jc w:val="center"/>
              <w:rPr/>
            </w:pPr>
            <w:r>
              <w:rPr/>
              <w:t> </w:t>
            </w:r>
          </w:p>
        </w:tc>
      </w:tr>
    </w:tbl>
    <w:p>
      <w:pPr>
        <w:pStyle w:val="TextBody"/>
        <w:bidi w:val="0"/>
        <w:spacing w:before="80" w:after="283"/>
        <w:jc w:val="both"/>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15"/>
        </w:rPr>
        <w:t>Indicate by check mark if the registrant is a well-known seasoned issuer, as defined in Rule 405 of the Securities Act. YES ☐ N</w:t>
      </w:r>
      <w:r>
        <w:rPr>
          <w:rFonts w:ascii="Times New Roman" w:hAnsi="Times New Roman"/>
          <w:caps/>
          <w:color w:val="000000"/>
          <w:sz w:val="15"/>
        </w:rPr>
        <w:t>o</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15"/>
        </w:rPr>
        <w:t>Indicate by check mark if the registrant is not required to file reports pursuant to Section 13 or Section 15(d) of the Act. YES ☐ N</w:t>
      </w:r>
      <w:r>
        <w:rPr>
          <w:rFonts w:ascii="Times New Roman" w:hAnsi="Times New Roman"/>
          <w:caps/>
          <w:color w:val="000000"/>
          <w:sz w:val="15"/>
        </w:rPr>
        <w:t>o</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Times New Roman" w:hAnsi="Times New Roman"/>
          <w:caps/>
          <w:color w:val="000000"/>
          <w:sz w:val="15"/>
        </w:rPr>
        <w:t>es</w:t>
      </w:r>
      <w:r>
        <w:rPr>
          <w:rFonts w:ascii="Times New Roman" w:hAnsi="Times New Roman"/>
          <w:color w:val="000000"/>
          <w:sz w:val="20"/>
        </w:rPr>
        <w:t xml:space="preserve"> ☒ </w:t>
      </w:r>
      <w:r>
        <w:rPr>
          <w:rFonts w:ascii="Times New Roman" w:hAnsi="Times New Roman"/>
          <w:color w:val="000000"/>
          <w:sz w:val="15"/>
        </w:rPr>
        <w:t>NO ☐</w:t>
      </w:r>
    </w:p>
    <w:p>
      <w:pPr>
        <w:pStyle w:val="TextBody"/>
        <w:bidi w:val="0"/>
        <w:spacing w:before="80" w:after="283"/>
        <w:jc w:val="both"/>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w:t>
      </w:r>
      <w:r>
        <w:rPr>
          <w:rFonts w:ascii="Times New Roman" w:hAnsi="Times New Roman"/>
          <w:caps/>
          <w:color w:val="000000"/>
          <w:sz w:val="15"/>
        </w:rPr>
        <w:t>es</w:t>
      </w:r>
      <w:r>
        <w:rPr>
          <w:rFonts w:ascii="Times New Roman" w:hAnsi="Times New Roman"/>
          <w:color w:val="000000"/>
          <w:sz w:val="20"/>
        </w:rPr>
        <w:t xml:space="preserve"> ☒ </w:t>
      </w:r>
      <w:r>
        <w:rPr>
          <w:rFonts w:ascii="Times New Roman" w:hAnsi="Times New Roman"/>
          <w:color w:val="000000"/>
          <w:sz w:val="15"/>
        </w:rPr>
        <w:t>NO ☐</w:t>
      </w:r>
    </w:p>
    <w:p>
      <w:pPr>
        <w:pStyle w:val="TextBody"/>
        <w:bidi w:val="0"/>
        <w:spacing w:before="80" w:after="283"/>
        <w:jc w:val="both"/>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67" w:type="dxa"/>
        <w:jc w:val="left"/>
        <w:tblInd w:w="0" w:type="dxa"/>
        <w:tblLayout w:type="fixed"/>
        <w:tblCellMar>
          <w:top w:w="28" w:type="dxa"/>
          <w:left w:w="28" w:type="dxa"/>
          <w:bottom w:w="28" w:type="dxa"/>
          <w:right w:w="28" w:type="dxa"/>
        </w:tblCellMar>
      </w:tblPr>
      <w:tblGrid>
        <w:gridCol w:w="1411"/>
        <w:gridCol w:w="146"/>
        <w:gridCol w:w="316"/>
        <w:gridCol w:w="146"/>
        <w:gridCol w:w="1741"/>
        <w:gridCol w:w="146"/>
        <w:gridCol w:w="361"/>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74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bl>
    <w:p>
      <w:pPr>
        <w:pStyle w:val="TextBody"/>
        <w:bidi w:val="0"/>
        <w:spacing w:before="80" w:after="283"/>
        <w:jc w:val="both"/>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5"/>
        </w:rPr>
        <w:t>If securities are registered pursuant to Section 12(b) of the Act, indicate by check mark whether the financial statements of the registrant included in the filing reflect the correction of an error to previously issued financial statement</w:t>
      </w:r>
      <w:r>
        <w:rPr>
          <w:rFonts w:ascii="Times New Roman" w:hAnsi="Times New Roman"/>
          <w:color w:val="231F20"/>
          <w:sz w:val="15"/>
        </w:rPr>
        <w:t>s.</w:t>
      </w:r>
      <w:r>
        <w:rPr>
          <w:rFonts w:ascii="Times New Roman" w:hAnsi="Times New Roman"/>
          <w:color w:val="231F20"/>
          <w:sz w:val="20"/>
        </w:rPr>
        <w:t xml:space="preserve">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231F2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Act). YES ☐ 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5"/>
        </w:rPr>
        <w:t>As of June 30, 2023, the last day of the registrant’s most recently completed second fiscal quarter, the aggregate market value of the voting and non-voting common equity held by non-affiliates of the registrant, based on the closing price of the shares of common stock on the Nasdaq Global Market, was approximately $41.5</w:t>
      </w:r>
      <w:r>
        <w:rPr>
          <w:rFonts w:ascii="Times New Roman" w:hAnsi="Times New Roman"/>
          <w:color w:val="000000"/>
          <w:sz w:val="20"/>
        </w:rPr>
        <w:t xml:space="preserve"> </w:t>
      </w:r>
      <w:r>
        <w:rPr>
          <w:rFonts w:ascii="Times New Roman" w:hAnsi="Times New Roman"/>
          <w:color w:val="000000"/>
          <w:sz w:val="15"/>
        </w:rPr>
        <w:t>million.</w:t>
      </w:r>
    </w:p>
    <w:p>
      <w:pPr>
        <w:pStyle w:val="TextBody"/>
        <w:bidi w:val="0"/>
        <w:spacing w:before="80" w:after="283"/>
        <w:jc w:val="both"/>
        <w:rPr>
          <w:rFonts w:ascii="Times New Roman" w:hAnsi="Times New Roman"/>
          <w:sz w:val="20"/>
        </w:rPr>
      </w:pPr>
      <w:r>
        <w:rPr>
          <w:rFonts w:ascii="Times New Roman" w:hAnsi="Times New Roman"/>
          <w:color w:val="000000"/>
          <w:sz w:val="15"/>
        </w:rPr>
        <w:t>As of February 14, 2024, the registrant had 25.9</w:t>
      </w:r>
      <w:r>
        <w:rPr>
          <w:rFonts w:ascii="Times New Roman" w:hAnsi="Times New Roman"/>
          <w:color w:val="000000"/>
          <w:sz w:val="20"/>
        </w:rPr>
        <w:t xml:space="preserve"> </w:t>
      </w:r>
      <w:r>
        <w:rPr>
          <w:rFonts w:ascii="Times New Roman" w:hAnsi="Times New Roman"/>
          <w:color w:val="000000"/>
          <w:sz w:val="15"/>
        </w:rPr>
        <w:t>million shares of Common Stock, $0.0001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center"/>
        <w:rPr>
          <w:rFonts w:ascii="Times New Roman" w:hAnsi="Times New Roman"/>
          <w:b/>
          <w:color w:val="000000"/>
          <w:sz w:val="15"/>
        </w:rPr>
      </w:pPr>
      <w:r>
        <w:rPr>
          <w:rFonts w:ascii="Times New Roman" w:hAnsi="Times New Roman"/>
          <w:b/>
          <w:color w:val="000000"/>
          <w:sz w:val="15"/>
        </w:rPr>
        <w:t>DOCUMENTS INCORPORATED BY REFERENCE</w:t>
      </w:r>
    </w:p>
    <w:p>
      <w:pPr>
        <w:pStyle w:val="TextBody"/>
        <w:bidi w:val="0"/>
        <w:jc w:val="left"/>
        <w:rPr>
          <w:rFonts w:ascii="Times New Roman" w:hAnsi="Times New Roman"/>
          <w:sz w:val="20"/>
        </w:rPr>
      </w:pPr>
      <w:r>
        <w:rPr>
          <w:rFonts w:ascii="Times New Roman" w:hAnsi="Times New Roman"/>
          <w:color w:val="000000"/>
          <w:sz w:val="15"/>
        </w:rPr>
        <w:t>Portions of the registrant’s definitive Proxy Statement to be filed with the Securities and Exchange Commission in connection with the registrant’s 2024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2023. Except with respect to information specifically incorporated by reference, the Proxy Statement is not deemed to be filed as part of this Annual Report on Form 10-K.</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3"/>
        <w:gridCol w:w="8760"/>
        <w:gridCol w:w="512"/>
      </w:tblGrid>
      <w:tr>
        <w:trPr/>
        <w:tc>
          <w:tcPr>
            <w:tcW w:w="933" w:type="dxa"/>
            <w:tcBorders/>
            <w:vAlign w:val="center"/>
          </w:tcPr>
          <w:p>
            <w:pPr>
              <w:pStyle w:val="TableContents"/>
              <w:bidi w:val="0"/>
              <w:spacing w:before="0" w:after="283"/>
              <w:jc w:val="left"/>
              <w:rPr>
                <w:sz w:val="4"/>
                <w:szCs w:val="4"/>
              </w:rPr>
            </w:pPr>
            <w:r>
              <w:rPr>
                <w:sz w:val="4"/>
                <w:szCs w:val="4"/>
              </w:rPr>
            </w:r>
          </w:p>
        </w:tc>
        <w:tc>
          <w:tcPr>
            <w:tcW w:w="87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_">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served_">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_">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foreign_jurisdictions">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of_certain_">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86</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88</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summary_risk_factors"/>
      <w:bookmarkEnd w:id="2"/>
      <w:r>
        <w:rPr>
          <w:rFonts w:ascii="Times New Roman" w:hAnsi="Times New Roman"/>
          <w:b/>
          <w:color w:val="000000"/>
          <w:sz w:val="20"/>
        </w:rPr>
        <w:t>Summary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subject to numerous risks and uncertainties, including those highlighted in Part I Item 1A Risk Factors of this Report. The following is a summary of the principal risks we face:</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early-stage company with a history of losses, and expect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Due to our limited resources and access to capital, and our failure to properly estimate the time and expense required to commercialize our hardware-centric industrial robotics solutions, we must make decisions regarding the current and future allocation of resources and have suspended the development and commercialization of our hardware products. These decisions may prove to be wrong and may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have yet to achieve positive operating cash flow, and our ability to generate positive cash flow is uncertain.</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have no previous history or experience with commercializing software products and may not be able to do so efficiently or effectively. We were unsuccessful in our efforts to commercialize the hardware technologies that we and our predecessor companies developed over the past several decades.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Commercialization of our AI/ML Software Platform may be delayed beyond our current expectations and therefore initial availability to customers and receipt of anticipated revenue could be delayed.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anticipated revenues are expected to be primarily derived from the development and licensing of our AI/ML Software Platform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AI/ML Software Platform is still under development and any issues in the development and use of our platform may result in reputational harm or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our AI/ML Software Platform still under development, the timing and magnitude of revenues from customers is uncertain. If we cannot commercialize our AI/ML Software Platform on our expected schedule, if the platform does not offer our potential customers the features, functionality and return on investment that they expect, and/or if potential customers are not willing to pay for our software products at the license rates that we currently expect, our ability to generate material revenues will be materially impaired.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not able to generate material revenues from our AI/ML Software Platform before we exhaust our financial resources, we may need to cease business operations.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may fail to attract or retain customers at sufficient rates or at all.</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do not have any history with our licensing sales model.</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Important assumptions about market demand, pricing, adoption rates and sales cycles for our AI/ML Software Platform may be inaccurate.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AI/ML Software Platform requires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in a competitive industry that is subject to rapid technological change, and we expect competition to increase. Our products may not be competitive with other alternatives.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may not be able to complete or enhance our AI/ML Software Platform through our research and development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Real or perceived design flaws, errors, defects, glitches, bugs or malfunctions in our AI/ML Software Platform, failure of our AI/ML Software Platform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may use “open source” software, which could negatively affect our ability to offer our AI/ML Software Platform and subject us to possible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our business and prospects depend significantly on our ability to build an effective brand. We may not succeed in establishing, maintaining and strengthening an effective brand, and our brand and reputation could be harmed by negative publicity regarding us or our AI/ML Software Platform. We believe that our inability to successfully commercialize our hardware products, and our resulting financial performance, has damaged our brand, and we are planning to re-brand the company and our products, which could be costly and may not be well received by our existing and potential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team has broad discretion in making strategic decisions to execute our growth plans, and our management’s decisions have not always led to the desired result and current and future decisions may not be successful in achieving our business objectives or may have unintended consequences that negatively impact our growth prospects. </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we fail to effectively manage our business, we may not be able to design, develop, market and commercialize our software product successfully.</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may be unable to adequately control the costs associated with our operations.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We expect to incur substantial research and development costs and devote significant resources to developing and commercializing our AI/ML Software Platform, and we may never reach profitability and/or achieve significant or any revenues.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plans require a significant amount of capital. Our future capital needs may require us to sell 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recent initiatives to improve our cost structure, including significant workforce reductions, may not result in the anticipated savings, could result in total costs and expenses that are greater than expected and could disrupt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results may vary significantly from period to period due to fluctuations in our operating costs, revenues (including from development contracts), product demand and other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the services of our senior management and other key employees and, if we are unable to attract, integrate and retain a sufficient number of qualified employees, our ability to design and commercialize our AI/ML Software Platform, operate our business and compete could be harmed.</w:t>
      </w:r>
    </w:p>
    <w:p>
      <w:pPr>
        <w:pStyle w:val="TextBody"/>
        <w:bidi w:val="0"/>
        <w:spacing w:before="160" w:after="283"/>
        <w:jc w:val="both"/>
        <w:rPr>
          <w:color w:val="000000"/>
        </w:rPr>
      </w:pPr>
      <w:r>
        <w:rPr>
          <w:color w:val="000000"/>
        </w:rPr>
        <w: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been and may in the future be subject to risks associated with strategic relationships or transactions and may not identify or form desired strategic relationships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subject to new or changing governmental regulations relating to the development, marketing, licensing, distribution or use of our AI/ML Software Platform or to the providing of customer service, and a failure to comply with such regulations could lead to delays in launching our platform and/or withdrawal of our platform from the market, delay our projected revenues, increase costs and/or make our business unviable if we are unable to modify our software products to comply.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Common Stock is likely to be delisted from The Nasdaq Global Market which may impair the liquidity of our Common Stock.</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successfully pivot our business pursuant to our recently announced strategy to focus on the development of our full-stack, closed-loop autonomy software platform (“AI/ML Software Platform”);</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develop and sell our AI/ML Software Platform and the capabilities and functionality of our AI/ML Software Platform;</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nature and size of the markets that we are targeting;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software product roadmap, including expected timing of new product releases and target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respond to rapid technological changes;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competition from existing or future businesses and technologies;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manage our growth and expenses;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comply with laws and regulations applicable to our business;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attract and retain qualified personnel with the necessary experience, including employees who are instrumental to our new business strategy;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projected financial and operating information and estimates of market size and opportunities;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financial performance;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impacts of our reductions in force on our cash usage and savings, cost structure and restructuring costs;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impact of the COVID-19 pandemic and global economic and geopolitical conditions and international conflicts on our business and the business of our customers;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the markets for our software product;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expansion plans and opportunities;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future capital requirements and sources and uses of cash;</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defend and the outcome of any known and unknown litigation and regulatory proceedings;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maintain, protect and enhance our intellectual property;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ability to maintain and protect our brand;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ongoing de minimis hardware development efforts;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statements preceded by, followed by or that include the words “may,” “can,” “should,” “will,” “estimate,” “plan,” “project,” “forecast,” “intend,” “expect,” “anticipate,” “believe,” “seek,” “aim,” “target” or similar expressions.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4" w:name="item_1_business"/>
      <w:bookmarkStart w:id="5" w:name="item1_business_"/>
      <w:bookmarkEnd w:id="4"/>
      <w:bookmarkEnd w:id="5"/>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The following discussion should be read in conjunction with the information about us contained elsewhere in this Report, including the information set forth in our consolidated financial statements and the related notes. Some of the information contained in this section or set forth elsewhere in this Report, including information with respect to our plans and strategy for our business, includes forward-looking statements that involve risks and uncertainties. You should read Part I Item 1A Risk Factors and the section titled “Special Note Regarding Forward-Looking Statements” for a discussion of important factors that could cause actual results to differ materially from the results described in or implied by the forward-looking statements contained in the following discussion and throughout this Report. We use the terms “Sarcos,” “the Company,” “we,” “us,” and “our” to refer to Sarcos Technology and Robotics Corporation.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mission is to deliver software to our customers that enhances the utility and functionality of third-party stationary and mobile robotic systems by enabling these systems to quickly observe, learn, reason and act in structured and unstructured environments. Our AI/ML Software Platform is being designed with artificial intelligence (AI) and machine learning (ML) techniques to enable robotic systems to perceive their environment and quickly adapt to changing circumstances by generalizing (i.e., learning) from their past experience using dynamic real-time operations “on the edge” (i.e., on the robotic system) without extensive programming and with minimal robot training. We believe this “human-like” ability to learn and adapt will be a key differentiator in helping our customers maintain optimal productivity in dynamic or unstructured environments, where new situations and unexpected challenges are more likely to cause delays and costly downtime. Our value proposition is further enhanced relative to other competitive solutions because robotic systems using our AI/ML Software Platform are not required to be continuously connected to the cloud for our software to function, thereby reducing the performance issues associated with poor connectivity and latency typically associated with processing in the cloud. Our approach also reduces the expense typically associated with transmitting large amounts of data to and from the cloud.</w:t>
      </w:r>
    </w:p>
    <w:p>
      <w:pPr>
        <w:pStyle w:val="TextBody"/>
        <w:bidi w:val="0"/>
        <w:jc w:val="both"/>
        <w:rPr>
          <w:rFonts w:ascii="Times New Roman" w:hAnsi="Times New Roman"/>
          <w:color w:val="000000"/>
          <w:sz w:val="20"/>
        </w:rPr>
      </w:pPr>
      <w:r>
        <w:rPr>
          <w:rFonts w:ascii="Times New Roman" w:hAnsi="Times New Roman"/>
          <w:color w:val="000000"/>
          <w:sz w:val="20"/>
        </w:rPr>
        <w:t>As a pioneer in the robotic systems industry, we benefit from both experiences and lessons gained from our 30-plus years, as well as significant investment in our internal research and development efforts. Software has been an integral part of our development efforts over the years. Our vision for our AI/ML Software Platform began in 2017 as a foundational technology to enhance training for the autonomous operation of our own internally developed hardware solutions and progressed to our first CYTAR (Cybernetic Training for Autonomous Robots) government project in 2019. Significant design and development work began in 2020 when our Chief Technology Officer, Dr. Denis Garagic, joined our team. We have since continued to develop our AI/ML software both for the U.S. Department of Defense and in connection with our development of commercial robotic systems. As previously disclosed, in November 2023, we decided to suspend our hardware product development efforts to focus on commercializing our AI/ML Software Platform, although some de minimis hardware-related research and development efforts continue. By de-coupling our AI/ML Software Platform from our own hardware systems and applying it to a wide range of third-party robotics systems, from industrial robots and cobots to mobile systems potentially including drones, autonomous mobile robots (AMR), autonomous underwater vehicles (AUV) and remotely operated vehicles (ROV), we believe we can reach a much broader market more quickly and better utilize our remaining cash resources.</w:t>
      </w:r>
    </w:p>
    <w:p>
      <w:pPr>
        <w:pStyle w:val="TextBody"/>
        <w:bidi w:val="0"/>
        <w:jc w:val="both"/>
        <w:rPr>
          <w:rFonts w:ascii="Times New Roman" w:hAnsi="Times New Roman"/>
          <w:color w:val="000000"/>
          <w:sz w:val="20"/>
        </w:rPr>
      </w:pPr>
      <w:r>
        <w:rPr>
          <w:rFonts w:ascii="Times New Roman" w:hAnsi="Times New Roman"/>
          <w:color w:val="000000"/>
          <w:sz w:val="20"/>
        </w:rPr>
        <w:t>We are designing our AI/ML Software Platform to be hardware agnostic in order to be compatible with most industrial robots being sold today and to support other specific types of commercially available robots with additional development and the necessary application programming interface (API). The AI/ML Software Platform is expected to enable robotic systems to perform tasks that involve variations in the environment and the objects being manipulated by the robot. Specifically, we expect our AI/ML Software Platform to incorporate internal and external environmental inputs that allow robots to comprehend their environment, determine reasonable behavior given these inputs and to act in real time to achieve the expected task. Each newly learned task will then be incorporated and used to perform future tasks. We believe this closed-loop autonomy approach is the key to how our software can expedite robot training, expand the tasks that a robot can perform, reduce costly workflow stoppages, mitigate downtimes and reduce human labor requirements.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variety of industries ranging from manufacturing to warehousing encounter lengthy and costly efforts to program, manage, and modify their robotic systems. These industries also experience significant limitations with the tasks that existing robotic platforms can perform, resulting in more human labor required and a lower return on investment from robotic system deployments than what we believe will be possible when our software is deployed on these machines. We are designing our AI/ML Software Platform to enable industrial robotic systems to function with human-like reasoning through flexible and adaptable learning capabilities such that an industrial robot can perform a variety of tasks without the need for costly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reprogramming efforts. We believe that the AI/ML Software Platform will enable autonomous functionality to address challenging and dynamic environments for industries that can benefit from a high degree of adaptability and efficiency.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Industry Background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Robots have been commercially available and used in industrial and manufacturing automation for many decades. These industrial robots are typically large, stationary robotic arms designed to automate repetitive tasks in a controlled environment (e.g., a factory assembly line) that require consistency, speed and strength greater than what a human can accomplish. Industrial robots generally execute plans by rote programming (functions that are programmed in advance by a human engineer). Over time, industrial robots have become more sophisticated and are now widely adopted in a host of applications and across many industries. While this kind of automation brings significant benefits to industrial and manufacturing efforts, it also has its limitations. For example, these robots are typically deployed in controlled settings, fixed in place, used to accomplish a single repetitive task and not easily reprogrammed without costly and time-consuming retraining. </w:t>
      </w:r>
    </w:p>
    <w:p>
      <w:pPr>
        <w:pStyle w:val="TextBody"/>
        <w:bidi w:val="0"/>
        <w:jc w:val="both"/>
        <w:rPr>
          <w:rFonts w:ascii="Times New Roman" w:hAnsi="Times New Roman"/>
          <w:color w:val="000000"/>
          <w:sz w:val="20"/>
        </w:rPr>
      </w:pPr>
      <w:r>
        <w:rPr>
          <w:rFonts w:ascii="Times New Roman" w:hAnsi="Times New Roman"/>
          <w:color w:val="000000"/>
          <w:sz w:val="20"/>
        </w:rPr>
        <w:t>In the industrial and manufacturing automation space, productivity and cost-effectiveness depend greatly on avoiding downtimes. Downtime can be caused by many factors, but we believe the most significant are due to programming and reprogramming of robotic systems, disruptions to the controlled environment, whether due to physical obstacles or imprecise positioning, and the need to implement production change-overs. Initial programming or reprogramming of robotic systems is a costly and time-intensive task, requiring highly skilled programmers. We understand from early customer engagement that reprogramming a single robotic arm can take weeks to months in some cases. Reprogramming thousands of robotic arms on a full assembly line to build a different product or accommodate a new component is therefore costly and can put the line out of commission for a significant period of time, reducing or delaying production and sales. Further, many industrial or manufacturing robotic systems deployed today are not designed to perform tasks in dynamic or unstructured environments. As a result, a change or disruption in the environment, such as the insertion of an obstacle or the imprecise placement of parts, can result in the system shutting down until human assistance resolves the situation, resulting in additional costs and lost production.</w:t>
      </w:r>
    </w:p>
    <w:p>
      <w:pPr>
        <w:pStyle w:val="TextBody"/>
        <w:bidi w:val="0"/>
        <w:jc w:val="both"/>
        <w:rPr>
          <w:rFonts w:ascii="Times New Roman" w:hAnsi="Times New Roman"/>
          <w:color w:val="000000"/>
          <w:sz w:val="20"/>
        </w:rPr>
      </w:pPr>
      <w:r>
        <w:rPr>
          <w:rFonts w:ascii="Times New Roman" w:hAnsi="Times New Roman"/>
          <w:color w:val="000000"/>
          <w:sz w:val="20"/>
        </w:rPr>
        <w:t>Recent efforts to use AI technologies to address issues such as changing and dynamic environments typically depend on access to enormous databases with large language models (LLMs) residing in the cloud and using enormous amounts of real-world robotic data sets collected over time. In these cases, training occurs by connecting to these databases, doing extensive searching to try to find case-applicable data and models and then attempting to use the new data to recommend a viable solution. This process requires persistent cloud connectivity, driving increased costs, and is time-consuming, significantly reducing the benefits of these AI technologies.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Solution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designing our AI/ML Software Platform to enable industrial and manufacturing robots, such as robotic arms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 programmed and reprogrammed quickly with training capable of occurring experientially through teleoperation in as little as a few examples taking only a few minutes;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observe and assess their environment with our perception functionality that enables robots to distinguish between components essential to their tasks, obstacles to be avoided and irrelevant externalities without the need to connect to LLMs and extensive cloud-based databases;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learn to recognize and manipulate different objects to accomplish planned tasks quickly and precisely, even in dynamic or unstructured environments, requiring far less training data than traditional AI models;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quickly reason and determine how to accomplish the desired task in a stable, safe, and controlled manner in the face of obstacles or other unexpected environmental changes;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make real-time, AI-enabled decisions on the edge without the need to maintain connectivity to the cloud, eliminating the cost and latency associated with cloud-based AI computing;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work with most industrial robots being sold today.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accomplish this, we are incorporating our proprietary full stack, closed-loop autonomy technology into our AI/ML Software Platform that operates on the edge, enabling robotic systems to observe, learn, reason and act in real-time without the need to connect to the cloud to try to find an applicable LLM. Unlike LLMs, which are generally used to predict an outcome and make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recommendation, our AI methods are designed to enable a robot to make real-time decisions and act while using much less data and taking much less time. In many instances, we believe our solution will be significantly more data-efficient as compared to deep learning-based methods due to its ability to make decisions with just hundreds of parameters rather than billions.</w:t>
      </w:r>
    </w:p>
    <w:p>
      <w:pPr>
        <w:pStyle w:val="TextBody"/>
        <w:bidi w:val="0"/>
        <w:jc w:val="both"/>
        <w:rPr>
          <w:rFonts w:ascii="Times New Roman" w:hAnsi="Times New Roman"/>
          <w:color w:val="000000"/>
          <w:sz w:val="20"/>
        </w:rPr>
      </w:pPr>
      <w:r>
        <w:rPr>
          <w:rFonts w:ascii="Times New Roman" w:hAnsi="Times New Roman"/>
          <w:color w:val="000000"/>
          <w:sz w:val="20"/>
        </w:rPr>
        <w:t xml:space="preserve">We aim to address current challenges in automation by developing a software platform that: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enables humans to intuitively re-train a robot to perform a different task quickly thereby reducing costly delays resulting from the need to reprogram assembly lines;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enables robots to be capable of dynamic reasoning such that the robot can work around a physical obstacle or dynamically adjust its orientation to achieve the task, thereby reducing the need to reprogram robots and incur costly delays;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operates “on the edge” without the expense or delay of having to connect to the cloud to exhibit human-like reasoning in real time.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AI/ML Software Platform’s ability to operate “on the edge” is a key differentiator because, without the need to use large amounts of cloud-based computing, our AI/ML Software Platform can efficiently operate autonomously in dynamic environments while reacting to new circumstances without the need to access new data sets or be reprogrammed or retrained. In addition, our AI/ML Software Platform is being designed to fuse multi-sensor data inputs together to improve system situational awareness, increasing its flexibility and adaptability. We expect other important future capabilities to include solving for system stability and automated end-effector orientation to match the target object, enhanced computational efficiencies achieved through the use of our domain-specific language models and the use of dynamic model inference methods to generalize with only a few demonstrations.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our AI/ML Software Platform is being designed to work with most industrial robots being sold today, we expect that our AI/ML Software Platform can benefit a wide variety of industries such as industrial manufacturing, warehousing and logistics, defense, infrastructure maintenance and repair, energy and aerospace and aviation, among others. Based on product testing and trials, we expect our AI/ML Software Platform to greatly increase productivity across a variety of use-cases, while significantly reducing associated costs of programming and deploying these systems.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AI/ML Software Platform</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Artificial Intelligence &amp; Machine Learning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designing our AI/ML Software Platform to enable robots to be capable of human-like reasoning in their ability to learn multiple tasks and efficiently manage disruptions or obstacles. Once initial training/programming occurs, our closed-loop autonomy is expected to enable the robot to adapt to changes in its environment without human intervention or reprogramming. After minimal initial training, robots using our AI/ML Software Platform are expected to operate in a closed-loop to continuously observe, learn, reason and act so that they can adapt and continue to complete the desired tasks in the face of a changing environment.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3876675" cy="1990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76675" cy="1990725"/>
                    </a:xfrm>
                    <a:prstGeom prst="rect">
                      <a:avLst/>
                    </a:prstGeom>
                  </pic:spPr>
                </pic:pic>
              </a:graphicData>
            </a:graphic>
          </wp:inline>
        </w:drawing>
      </w:r>
      <w:r>
        <w:rPr/>
        <w:t> </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designing our AI/ML Software Platform to enable robots to:</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both"/>
        <w:rPr/>
      </w:pPr>
      <w:r>
        <w:rPr>
          <w:rFonts w:ascii="Times New Roman" w:hAnsi="Times New Roman"/>
          <w:b/>
          <w:color w:val="000000"/>
          <w:sz w:val="20"/>
        </w:rPr>
        <w:t>Observe:</w:t>
      </w:r>
      <w:r>
        <w:rPr>
          <w:color w:val="000000"/>
        </w:rPr>
        <w:t xml:space="preserve"> </w:t>
      </w:r>
      <w:r>
        <w:rPr>
          <w:rFonts w:ascii="Times New Roman" w:hAnsi="Times New Roman"/>
          <w:color w:val="000000"/>
          <w:sz w:val="20"/>
        </w:rPr>
        <w:t xml:space="preserve">Using a variety of sensors (e.g., vision, LiDAR, radar and acoustic) to perceive a dynamic and unstructured environment with situational awareness.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both"/>
        <w:rPr/>
      </w:pPr>
      <w:r>
        <w:rPr>
          <w:rFonts w:ascii="Times New Roman" w:hAnsi="Times New Roman"/>
          <w:b/>
          <w:color w:val="000000"/>
          <w:sz w:val="20"/>
        </w:rPr>
        <w:t>Learn:</w:t>
      </w:r>
      <w:r>
        <w:rPr>
          <w:color w:val="000000"/>
        </w:rPr>
        <w:t xml:space="preserve"> </w:t>
      </w:r>
      <w:r>
        <w:rPr>
          <w:rFonts w:ascii="Times New Roman" w:hAnsi="Times New Roman"/>
          <w:color w:val="000000"/>
          <w:sz w:val="20"/>
        </w:rPr>
        <w:t>Typically learn a task in approximately one to five human-controlled demonstrations via a variety of methods including, remote manipulation, virtual reality manipulation or natural language instruction. We believe our dynamic reasoning model will require much less training data than traditional models. Using this learning data, the AI/ML Software Platform is expected to create a mathematical model of the data and store it in the platform as a task. The model is then updated over time as more data is obtained. Over time, each robot will create its own library of tasks (a “Task Library”). By operating “on the edge” and not accessing external large data sets, the learning process can happen faster and cheaper and without the need for a connection to the cloud.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both"/>
        <w:rPr/>
      </w:pPr>
      <w:r>
        <w:rPr>
          <w:rFonts w:ascii="Times New Roman" w:hAnsi="Times New Roman"/>
          <w:b/>
          <w:color w:val="000000"/>
          <w:sz w:val="20"/>
        </w:rPr>
        <w:t>Reason:</w:t>
      </w:r>
      <w:r>
        <w:rPr>
          <w:color w:val="000000"/>
        </w:rPr>
        <w:t xml:space="preserve"> </w:t>
      </w:r>
      <w:r>
        <w:rPr>
          <w:rFonts w:ascii="Times New Roman" w:hAnsi="Times New Roman"/>
          <w:color w:val="000000"/>
          <w:sz w:val="20"/>
        </w:rPr>
        <w:t xml:space="preserve">Reason using probabilistic ML techniques, in a similar manner to human logic, when an unexpected or unknown event occurs. The robot would rely on its Task Library as a starting point and then infer to adjust to circumstances in real time.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both"/>
        <w:rPr/>
      </w:pPr>
      <w:r>
        <w:rPr>
          <w:rFonts w:ascii="Times New Roman" w:hAnsi="Times New Roman"/>
          <w:b/>
          <w:color w:val="000000"/>
          <w:sz w:val="20"/>
        </w:rPr>
        <w:t>Act:</w:t>
      </w:r>
      <w:r>
        <w:rPr>
          <w:color w:val="000000"/>
        </w:rPr>
        <w:t xml:space="preserve"> </w:t>
      </w:r>
      <w:r>
        <w:rPr>
          <w:rFonts w:ascii="Times New Roman" w:hAnsi="Times New Roman"/>
          <w:color w:val="000000"/>
          <w:sz w:val="20"/>
        </w:rPr>
        <w:t>Applies human-like logic and adapts its task model in real-time to translate observations into a control message that adjusts the behavior in a safe and controlled manner to complete the task. For example, in our testing lab an arm robot has continued the task of sorting items by color even after an obstacle was placed in its way. As a result, we expect there will be no need to shut-down production to teach a new task after a disruption in the environment.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anticipate that our AI/ML Software Platform will enable each robot to have a Task Library such that each robot can perform multiple tasks in a variety of situations and switch between them quickly with no reprogramming and minimal, if any, retraining.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Hardware and Management Platform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envision that our AI/ML Software Platform will be provided to customers along with the following baseline edge computing and training hardware components: a controller component that houses the closed-loop autonomy software framework that interfaces with the robot baseline system; a sensor package for situational awareness; and a human/machine interface system for training and teleoperation</w:t>
      </w:r>
      <w:r>
        <w:rPr>
          <w:rFonts w:ascii="Times New Roman" w:hAnsi="Times New Roman"/>
          <w:color w:val="000000"/>
          <w:sz w:val="16"/>
        </w:rPr>
        <w:t xml:space="preserve">. </w:t>
      </w:r>
      <w:r>
        <w:rPr>
          <w:rFonts w:ascii="Times New Roman" w:hAnsi="Times New Roman"/>
          <w:color w:val="000000"/>
          <w:sz w:val="20"/>
        </w:rPr>
        <w:t>The training and teleoperation interface system is expected to include a motion capture device and hand controller that is available as a standalone package.</w:t>
      </w:r>
    </w:p>
    <w:p>
      <w:pPr>
        <w:pStyle w:val="TextBody"/>
        <w:bidi w:val="0"/>
        <w:jc w:val="both"/>
        <w:rPr>
          <w:rFonts w:ascii="Times New Roman" w:hAnsi="Times New Roman"/>
          <w:color w:val="000000"/>
          <w:sz w:val="20"/>
        </w:rPr>
      </w:pPr>
      <w:r>
        <w:rPr>
          <w:rFonts w:ascii="Times New Roman" w:hAnsi="Times New Roman"/>
          <w:color w:val="000000"/>
          <w:sz w:val="20"/>
        </w:rPr>
        <w:t>Along with our AI/ML Software Platform we are developing a cloud-based customer portal to facilitate software purchases, updates, and online customer support. This customer portal is expected to also include the data analytics, operational tools, and the functionality to monitor, configure, and train the AI/ML Software Platform.</w:t>
      </w:r>
    </w:p>
    <w:p>
      <w:pPr>
        <w:pStyle w:val="TextBody"/>
        <w:bidi w:val="0"/>
        <w:spacing w:before="200" w:after="283"/>
        <w:jc w:val="both"/>
        <w:rPr>
          <w:rFonts w:ascii="Times New Roman" w:hAnsi="Times New Roman"/>
          <w:sz w:val="20"/>
        </w:rPr>
      </w:pPr>
      <w:r>
        <w:rPr>
          <w:rFonts w:ascii="Times New Roman" w:hAnsi="Times New Roman"/>
          <w:b/>
          <w:color w:val="000000"/>
          <w:sz w:val="20"/>
        </w:rPr>
        <w:t>Market Opportunity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the market for AI/ML software for industrial robotics has been experiencing and is expected to continue to experience significant growth, which we believe is driven by a need for more efficient and flexible manufacturing processes.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Companies such as ABB, Fanuc, Yaskawa, KUKA, and Universal Robots are prominent in providing both robotic hardware and AI-based software solutions to a wide range of industries to promote automation. We believe our AI/ML Software Platform augments their existing capabilities and will be complementary to their products offerings. </w:t>
      </w:r>
    </w:p>
    <w:p>
      <w:pPr>
        <w:pStyle w:val="TextBody"/>
        <w:bidi w:val="0"/>
        <w:jc w:val="both"/>
        <w:rPr>
          <w:rFonts w:ascii="Times New Roman" w:hAnsi="Times New Roman"/>
          <w:color w:val="000000"/>
          <w:sz w:val="20"/>
        </w:rPr>
      </w:pPr>
      <w:r>
        <w:rPr>
          <w:rFonts w:ascii="Times New Roman" w:hAnsi="Times New Roman"/>
          <w:color w:val="000000"/>
          <w:sz w:val="20"/>
        </w:rPr>
        <w:t>Collaborative robots, or cobots, which can work alongside humans, are also an area of opportunity for our AI/ML Software Platform. We expect our AI/ML Software Platform to enhance cobots’ ability to adapt to dynamic or unstructured environments. Further, we believe our AI/ML Software Platform has applicability to the unmanned aerial vehicle (UAV), remotely operated vehicle (ROV) and unmanned ground vehicle (UGV) markets to enable autonomous navigation and functionality especially as it relates to the defense sector. We have a contract with Air Force Research Laboratory (AFRL) that provides funding to explore this potential. Should this be a viable opportunity, we may consider selling our AI/ML Software Platform into the UAV, ROV and UGV markets.</w:t>
      </w:r>
    </w:p>
    <w:p>
      <w:pPr>
        <w:pStyle w:val="TextBody"/>
        <w:bidi w:val="0"/>
        <w:jc w:val="both"/>
        <w:rPr>
          <w:rFonts w:ascii="Times New Roman" w:hAnsi="Times New Roman"/>
          <w:sz w:val="20"/>
        </w:rPr>
      </w:pPr>
      <w:r>
        <w:rPr>
          <w:rFonts w:ascii="Times New Roman" w:hAnsi="Times New Roman"/>
          <w:color w:val="000000"/>
          <w:sz w:val="20"/>
        </w:rPr>
        <w:t>We believe that our initial customer base will be comprised of innovators and early adopters in the industrial manufacturing, warehousing and logistics, defense, infrastructure maintenance and repair, energy and aerospace and aviation industries. We believe that if we are successful demonstrating the value of our AI/ML Software Platform with these early adopters, there will be many potential customers that are fast followers. In the long run, we believe that our AI/ML Software Platform will benefit many markets and industries. However, it is possible that these beliefs and assumptions will prove incorrect, and, as a result, actual results and market sizes may deviate materially from our estimates. See Part I Item 1A Risk Factors - “</w:t>
      </w:r>
      <w:r>
        <w:rPr>
          <w:rFonts w:ascii="Times New Roman" w:hAnsi="Times New Roman"/>
          <w:i/>
          <w:color w:val="000000"/>
          <w:sz w:val="20"/>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Commercialization &amp; Growth Strategy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Our Anticipated Sales Model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launch, we anticipate offering our AI/ML Software Platform in at least two different packages: (a) the AI/ML Software Platform with teleoperation devices including a full set of software and hardware needed to facilitate autonomy training and deployment, which is recommended for all first-time customers; and (b) the AI/ML Software Platform without teleoperation devices, which is recommended for customers who have already purchased the AI/ML Software Platform and wish to expand their capabilities across multiple robotic systems.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Continued Development of our AI/ML Software Platform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research and development efforts are primarily focused on the further improvement of our AI/ML Software Platform, although some de minimis hardware-related research and development efforts continue. We plan to pursue continuous improvement of our AI/ML Software Platform and to develop additional functionalities, for example certain specific Task Libraries. We believe that as we show the commercial viability and benefits of our AI/ML Software Platform in our initial target markets and use-cases, customers and potential customers will want to use our AI/ML Software Platform to address other use-cases that previously have not been conducive to automation. As our products are highly complex, we want to ensure that we continue to develop new systems and solutions to address new markets and use-cases, and thereby grow our business.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Focused Effort on Commercialization while Collaborating with Development Customers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AI/ML Software Platform is in its development phase. We will continue to focus on the development and commercialization of our AI/ML Software Platform to bring the initial commercial version to market in a timely manner targeting specific use-cases. We believe this will prove the benefits of our AI/ML Software Platform in everyday working conditions while confirming market demand and achieving and growing product revenue.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intend to engage in the future with development customers in various industries. In some cases, these development customers may pay us to develop our products. This approach allows us to reduce our net loss and net use of cash while learning from our future customers’ experience with the AI/ML Software Platform, continuing product development efforts to improve and commercialize our product, and establish relationships with potential commercial and government customers. We believe working with these development customers will allow us to accelerate our brand awareness within our targeted industries and develop products that will meet the needs of a variety of potential customers. We anticipate that these relationships will play an important role in helping us select the markets, use-cases and product capabilities we are currently pursuing.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Competitive Strengths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30+ Years of Robotics Experience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a pioneer in the robotic systems industry, we benefit from lessons learned over 30-plus years and significant investment in research and development. Through our development efforts, including our software development efforts, we have developed a significant amount of advanced technology that we are leveraging to develop our AI/ML Software Platform. Our extensive robotics history gives us valuable perspective on how to use software to tackle the challenges associated with training and managing industrial robots in complex and dynamic environments. </w:t>
      </w:r>
    </w:p>
    <w:p>
      <w:pPr>
        <w:pStyle w:val="TextBody"/>
        <w:bidi w:val="0"/>
        <w:jc w:val="both"/>
        <w:rPr>
          <w:rFonts w:ascii="Times New Roman" w:hAnsi="Times New Roman"/>
          <w:color w:val="000000"/>
          <w:sz w:val="20"/>
        </w:rPr>
      </w:pPr>
      <w:r>
        <w:rPr>
          <w:rFonts w:ascii="Times New Roman" w:hAnsi="Times New Roman"/>
          <w:color w:val="000000"/>
          <w:sz w:val="20"/>
        </w:rPr>
        <w:t xml:space="preserve">We believe that leveraging our previous innovations in hardware and related software, including advances in energetic outdoor mobile manipulation, human like dexterity and immersive teleoperation technology for natural extended reality interactions between humans and robots will enable us to transition our previous software development into a hardware agnostic AI/ML Software Platform to bring the benefits of our software to a much broader base of robots. </w:t>
      </w:r>
    </w:p>
    <w:p>
      <w:pPr>
        <w:pStyle w:val="TextBody"/>
        <w:bidi w:val="0"/>
        <w:jc w:val="both"/>
        <w:rPr>
          <w:rFonts w:ascii="Times New Roman" w:hAnsi="Times New Roman"/>
          <w:color w:val="000000"/>
          <w:sz w:val="20"/>
        </w:rPr>
      </w:pPr>
      <w:r>
        <w:rPr>
          <w:rFonts w:ascii="Times New Roman" w:hAnsi="Times New Roman"/>
          <w:color w:val="000000"/>
          <w:sz w:val="20"/>
        </w:rPr>
        <w:t>We have spent many years working with and listening to people with experience in the industries we expect to target, including advisors and development customers. These early engagements have helped us form relationships with potential customers, helped fund our development efforts and provided critical customer insight and feedback into our development plans and software design. We believe our early efforts to get this feedback and build these relationships with potential customers situate us well to effectively commercialize our AI/ML Software Platform.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Visionary and Experienced Management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an experienced and talented team with deep operational expertise. Our team is led by Benjamin Wolff, our Chief Executive Officer, who has many years of executive-level, operational and corporate board experience. Our engineering efforts are led by Denis Garagić, our Chief Technology Officer, with over twenty-five years of experience in AI and ML. Members of our board of directors have extensive experience across a wide array of disciplines.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we are redefining automation to bring human-like reasoning, intelligence and autonomy to robotics through a unique application of AI and ML that has the potential to significantly accelerate growth for our commercial and defense customers. Our AI/ML Software Platform will compete with companies that have developed or are developing both directly and indirectly competing solutions and capabilities. While there are many automation-centric companies who are active, especially in early-adopter segments such as warehouse and logistics, and select manufacturing or assembly verticals, we believe our primary competitors are those who are focused on addressing key challenges in robotic deployments via autonomy or automation-enhancing software capabilities. In the broader automation landscape, we will compete (both directly and indirectly) with companies such as Bright Machines, C3.ai, Dexterity, Gray Matter Robotics, Intrinsic, Mujin, Olis Robotics, Rapid Robotics, and Ready Robotics. We believe that our competitors are seeking to solve the same or similar industry challenges as we are, but that most are focused on a particular aspect of the functionality of our AI Software Platform rather than a fully competitive solution.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While we view industrial robotics manufacturers, large system integrators, and consulting companies such as Fanuc, Kuka, ABB, Yasakawa, Honeywell, Reply, and Rockwell Automation, as potential target customers and/or channel partners for our software platform, we also recognize that these companies could also emerge as formidable competitors through their own internal development efforts or future technology partnerships with and acquisitions of our direct competitors. They may bring their robust customer relationships, channels and significant financial resources to help accelerate the market viability of one of our direct or indirect competitors.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Many of our competitors and potential competitors have products that are commercially available and/or in development. We expect some products currently in development by such competitors and potential competitors to become commercially available in the next few years.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competitor base may change or expand as we continue to develop and commercialize our AI/ML Software Platform and develop new functionality or products, or if we return to efforts to develop and commercialize hardware systems. These or other competitors may develop new technologies or products that provide superior results to customers or are less expensive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than our products. Our technologies and products could be rendered obsolete by such developments. See Part I Item 1A Risk Factors - “</w:t>
      </w:r>
      <w:r>
        <w:rPr>
          <w:rFonts w:ascii="Times New Roman" w:hAnsi="Times New Roman"/>
          <w:i/>
          <w:color w:val="000000"/>
          <w:sz w:val="20"/>
        </w:rPr>
        <w:t>We operate in a competitive industry that is subject to rapid technological change, and we expect competition to increase. Our products may not be competitive with other alternatives.”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that we will compete favorably due to our technical innovation and product features and performance. Some of our potential competitors have greater financial, technical and other resources than we have. Our competitors may be able to deploy greater resources to the design, development, distribution, promotion, sales, marketing and support of competitive products than we can. Additionally, some of our competitors have greater name recognition, longer operating histories, larger sales forces, broader customer and industry relationships and other tangible and intangible resources than we have. These competitors also compete with us in recruiting and retaining qualified research and development, sales, marketing, and management personnel, as well as in acquiring technologies complementary to, or necessary for, our products. Additional mergers and acquisitions by our existing or potential competitors may result in even more resources being concentrated in our competitors.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Customers and Partners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Through the end of 2023, our customers have primarily been development customers: customers funding our hardware product research and development efforts for which we have suspended development efforts. However, our many years of work with potential customers in many different industries and the U.S. Department of Defense, in particular the Air Force Research Laboratory, has contributed to the development of our AI/ML Software Platform. We do not yet have any customers for our AI/ML Software Platform. We anticipate initial commercial customers for our AI/ML Software Platform will be in industries such as industrial manufacturing, warehousing and logistics, defense, infrastructure maintenance and repair, energy and aerospace and aviation, among others.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ability to create, obtain and maintain intellectual property is important to our business. We rely upon a combination of protections afforded to owners of patents, copyrights, trade secrets and trademarks, along with employee and third-party non-disclosure agreements and other contractual restrictions to establish and protect our intellectual property rights.</w:t>
      </w:r>
    </w:p>
    <w:p>
      <w:pPr>
        <w:pStyle w:val="TextBody"/>
        <w:bidi w:val="0"/>
        <w:jc w:val="both"/>
        <w:rPr>
          <w:rFonts w:ascii="Times New Roman" w:hAnsi="Times New Roman"/>
          <w:color w:val="000000"/>
          <w:sz w:val="20"/>
        </w:rPr>
      </w:pPr>
      <w:r>
        <w:rPr>
          <w:rFonts w:ascii="Times New Roman" w:hAnsi="Times New Roman"/>
          <w:color w:val="000000"/>
          <w:sz w:val="20"/>
        </w:rPr>
        <w:t xml:space="preserve">We pursue patent protection at times when we believe we have developed a patentable invention and the benefits of obtaining a patent outweigh the risks of making the invention public through patent filings. We are in the process of attempting to secure patent protection for aspects of our AI/ML Software Platform but none of these patent applications have yet been granted. Due to the fact that our extensive patent portfolio is expensive to maintain, we are in the process of culling patents and applications from our portfolio that we do not believe are essential or likely to add value to our ongoing business operations. Many of our previously issued patents have expired, with others set to expire on dates ranging from 2023 to 2040, exclusive of any patent term adjustment or patent term extension. We do not know whether our pending patent applications will result in issued patents, or whether the examination process will require a narrowing of claimed subject matter. Considering the highly active fields of technology in which we are involved, particularly the field of artificial intelligence, our patents and pending patent applications may not provide us with broad-level protection. </w:t>
      </w:r>
    </w:p>
    <w:p>
      <w:pPr>
        <w:pStyle w:val="TextBody"/>
        <w:bidi w:val="0"/>
        <w:jc w:val="left"/>
        <w:rPr>
          <w:rFonts w:ascii="Times New Roman" w:hAnsi="Times New Roman"/>
          <w:color w:val="000000"/>
          <w:sz w:val="20"/>
        </w:rPr>
      </w:pPr>
      <w:r>
        <w:rPr>
          <w:rFonts w:ascii="Times New Roman" w:hAnsi="Times New Roman"/>
          <w:color w:val="000000"/>
          <w:sz w:val="20"/>
        </w:rPr>
        <w:t xml:space="preserve">To protect our brand, we also pursue the registration of our domain names and various trademarks in the United States and in select international locations.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Sales and Marketing</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AI/ML Software Platform is currently under development. While we continue to focus on the further development and commercialization of our AI/ML Software Platform, our sales efforts are underway to engage with potential customers. We intend to leverage many of our relationships built through our previous hardware efforts to sell our AI/ML Software Platform. We anticipate our potential customers to be in a wide variety of industries such as industrial manufacturing, warehousing and logistics, defense, infrastructure maintenance and repair, energy and aerospace and aviation, among others. We intend to invest in our sales and marketing efforts in support of the commercialization of our AI/ML Software Platform.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intend to pursue strategic relationships with systems integrators, companies with complementary technologies, software application providers, distributors, and consulting firms as and when we deem appropriate to expand the channels in which our AI/ML Software Platform is marketed. We believe working with these partners will accelerate our brand awareness and path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market within various industries and provide complementary capabilities and differentiation that will attract new customers while helping us expand our customer base.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currently expect to offer our AI/ML Software Platform through a term-based licensing model that would result in a recurring revenue stream. We may also offer add-on functionality for an additional license fee. We may charge an upfront fee for the teleoperation devices needed to facilitate autonomy training and deployment or embed the cost into the license fee. We expect to continue discussions with potential customers to ultimately determine the appropriate model. Additionally, while the initial focus of our sales and marketing efforts has been primarily on the U.S. domestic market, we intend to explore opportunities in select non-U.S. markets as and when we deem appropriate.</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Suppliers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We have a limited set of suppliers for the minimal hardware components that will be offered with our AI/ML Software Platform. We expect most of our suppliers to be based in the United States and expect most of our supplier relationships to be purchase order based rather than long-term supply contracts. In some cases, we have sole source (where the component is only available from a single vendor, often as a result of customization for our use) or single source (where we purchase from a single vendor but there are alternative sources of the component) suppliers. We seek to minimize our dependence on sole or single source suppliers in order to reduce risk in our supply chain, including the risk of losing a sole or single source supplier due to bankruptcy, discontinuing production of the particular component or some other reason. For additional information related to supply chain issues, see “</w:t>
      </w:r>
      <w:r>
        <w:rPr>
          <w:rFonts w:ascii="Times New Roman" w:hAnsi="Times New Roman"/>
          <w:i/>
          <w:color w:val="000000"/>
          <w:sz w:val="20"/>
        </w:rPr>
        <w:t>Risk Factors—</w:t>
      </w:r>
      <w:r>
        <w:rPr>
          <w:rFonts w:ascii="Times New Roman" w:hAnsi="Times New Roman"/>
          <w:color w:val="000000"/>
          <w:sz w:val="20"/>
        </w:rPr>
        <w:t xml:space="preserve"> </w:t>
      </w:r>
      <w:r>
        <w:rPr>
          <w:rFonts w:ascii="Times New Roman" w:hAnsi="Times New Roman"/>
          <w:i/>
          <w:color w:val="000000"/>
          <w:sz w:val="20"/>
        </w:rPr>
        <w:t>Our AI/ML Software Platform requires certain limited hardware components, and we are dependent on our suppliers, some of which are currently single, sole or limited source suppliers, and any inability of these suppliers to deliver necessary components of our products at the prices, volumes, performance, timing and specifications acceptable to us, could have a material adverse effect on our business, prospects, financial condition and operating results.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Government Regulation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subject to various U.S. federal, state, and local laws and regulations governing the occupational health and safety of our employees and wage regulations, including the requirements of the U.S. Occupational Safety and Health Act, as amended, and complementary state requirements (including the Utah Occupational Safety and Health Division’s Utah State Plan) that protect and regulate employee health and safety.</w:t>
      </w:r>
    </w:p>
    <w:p>
      <w:pPr>
        <w:pStyle w:val="TextBody"/>
        <w:bidi w:val="0"/>
        <w:jc w:val="both"/>
        <w:rPr>
          <w:rFonts w:ascii="Times New Roman" w:hAnsi="Times New Roman"/>
          <w:color w:val="000000"/>
          <w:sz w:val="20"/>
        </w:rPr>
      </w:pPr>
      <w:r>
        <w:rPr>
          <w:rFonts w:ascii="Times New Roman" w:hAnsi="Times New Roman"/>
          <w:color w:val="000000"/>
          <w:sz w:val="20"/>
        </w:rPr>
        <w:t xml:space="preserve">We are also subject to U.S. laws and regulations that may limit and restrict the export of our products and services and may restrict our ability to transact with certain potential customers, suppliers, business partners and other persons. These laws and regulations include outright prohibitions on certain types of transactions and impose license or other government authorization requirements on others. We must also comply with export restrictions and other laws affecting trade and investments imposed by other countries to the extent applicable. We maintain export compliance controls and procedures as part of our broader compliance program, but, as with any compliance program, there are risks that these controls might not prevent every instance of non-compliance, in which case we could be exposed to legal liability. To date, compliance with these laws has not significantly hampered our efforts to engage and transact with third parties but could further limit them in the future. Changes in, and responses to, U.S. trade policy could reduce the competitiveness of our products by making it difficult or impossible to enter affected markets, which could have a material adverse effect on our business, prospects, financial condition or results of operations. </w:t>
      </w:r>
    </w:p>
    <w:p>
      <w:pPr>
        <w:pStyle w:val="TextBody"/>
        <w:bidi w:val="0"/>
        <w:jc w:val="both"/>
        <w:rPr>
          <w:rFonts w:ascii="Times New Roman" w:hAnsi="Times New Roman"/>
          <w:color w:val="000000"/>
          <w:sz w:val="20"/>
        </w:rPr>
      </w:pPr>
      <w:r>
        <w:rPr>
          <w:rFonts w:ascii="Times New Roman" w:hAnsi="Times New Roman"/>
          <w:color w:val="000000"/>
          <w:sz w:val="20"/>
        </w:rPr>
        <w:t>Aspects of our use of sensors in connection with our AI/ML Software Platform must comply with the rules of the Federal Communications Commission (FCC), including with respect to: the use of any radio frequency, or RF, spectrum utilized for such components as the remote control or teleoperation system; the power level and frequency of any RF energy emitted (intentionally or otherwise); and any conditions imposed by the FCC on the device certification(s) issued to us or to third parties for any modular transmitters installed in our products. Such rules require, among other things, specific consumer disclosures with respect to RF emissions and proper installation and operation of the device components and any modular transmitters in our products.</w:t>
      </w:r>
    </w:p>
    <w:p>
      <w:pPr>
        <w:pStyle w:val="TextBody"/>
        <w:bidi w:val="0"/>
        <w:jc w:val="both"/>
        <w:rPr>
          <w:rFonts w:ascii="Times New Roman" w:hAnsi="Times New Roman"/>
          <w:color w:val="000000"/>
          <w:sz w:val="20"/>
        </w:rPr>
      </w:pPr>
      <w:r>
        <w:rPr>
          <w:rFonts w:ascii="Times New Roman" w:hAnsi="Times New Roman"/>
          <w:color w:val="000000"/>
          <w:sz w:val="20"/>
        </w:rPr>
        <w:t xml:space="preserve">Further, as a U.S. government contractor, we are subject to various government procurement and other laws, regulations, and contract requirements, including provisions and clauses of the Federal Acquisition Regulation (FAR), the Defense Federal Acquisition Regulation Supplement (DFARS), and other agency-specific regulations. These U.S. government contracting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requirements further implicate a broad variety of subjects in addition to the areas described above, including security, data management and disclosure, cybersecurity, cost and pricing activity and finance.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Human Capital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conducted two reductions in force (each a “RIF” and together the “RIFs”) in the past 12 months, one in July 2023 (the “July RIF”), affecting approximately 24% of our workforce at the time, and another in November 2023 (the “November RIF”), affecting approximately 70% of our workforce at the time, ultimately resulting from our decision to shift our product development and commercialization strategy to focus on our AI/ML Software Platform.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Following the completion of the RIFs, as of February 1, 2024, we had approximately 70 full-time and part-time employees, with most employees located in our Salt Lake City, Utah office. We also engage consultants and contractors to supplement our permanent workforce on an as-needed basis. Approximately 65% of our employees are involved in engineering functions, including research and development. To date, we have not experienced any organized work stoppages and consider our relationship with our employees to be good. None of our employees are subject to a collective bargaining agreement or represented by a labor union.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Facilities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currently operate in a corporate and manufacturing facility in Salt Lake City, Utah consisting of approximately 61,000 square feet, The lease of our Salt Lake City facility expires in May 2033 and has two options to extend the lease for a three-year period each. As announced on November 14, 2023, we are in the process of winding down our operations in our Pittsburgh, Pennsylvania office. We believe that should we need additional or different space we will be able to obtain such space on commercially reasonable terms.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History, Corporate Information and Website</w:t>
      </w:r>
    </w:p>
    <w:p>
      <w:pPr>
        <w:pStyle w:val="TextBody"/>
        <w:bidi w:val="0"/>
        <w:jc w:val="both"/>
        <w:rPr>
          <w:rFonts w:ascii="Times New Roman" w:hAnsi="Times New Roman"/>
          <w:color w:val="000000"/>
          <w:sz w:val="20"/>
        </w:rPr>
      </w:pPr>
      <w:r>
        <w:rPr>
          <w:rFonts w:ascii="Times New Roman" w:hAnsi="Times New Roman"/>
          <w:color w:val="000000"/>
          <w:sz w:val="20"/>
        </w:rPr>
        <w:t xml:space="preserve">Sarcos is the result of a decades-long effort in research and development of robotic systems and solutions. Our original predecessor was spun-out of the University of Utah in 1983. In 2007, our predecessor was acquired by Raytheon and was operated until 2014 as a division of Raytheon known as Raytheon Sarcos. During this period, Raytheon Sarcos was focused primarily on developing cutting-edge technologies for use by U.S. governmental agencies. In December 2014, the assets of Raytheon Sarcos were acquired by a consortium led by the former Raytheon Sarcos President and our current Chief Innovation Officer, Dr. Fraser Smith, and technology and telecom entrepreneur Benjamin Wolff, our Chief Executive Officer, President and member of the Board of Directors. This acquisition was the basis for the establishment of Sarcos Corp., a Utah corporation (“Old Sarcos”), which was incorporated in Utah in February 2015 as Sarcos Corp. On September 24, 2021, Old Sarcos merged with Rotor Acquisition Corp. (“Rotor”), a Delaware corporation. On September 24, 2021, Rotor changed its name to Sarcos Technology and Robotics Corporation. In April 2022, we acquired RE2, Inc., (“RE2”) a Pittsburgh, Pennsylvania based robotics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November 14, 2023, we announced a pivot in business strategy to prioritize the development of our commercial AI/ML Software Platform and suspend further commercialization efforts on hardware products, although some de minimis hardware-related research and development efforts continue. After continued analysis of our products and programs and careful consideration of our available cash and other resources, as well as third party dependencies, customer decision timing, and the cost and time to develop and achieve a significant and steady revenue stream from our hardware products, we concluded that focusing on our AI/ML Software Platform and suspending our hardware commercialization efforts gave us the best risk-adjusted opportunity to meet our previously announced goal of pursuing significant near-term revenue tied to acute customer needs and reduce our capital requirements and related risks in line with available resources. We believe that the expected capabilities described above, combined with a large potential addressable market, create an opportunity to build a robust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software business that has the potential to scale at a substantially faster rate than our hardware solutions. This pivot in strategy builds on our prior announcement, on July 12, 2023, that we had refined our strategy to focus on products that we believed had the most potential for near-term revenue growth and strategic opportunities, which at the time included our Guardian Sea Class system, certain aviation solutions (baggage handling and exterior aircraft maintenance), a solar (solar field panel installation) solution and our commercial AI/ML Software Platform.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principal executive offices are located at 650 South 500 West, Suite 150, Salt Lake City, Utah, 84101. Our telephone number is 888-927-7296.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maintain a company website with the address www.sarcos.com. We are not including the information contained on our website as a part of, or incorporating it by reference into, this Annual Report on Form 10-K. We make available free of charge through the www.sarcos.com website our Annual Reports on Form 10-K, Quarterly Reports on Form 10-Q and Current Reports on Form 8-K, and amendments to these reports filed or furnished pursuant to Section 13(a) or 15(d) of the Exchange Act, as soon as reasonably practicable after we electronically file such material with, or furnish such material to, the SEC. These reports and other information are also available, free of charge, at www.sec.gov. In addition, our Code of Business Conduct and Ethics is available through the www.sarcos.com website and any amendments to or waivers of the Code of Conduct will be disclosed on that website.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6" w:name="item_1a_risk_factors_"/>
      <w:bookmarkEnd w:id="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both"/>
        <w:rPr>
          <w:rFonts w:ascii="Times New Roman" w:hAnsi="Times New Roman"/>
          <w:i/>
          <w:color w:val="000000"/>
          <w:sz w:val="20"/>
        </w:rPr>
      </w:pPr>
      <w:r>
        <w:rPr>
          <w:rFonts w:ascii="Times New Roman" w:hAnsi="Times New Roman"/>
          <w:i/>
          <w:color w:val="000000"/>
          <w:sz w:val="20"/>
        </w:rPr>
        <w:t>You should carefully consider the following risk factors, in addition to the other information contained in this Report, including “Management’s Discussion and Analysis of Financial Condition and Results of Operations” and our audited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 References in this Item 1A Risk Factors to financial information as of dates for periods ended on or prior to April 25, 2022 do not include the financial information of RE2 as of those dates or for those periods.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jc w:val="both"/>
        <w:rPr>
          <w:rFonts w:ascii="Times New Roman" w:hAnsi="Times New Roman"/>
          <w:b/>
          <w:i/>
          <w:color w:val="000000"/>
          <w:sz w:val="20"/>
        </w:rPr>
      </w:pPr>
      <w:r>
        <w:rPr>
          <w:rFonts w:ascii="Times New Roman" w:hAnsi="Times New Roman"/>
          <w:b/>
          <w:i/>
          <w:color w:val="000000"/>
          <w:sz w:val="20"/>
        </w:rPr>
        <w:t>We are an early stage company with a history of losses, and expect to incur significant losses for the foreseeable future.</w:t>
      </w:r>
    </w:p>
    <w:p>
      <w:pPr>
        <w:pStyle w:val="TextBody"/>
        <w:bidi w:val="0"/>
        <w:jc w:val="both"/>
        <w:rPr>
          <w:rFonts w:ascii="Times New Roman" w:hAnsi="Times New Roman"/>
          <w:color w:val="000000"/>
          <w:sz w:val="20"/>
        </w:rPr>
      </w:pPr>
      <w:r>
        <w:rPr>
          <w:rFonts w:ascii="Times New Roman" w:hAnsi="Times New Roman"/>
          <w:color w:val="000000"/>
          <w:sz w:val="20"/>
        </w:rPr>
        <w:t>We incurred a net loss of $115.6 million for the year ended December 31, 2023 and a net loss of $157.1 million for the year ended December 31, 2022. We believe that we will continue to incur operating and net losses for the foreseeable future. However, our shift in product development and commercialization strategy to focus on our AI/ML Software Platform has affected the timing of expected revenue and has made forecasting our quarterly and annual results more challenging. Even if we are able to successfully develop our AI/ML Software Platform and attract customers for commercial sales, we may not become profitable. Our potential profitability is dependent upon the successful development, commercial introduction and adoption on a large scale of our AI/ML Software Platform and our ability to lower costs, none of which may occur.</w:t>
      </w:r>
    </w:p>
    <w:p>
      <w:pPr>
        <w:pStyle w:val="TextBody"/>
        <w:bidi w:val="0"/>
        <w:jc w:val="both"/>
        <w:rPr>
          <w:rFonts w:ascii="Times New Roman" w:hAnsi="Times New Roman"/>
          <w:color w:val="000000"/>
          <w:sz w:val="20"/>
        </w:rPr>
      </w:pPr>
      <w:r>
        <w:rPr>
          <w:rFonts w:ascii="Times New Roman" w:hAnsi="Times New Roman"/>
          <w:color w:val="000000"/>
          <w:sz w:val="20"/>
        </w:rPr>
        <w:t xml:space="preserve">We expect that we will continue to incur losses in future periods as we: </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design, develop and begin to commercialize our AI/ML Software Platform;</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utilize and develop potential new relationships with third-party partners for software design and development;</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conduct our sales and marketing activities and develop our sales and customer service capabilities; </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 and expand our AI/ML Software Platform's technology infrastructure and cybersecurity measures, policies and controls; and </w:t>
      </w:r>
    </w:p>
    <w:p>
      <w:pPr>
        <w:pStyle w:val="TextBody"/>
        <w:bidi w:val="0"/>
        <w:spacing w:before="120" w:after="283"/>
        <w:jc w:val="both"/>
        <w:rPr>
          <w:caps/>
          <w:color w:val="000000"/>
        </w:rPr>
      </w:pPr>
      <w:r>
        <w:rPr>
          <w:caps/>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our general and administrative functions and systems to support our operations and to operate as a publicly-traded company.</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we will incur costs and expenses from these efforts before we receive incremental revenue with respect thereto and because we are still developing our AI/ML Software Platform, we expect that our losses in future periods will continue to be significant until we start to achieve significant software licensing revenue. In addition, we may find that these efforts are more expensive than we currently anticipate or that these efforts may result in less than expected or no additional revenue, which would further increase our losses.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Due to our limited resources and access to capital, and our failure to properly estimate the time and expense required to commercialize our hardware-centric industrial robotics solutions, we must make decisions on the allocation of resources and have discontinued development and commercialization of certain products; these decisions may prove to be wrong and may adversely affect our business.</w:t>
      </w:r>
    </w:p>
    <w:p>
      <w:pPr>
        <w:pStyle w:val="TextBody"/>
        <w:bidi w:val="0"/>
        <w:jc w:val="both"/>
        <w:rPr>
          <w:rFonts w:ascii="Times New Roman" w:hAnsi="Times New Roman"/>
          <w:color w:val="000000"/>
          <w:sz w:val="20"/>
        </w:rPr>
      </w:pPr>
      <w:r>
        <w:rPr>
          <w:rFonts w:ascii="Times New Roman" w:hAnsi="Times New Roman"/>
          <w:color w:val="000000"/>
          <w:sz w:val="20"/>
        </w:rPr>
        <w:t>We have limited financial and human resources and as a result, we have in the past and may in the future forgo or delay pursuit of opportunities with product candidates that might have had greater commercial potential or a greater likelihood of success. For example, on November 14, 2023, we announced a pivot in strategy to suspend our efforts to bring our hardware products to market and instead focus the vast majority of our resources and efforts on the development of our commercial AI/ML Software Platform and a related significant reduction in force. After continued analysis of our business and careful consideration of our hardware product’s development costs and market opportunity, and of our available resources, we concluded that focusing on our AI/ML Software Platform meets our previously announced goal of pursuing significant near-term revenue tied to acute customer needs and reduces our capital requirements and related risks in line with available resources. However, this strategy may not prove to be effective. Moreover, we may be unable to monetize assets relating to discontinued products or further reduce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the development of our AI/ML Software Platform will be a complex, evolving, and long-term initiative that will involve the development of new and emerging technologies, continued investment, including in privacy, safety and security efforts, and potential collaborations with other companies, developers, partners and other participants. Our AI/ML Software Platform may not develop in accordance with our expectations and its market acceptance is uncertain. We regularly evaluate our product roadmaps and make significant changes as our understanding of the technological challenges and market landscape and our product ideas and designs evolve. In addition, we have no experience with commercializing a software platform, which may enable other companies to compete more effectively than us, and we may not be successful. We also may be unsuccessful in our research and product development efforts.</w:t>
      </w:r>
    </w:p>
    <w:p>
      <w:pPr>
        <w:pStyle w:val="TextBody"/>
        <w:bidi w:val="0"/>
        <w:jc w:val="both"/>
        <w:rPr>
          <w:rFonts w:ascii="Times New Roman" w:hAnsi="Times New Roman"/>
          <w:color w:val="000000"/>
          <w:sz w:val="20"/>
        </w:rPr>
      </w:pPr>
      <w:r>
        <w:rPr>
          <w:rFonts w:ascii="Times New Roman" w:hAnsi="Times New Roman"/>
          <w:color w:val="000000"/>
          <w:sz w:val="20"/>
        </w:rPr>
        <w:t>As we develop and commercialize our AI/ML Software Platform, we may become subject to a variety of existing or new laws and regulations in the United States and international jurisdictions, including in the areas of privacy, security, safety, competition and consumer protection, which may delay or impede the development of our AI/ML Software Platform, increase our operating costs, require significant management time and attention or otherwise harm our business. As a result of these or other factors, our product strategy may not be successful in the foreseeable future, or at all, which could adversely affect our business, reputation, or financial results.</w:t>
      </w:r>
    </w:p>
    <w:p>
      <w:pPr>
        <w:pStyle w:val="TextBody"/>
        <w:bidi w:val="0"/>
        <w:jc w:val="both"/>
        <w:rPr>
          <w:rFonts w:ascii="Times New Roman" w:hAnsi="Times New Roman"/>
          <w:sz w:val="20"/>
        </w:rPr>
      </w:pPr>
      <w:r>
        <w:rPr>
          <w:rFonts w:ascii="Times New Roman" w:hAnsi="Times New Roman"/>
          <w:b/>
          <w:i/>
          <w:color w:val="000000"/>
          <w:sz w:val="20"/>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We are a development stage company, with no experience commercializing software products. Our projected financial and operating information reflect estimates of future performance and are based on multiple business, financial, technical and operational assumptions, including product strategy, timely hiring or retention of needed personnel, timing of commercial launch of our AI/ML Software Platform, the level of demand for our software platform, the size of our target markets, the performance of our software platform, the utilization of the platform, product pricing and the nature and length of the sales cycle. However, given our limited commercial experience, many of these assumptions may prove to be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 w:hAnsi="Times New Roman"/>
          <w:i/>
          <w:color w:val="000000"/>
          <w:sz w:val="20"/>
        </w:rPr>
        <w:t>Special Note Regarding Forward-Looking Statements</w:t>
      </w:r>
      <w:r>
        <w:rPr>
          <w:rFonts w:ascii="Times New Roman" w:hAnsi="Times New Roman"/>
          <w:color w:val="000000"/>
          <w:sz w:val="20"/>
        </w:rPr>
        <w:t xml:space="preserve">” </w:t>
      </w:r>
      <w:r>
        <w:rPr>
          <w:rFonts w:ascii="Times New Roman" w:hAnsi="Times New Roman"/>
          <w:i/>
          <w:color w:val="000000"/>
          <w:sz w:val="20"/>
        </w:rPr>
        <w:t xml:space="preserve">and </w:t>
      </w:r>
      <w:r>
        <w:rPr>
          <w:rFonts w:ascii="Times New Roman" w:hAnsi="Times New Roman"/>
          <w:color w:val="000000"/>
          <w:sz w:val="20"/>
        </w:rPr>
        <w:t>“</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yet to achieve positive operating cash flow, and our ability to generate positive cash flow is uncertain.</w:t>
      </w:r>
    </w:p>
    <w:p>
      <w:pPr>
        <w:pStyle w:val="TextBody"/>
        <w:bidi w:val="0"/>
        <w:jc w:val="both"/>
        <w:rPr>
          <w:rFonts w:ascii="Times New Roman" w:hAnsi="Times New Roman"/>
          <w:color w:val="000000"/>
          <w:sz w:val="20"/>
        </w:rPr>
      </w:pPr>
      <w:r>
        <w:rPr>
          <w:rFonts w:ascii="Times New Roman" w:hAnsi="Times New Roman"/>
          <w:color w:val="000000"/>
          <w:sz w:val="20"/>
        </w:rPr>
        <w:t>We had negative cash flow from operating activities of $76.6 million and $65.4 million for the years ended December 31, 2023 and 2022, respectively. We expect to continue to have negative cash flow from operating and investing activities for the foreseeable future as we expect to incur research and development, sales and marketing, and general and administrative expenses and make capital expenditures in our efforts to commercialize our AI/ML Software Platform, increase sales and engage in continuous development work. We may not achieve positive cash flow in the near future or at all. Our business also will at times require significant amounts of working capital to support the growth of additional products. An inability to generate positive cash flow for the near term may adversely affect our ability to raise capital for our business on reasonable terms, pursue our business objectives, diminish customer willingness to enter into transactions with us and have other adverse effects that may decrease our long-term viability.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no previous history or experience with commercializing software products and may not be able to do so efficiently or effectively or at all. We were unsuccessful in our efforts to commercialize the hardware technologies that we and our predecessor companies developed over the past several decades.</w:t>
      </w:r>
    </w:p>
    <w:p>
      <w:pPr>
        <w:pStyle w:val="TextBody"/>
        <w:bidi w:val="0"/>
        <w:jc w:val="both"/>
        <w:rPr>
          <w:rFonts w:ascii="Times New Roman" w:hAnsi="Times New Roman"/>
          <w:sz w:val="20"/>
        </w:rPr>
      </w:pPr>
      <w:r>
        <w:rPr>
          <w:rFonts w:ascii="Times New Roman" w:hAnsi="Times New Roman"/>
          <w:color w:val="000000"/>
          <w:sz w:val="20"/>
        </w:rPr>
        <w:t>We have no previous history or experience commercializing AI/ML software products or platforms and may not be able to do so efficiently or effectively or at all. Further, we have historically also been unsuccessful in our efforts to commercialize our hardware products. Moreover, commercialization may be delayed due to the challenges discussed under “</w:t>
      </w:r>
      <w:r>
        <w:rPr>
          <w:rFonts w:ascii="Times New Roman" w:hAnsi="Times New Roman"/>
          <w:i/>
          <w:color w:val="000000"/>
          <w:sz w:val="20"/>
        </w:rPr>
        <w:t>Commercialization of our AI/ML Software Platform may be delayed beyond our current expectations and therefore initial availability to customers and receipt of anticipated revenue could be delayed.</w:t>
      </w:r>
      <w:r>
        <w:rPr>
          <w:rFonts w:ascii="Times New Roman" w:hAnsi="Times New Roman"/>
          <w:color w:val="000000"/>
          <w:sz w:val="20"/>
        </w:rPr>
        <w:t xml:space="preserve">” A key element of our long-term business strategy involves sales, marketing, training, and customer service operations, including hiring personnel with the necessary experience. Managing and maintaining these operations is expensive and time consuming, and an inability to leverage such an organization effectively or at all could inhibit potential sales and the penetration and adoption of our AI/ML Software Platform into new markets. In addition, certain decisions we make regarding priorities and staffing in these areas in our efforts to responsibly manage our financial resources could have unintended negative effects on our revenue, such as by weakening the sales and marketing infrastructures or lowering the quality of customer service.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Commercialization of our AI/ML Software Platform may be delayed beyond our current expectations and therefore initial availability to customers and receipt of anticipated revenue could be delayed.</w:t>
      </w:r>
    </w:p>
    <w:p>
      <w:pPr>
        <w:pStyle w:val="TextBody"/>
        <w:bidi w:val="0"/>
        <w:jc w:val="both"/>
        <w:rPr>
          <w:rFonts w:ascii="Times New Roman" w:hAnsi="Times New Roman"/>
          <w:color w:val="000000"/>
          <w:sz w:val="20"/>
        </w:rPr>
      </w:pPr>
      <w:r>
        <w:rPr>
          <w:rFonts w:ascii="Times New Roman" w:hAnsi="Times New Roman"/>
          <w:color w:val="000000"/>
          <w:sz w:val="20"/>
        </w:rPr>
        <w:t xml:space="preserve">We are focusing our efforts on the development and commercialization of our AI/ML Software Platform. If product testing, production or customer use demonstrate that our AI/ML Software Platform does not deliver the performance, reliability, functionality and/or safety that we or our potential customers expect, commercial release and availability to customers may be delayed as we work to address the deficiencies. As a result of such delays, we may receive revenue later than expected or not at all if our potential customers decide to seek alternative solutions to our product, adversely affecting our results of operations and financial condition </w:t>
      </w:r>
    </w:p>
    <w:p>
      <w:pPr>
        <w:pStyle w:val="TextBody"/>
        <w:bidi w:val="0"/>
        <w:jc w:val="both"/>
        <w:rPr>
          <w:rFonts w:ascii="Times New Roman" w:hAnsi="Times New Roman"/>
          <w:color w:val="000000"/>
          <w:sz w:val="20"/>
        </w:rPr>
      </w:pPr>
      <w:r>
        <w:rPr>
          <w:rFonts w:ascii="Times New Roman" w:hAnsi="Times New Roman"/>
          <w:color w:val="000000"/>
          <w:sz w:val="20"/>
        </w:rPr>
        <w:t xml:space="preserve">Moreover, our current estimates for completion of our AI/ML Software Platform development efforts and the commencement of sales to potential customers are dependent in part on our ability to hire and retain qualified employees. In addition, we have seen a significant increase in personnel costs due to shortages of qualified personnel in the labor market and general inflationary pressures. Geopolitical events and macro-economic conditions, such as the continuing effects of the COVID-19 pandemic, the current conflicts between Russia and Ukraine and between Israel and Hamas, inflation and high interest rates, and responses thereto are also contributing to price increases. Over the past year we have experienced, and we continue to experience, these challenges, which have negatively impacted our product development schedules and progress. We expect these challenges to continue and, if they do and if we are unable to effectively mitigate their impact, it is likely that we will be unable to meet our currently expected timelines. </w:t>
      </w:r>
    </w:p>
    <w:p>
      <w:pPr>
        <w:pStyle w:val="TextBody"/>
        <w:bidi w:val="0"/>
        <w:jc w:val="both"/>
        <w:rPr>
          <w:rFonts w:ascii="Times New Roman" w:hAnsi="Times New Roman"/>
          <w:b/>
          <w:i/>
          <w:color w:val="000000"/>
          <w:sz w:val="20"/>
        </w:rPr>
      </w:pPr>
      <w:r>
        <w:rPr>
          <w:rFonts w:ascii="Times New Roman" w:hAnsi="Times New Roman"/>
          <w:b/>
          <w:i/>
          <w:color w:val="000000"/>
          <w:sz w:val="20"/>
        </w:rPr>
        <w:t>Our anticipated revenues are expected to be primarily derived from the development and licensing of our AI/ML Software Platform for the foreseeable future.</w:t>
      </w:r>
    </w:p>
    <w:p>
      <w:pPr>
        <w:pStyle w:val="TextBody"/>
        <w:bidi w:val="0"/>
        <w:jc w:val="both"/>
        <w:rPr>
          <w:rFonts w:ascii="Times New Roman" w:hAnsi="Times New Roman"/>
          <w:color w:val="000000"/>
          <w:sz w:val="20"/>
        </w:rPr>
      </w:pPr>
      <w:r>
        <w:rPr>
          <w:rFonts w:ascii="Times New Roman" w:hAnsi="Times New Roman"/>
          <w:color w:val="000000"/>
          <w:sz w:val="20"/>
        </w:rPr>
        <w:t xml:space="preserve">If we are successful in commercializing our AI/ML Software Platform, our revenue will be concentrated in this product for the foreseeable future. We will need to continue to develop our platform and establish and grow our customer base to diversify our revenue and customers. To the extent our AI/ML Software Platform does not meet customer expectations, or cannot be completed or released on its projected timelines and in line with cost targets, our future revenue and operating results will be adversely affected. </w:t>
      </w:r>
    </w:p>
    <w:p>
      <w:pPr>
        <w:pStyle w:val="TextBody"/>
        <w:bidi w:val="0"/>
        <w:jc w:val="both"/>
        <w:rPr>
          <w:rFonts w:ascii="Times New Roman" w:hAnsi="Times New Roman"/>
          <w:b/>
          <w:i/>
          <w:color w:val="000000"/>
          <w:sz w:val="20"/>
        </w:rPr>
      </w:pPr>
      <w:r>
        <w:rPr>
          <w:rFonts w:ascii="Times New Roman" w:hAnsi="Times New Roman"/>
          <w:b/>
          <w:i/>
          <w:color w:val="000000"/>
          <w:sz w:val="20"/>
        </w:rPr>
        <w:t>Our AI/ML Software Platform is still under development and any issues in the development and use of our platform may result in reputational harm or liability.</w:t>
      </w:r>
    </w:p>
    <w:p>
      <w:pPr>
        <w:pStyle w:val="TextBody"/>
        <w:bidi w:val="0"/>
        <w:jc w:val="both"/>
        <w:rPr>
          <w:rFonts w:ascii="Times New Roman" w:hAnsi="Times New Roman"/>
          <w:sz w:val="20"/>
        </w:rPr>
      </w:pPr>
      <w:r>
        <w:rPr>
          <w:rFonts w:ascii="Times New Roman" w:hAnsi="Times New Roman"/>
          <w:color w:val="000000"/>
          <w:sz w:val="20"/>
        </w:rPr>
        <w:t>We are in the process of developing our AI/ML Software Platform, any issues in the development of our platform may result in reputational harm or liability. As with many innovations, AI presents risks, challenges, and unintended consequences that could affect its adoption, and therefore our business. AI algorithms and training methodologies may be flawed. Ineffective or inadequate AI development or deployment practices by us or others could result in incidents that impair the acceptance of AI solutions or cause harm to individuals or society. These deficiencies and other failures of AI systems could subject us to competitive harm, regulatory action, legal liability, and brand or reputational harm. If we enable or offer AI solutions that are controversial because of their impact on human rights, privacy, employment, or other social, economic, or political issues, we may experience competitive, brand, or reputational harm or legal and/or regulatory action. Further, incorporating AI gives rise to litigation risk and risk of non-compliance and unknown cost of compliance, as AI is an emerging technology for which the legal and regulatory landscape is not fully developed. See "</w:t>
      </w:r>
      <w:r>
        <w:rPr>
          <w:rFonts w:ascii="Times New Roman" w:hAnsi="Times New Roman"/>
          <w:i/>
          <w:color w:val="000000"/>
          <w:sz w:val="20"/>
        </w:rPr>
        <w:t>Issues in the development and use of AI, combined with an uncertain regulatory environment, may result in reputational harm, liability or other adverse consequences to our business operations</w:t>
      </w:r>
      <w:r>
        <w:rPr>
          <w:rFonts w:ascii="Times New Roman" w:hAnsi="Times New Roman"/>
          <w:color w:val="000000"/>
          <w:sz w:val="20"/>
        </w:rPr>
        <w:t>."</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With our AI/ML Software Platform still under development, customer trials and discussions may not result in purchases.</w:t>
      </w:r>
    </w:p>
    <w:p>
      <w:pPr>
        <w:pStyle w:val="TextBody"/>
        <w:bidi w:val="0"/>
        <w:jc w:val="both"/>
        <w:rPr>
          <w:rFonts w:ascii="Times New Roman" w:hAnsi="Times New Roman"/>
          <w:color w:val="000000"/>
          <w:sz w:val="20"/>
        </w:rPr>
      </w:pPr>
      <w:r>
        <w:rPr>
          <w:rFonts w:ascii="Times New Roman" w:hAnsi="Times New Roman"/>
          <w:color w:val="000000"/>
          <w:sz w:val="20"/>
        </w:rPr>
        <w:t>Our AI/ML Software Platform is still under development. At present, we have revenue generating contracts with U.S. government customers for the development and testing of AI/ML software, but no commercial customers. Our AI/ML Software Platform contains advanced software and control technologies that we have developed over many years. The design of our software product is significantly influenced by feedback from potential customers and reflects the needs they express. Even if we are able to successfully incorporate that feedback into our software platform, customers who initially expressed an interest in our software product during the design phase may not ever purchase the software. If we cannot commercialize our AI/ML Software Platform on our expected schedule, if the AI/ML Software Platform does not offer our potential customers the features, functionality and return on investment that they expect, and/or if potential customers are not willing to pay for our software products at the rates that we currently expect, our ability to generate material revenues will be materially impaired.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limited knowledge of the customer testing that will be required for customers to adopt our software platform. As a result, customer testing may take longer than anticipated by us, and we may not be able to provide such testing to the satisfaction of prospective customers, which could result in longer sales cycles and fewer purchases than anticipated. We may not be able to adapt our platform to reflect customer feedback successfully or at all. If customers who initially express an interest in our software platform and influenced its design ultimately do not license our AI/ML Software platform, or if they adopt a competitors’ technology, our business, prospects, financial condition and operating results would be adversely affected.</w:t>
      </w:r>
    </w:p>
    <w:p>
      <w:pPr>
        <w:pStyle w:val="TextBody"/>
        <w:bidi w:val="0"/>
        <w:jc w:val="both"/>
        <w:rPr>
          <w:rFonts w:ascii="Times New Roman" w:hAnsi="Times New Roman"/>
          <w:color w:val="000000"/>
          <w:sz w:val="20"/>
        </w:rPr>
      </w:pPr>
      <w:r>
        <w:rPr>
          <w:rFonts w:ascii="Times New Roman" w:hAnsi="Times New Roman"/>
          <w:color w:val="000000"/>
          <w:sz w:val="20"/>
        </w:rPr>
        <w:t>In addition, to build and maintain our business, we must maintain confidence among customers and potential customers in our AI/ML Software Platform, long-term financial viability and business prospects. Maintaining such confidence may be particularly complicated by certain factors including those that are largely outside of our control, such as our limited commercial software experience, customer unfamiliarity with our software, any delays in development to meet demand, product performance, competition and uncertainty regarding the future of AI and robotics. If we do not generate sufficient license revenue for our software platform, our business, prospects, financial condition and operating results would be materially and adversely affected. Further, if investors, analysts, rating agencies and other third parties are not confident in our AI/ML Software Platform, our ability to commercialize the platform, our financial viability, or our business prospects, we may not be able to raise any needed funding which would materially and adversely affect our financial condition and prospects.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our target markets and the robotics industry do not continue to develop as we anticipate or if potential customers do not adopt our AI/ML Software Platform, our sales will not grow as quickly as expected, or at all, and our business, operating results and financial condition would be harmed.</w:t>
      </w:r>
    </w:p>
    <w:p>
      <w:pPr>
        <w:pStyle w:val="TextBody"/>
        <w:bidi w:val="0"/>
        <w:jc w:val="both"/>
        <w:rPr>
          <w:rFonts w:ascii="Times New Roman" w:hAnsi="Times New Roman"/>
          <w:color w:val="000000"/>
          <w:sz w:val="20"/>
        </w:rPr>
      </w:pPr>
      <w:r>
        <w:rPr>
          <w:rFonts w:ascii="Times New Roman" w:hAnsi="Times New Roman"/>
          <w:color w:val="000000"/>
          <w:sz w:val="20"/>
        </w:rPr>
        <w:t>The market for our AI/ML Software Platform and applications similar to the ones we are developing is relatively new and evolving. We are developing our AI/ML Software Platform to respond to an increasingly global and complex business environment with rigorous regulatory standards. If organizations do not allocate their budgets as we expect or if we do not succeed in convincing potential customers to license our AI/ML Software Platform, our sales might not grow as quickly as anticipated, or at all. Economic uncertainty or future deterioration in general economic conditions might also cause our customers to cut or delay their spending, and such cuts might disproportionately affect businesses like ours to the extent customers view our AI/ML Software Platform as too costly or as discretionary. Moreover, market acceptance of our AI/ML Software Platform is critical to our continued success. Even if the market grows as expected, if potential customers do not adopt our AI/ML Software Platform, our business, operating results, financial condition and growth prospects will be materially and adversely affected. If we are not able to generate material revenues from our AI/ML Software Platform before we exhaust our financial resources, we may need to cease business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If we are unable to successfully introduce and implement enhancements, new features or modifications to our AI/ML Software Platform, our business would be harmed.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we are unable to successfully introduce and implement new applications, enhancements or features, or fail to develop new applications that achieve market acceptance or that keep pace with rapid technological developments, our business, operating results, financial condition and growth prospects would be adversely affected. The success of enhancements and new applications depend on several factors, including timely completion, introduction and market acceptance. </w:t>
      </w:r>
    </w:p>
    <w:p>
      <w:pPr>
        <w:pStyle w:val="TextBody"/>
        <w:bidi w:val="0"/>
        <w:jc w:val="both"/>
        <w:rPr>
          <w:rFonts w:ascii="Times New Roman" w:hAnsi="Times New Roman"/>
          <w:color w:val="000000"/>
          <w:sz w:val="20"/>
        </w:rPr>
      </w:pPr>
      <w:r>
        <w:rPr>
          <w:rFonts w:ascii="Times New Roman" w:hAnsi="Times New Roman"/>
          <w:color w:val="000000"/>
          <w:sz w:val="20"/>
        </w:rPr>
        <w:t>We must continue to meet changing expectations and requirements of our customers. Any failure of our platform to operate effectively with future software, such as third-party robotic operating systems, and technologies or to evolve and scale to address the changing needs of our customers could reduce the demand for our platform or result in customer dissatisfaction. Further, uncertainties about the timing and nature of new software or technologies, or modifications to our platform or existing software or technologies, could increase our research and development expenses. If we are not successful in developing modifications and enhancements to our platform or if we fail to introduce new applications to market in a timely fashion, our AI/ML Software Platform might become less marketable, less competitive or obsolete, our revenue growth might be significantly impaired and our business, operating results and financial condition could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fail to attract or retain customers at sufficient rates or at all.</w:t>
      </w:r>
    </w:p>
    <w:p>
      <w:pPr>
        <w:pStyle w:val="TextBody"/>
        <w:bidi w:val="0"/>
        <w:jc w:val="both"/>
        <w:rPr>
          <w:rFonts w:ascii="Times New Roman" w:hAnsi="Times New Roman"/>
          <w:color w:val="000000"/>
          <w:sz w:val="20"/>
        </w:rPr>
      </w:pPr>
      <w:r>
        <w:rPr>
          <w:rFonts w:ascii="Times New Roman" w:hAnsi="Times New Roman"/>
          <w:color w:val="000000"/>
          <w:sz w:val="20"/>
        </w:rPr>
        <w:t>We have no previous history or experience commercializing software products and may not be able to do so efficiently or effectively or at all. To create and grow our customer base, we must license our software to new customers, which we may not be able to do in sufficient numbers or at all. Even if we are able to attract customers, these customers may not maintain a high level of commitment to our software platform. In addition, we will incur marketing, sales or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We expect our AI/ML Software Platform to be used with robots operating in a wide variety of environments and for a broad range of complex uses. Our success depends on our ability, and the ability of our customers, to implement our AI/ML Software Platform successfully in these environments. Customer retention will also be largely dependent on the quality and effectiveness of our customer service operations, which may be handled internally by our personnel and also by third-party service providers. We expect that we will need to often assist our customers in implementing our AI/ML Software Platform. If we or our customers are unable to implement our AI/ML Software Platform successfully, or are unable to do so in a timely manner, inadequate performance might result and customer perceptions of our platform and company might be impaired, our reputation and brand might suffer, we may face legal claims, customers might choose not to renew or expand the use of our platform and we might lose opportunities for additional sales.</w:t>
      </w:r>
    </w:p>
    <w:p>
      <w:pPr>
        <w:pStyle w:val="TextBody"/>
        <w:bidi w:val="0"/>
        <w:jc w:val="both"/>
        <w:rPr>
          <w:rFonts w:ascii="Times New Roman" w:hAnsi="Times New Roman"/>
          <w:b/>
          <w:i/>
          <w:color w:val="000000"/>
          <w:sz w:val="20"/>
        </w:rPr>
      </w:pPr>
      <w:r>
        <w:rPr>
          <w:rFonts w:ascii="Times New Roman" w:hAnsi="Times New Roman"/>
          <w:b/>
          <w:i/>
          <w:color w:val="000000"/>
          <w:sz w:val="20"/>
        </w:rPr>
        <w:t>We do not have any history with our licensing sales model.</w:t>
      </w:r>
    </w:p>
    <w:p>
      <w:pPr>
        <w:pStyle w:val="TextBody"/>
        <w:bidi w:val="0"/>
        <w:jc w:val="both"/>
        <w:rPr>
          <w:rFonts w:ascii="Times New Roman" w:hAnsi="Times New Roman"/>
          <w:color w:val="000000"/>
          <w:sz w:val="20"/>
        </w:rPr>
      </w:pPr>
      <w:r>
        <w:rPr>
          <w:rFonts w:ascii="Times New Roman" w:hAnsi="Times New Roman"/>
          <w:color w:val="000000"/>
          <w:sz w:val="20"/>
        </w:rPr>
        <w:t>We have no experience with licensing software as a business model. The success of our strategy to build recurring revenue streams through software licenses depends on our ability to successfully market our software platform and the benefits of our product to customers and to successfully develop a network of ongoing customers that maintain or renew their licenses, pay for upgrades, license additional functionality, or expand the use of the software within their robotic systems. The likelihood of our success must be considered in light of these risks, and our license model may not prove successful.</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our competitors may offer different pricing models that may be more attractive to potential customers. We may be required to adjust our sales model in response to these changes, which could adversely affect our financial performance. </w:t>
      </w:r>
    </w:p>
    <w:p>
      <w:pPr>
        <w:pStyle w:val="TextBody"/>
        <w:bidi w:val="0"/>
        <w:jc w:val="both"/>
        <w:rPr>
          <w:rFonts w:ascii="Times New Roman" w:hAnsi="Times New Roman"/>
          <w:b/>
          <w:i/>
          <w:color w:val="000000"/>
          <w:sz w:val="20"/>
        </w:rPr>
      </w:pPr>
      <w:r>
        <w:rPr>
          <w:rFonts w:ascii="Times New Roman" w:hAnsi="Times New Roman"/>
          <w:b/>
          <w:i/>
          <w:color w:val="000000"/>
          <w:sz w:val="20"/>
        </w:rPr>
        <w:t>Important assumptions about market demand, pricing, adoption rates and sales cycles for our future software products may be inaccurate.</w:t>
      </w:r>
    </w:p>
    <w:p>
      <w:pPr>
        <w:pStyle w:val="TextBody"/>
        <w:bidi w:val="0"/>
        <w:jc w:val="both"/>
        <w:rPr>
          <w:rFonts w:ascii="Times New Roman" w:hAnsi="Times New Roman"/>
          <w:color w:val="000000"/>
          <w:sz w:val="20"/>
        </w:rPr>
      </w:pPr>
      <w:r>
        <w:rPr>
          <w:rFonts w:ascii="Times New Roman" w:hAnsi="Times New Roman"/>
          <w:color w:val="000000"/>
          <w:sz w:val="20"/>
        </w:rPr>
        <w:t xml:space="preserve">Our decision to pivot our business strategy to focus on the development of our commercial AI/ML Software Platform was based in part on our estimates of the potential addressable market, pricing, adoption rates and sales cycles for our platform. However, the market demand for our software platform is unproven, and important assumptions about the characteristics of targeted markets, pricing and sales cycles may be inaccurate. </w:t>
      </w:r>
    </w:p>
    <w:p>
      <w:pPr>
        <w:pStyle w:val="TextBody"/>
        <w:bidi w:val="0"/>
        <w:jc w:val="left"/>
        <w:rPr>
          <w:rFonts w:ascii="Times New Roman" w:hAnsi="Times New Roman"/>
          <w:color w:val="000000"/>
          <w:sz w:val="20"/>
        </w:rPr>
      </w:pPr>
      <w:r>
        <w:rPr>
          <w:rFonts w:ascii="Times New Roman" w:hAnsi="Times New Roman"/>
          <w:color w:val="000000"/>
          <w:sz w:val="20"/>
        </w:rPr>
        <w:t>Given the evolving nature of the markets in which we operate, it is difficult to predict customer demand or adoption rates for our software platform or the future growth of the markets we target. If one or more of the targeted markets experience a shift in customer demand, whether due to new solutions that better address customer needs or otherwise, our software platform may not compete as effectively, if at all, and it may not be fully developed into a commercial software product. If customer demand does not develop as expected, or if we do not accurately forecast pricing, adoption rates and sales cycles for our software platform, our business, results of operations and financial condition will be adversely affected, perhaps materially.</w:t>
      </w:r>
    </w:p>
    <w:p>
      <w:pPr>
        <w:pStyle w:val="TextBody"/>
        <w:bidi w:val="0"/>
        <w:jc w:val="both"/>
        <w:rPr>
          <w:rFonts w:ascii="Times New Roman" w:hAnsi="Times New Roman"/>
          <w:b/>
          <w:i/>
          <w:color w:val="000000"/>
          <w:sz w:val="20"/>
        </w:rPr>
      </w:pPr>
      <w:r>
        <w:rPr>
          <w:rFonts w:ascii="Times New Roman" w:hAnsi="Times New Roman"/>
          <w:b/>
          <w:i/>
          <w:color w:val="000000"/>
          <w:sz w:val="20"/>
        </w:rPr>
        <w:t>The benefits of our AI/ML Software Platform to customers and projected return on investment have not been substantiated through customer use.</w:t>
      </w:r>
    </w:p>
    <w:p>
      <w:pPr>
        <w:pStyle w:val="TextBody"/>
        <w:bidi w:val="0"/>
        <w:jc w:val="both"/>
        <w:rPr>
          <w:rFonts w:ascii="Times New Roman" w:hAnsi="Times New Roman"/>
          <w:color w:val="000000"/>
          <w:sz w:val="20"/>
        </w:rPr>
      </w:pPr>
      <w:r>
        <w:rPr>
          <w:rFonts w:ascii="Times New Roman" w:hAnsi="Times New Roman"/>
          <w:color w:val="000000"/>
          <w:sz w:val="20"/>
        </w:rPr>
        <w:t>Our commercial AI/ML Software Platform is under development and has not been commercially used by customers. Our software platform may not perform consistent with customers’ expectations or consistent with other products which may be or may become available. Any failure of our software platform to perform as expected could harm our reputation and result in adverse publicity, lost revenue, license cancellation, harm to our brand, delays in availability, product liability claims and significant warranty and other expenses and could have a material adverse impact on our business, prospects, financial condition and operating results.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currently intend to target many customers that are large businesses with substantial negotiating power, exacting product standards and potentially competitive internal solutions. If we are unable to sell our software product to these customers, our prospects and results of operations will be adversely affected.</w:t>
      </w:r>
    </w:p>
    <w:p>
      <w:pPr>
        <w:pStyle w:val="TextBody"/>
        <w:bidi w:val="0"/>
        <w:jc w:val="both"/>
        <w:rPr>
          <w:rFonts w:ascii="Times New Roman" w:hAnsi="Times New Roman"/>
          <w:color w:val="000000"/>
          <w:sz w:val="20"/>
        </w:rPr>
      </w:pPr>
      <w:r>
        <w:rPr>
          <w:rFonts w:ascii="Times New Roman" w:hAnsi="Times New Roman"/>
          <w:color w:val="000000"/>
          <w:sz w:val="20"/>
        </w:rPr>
        <w:t>We expect that many of our potential customers will be large businesses with substantial negotiating power relative to us and, in some instances, may have internal solutions that are competitive to our platform. These large businesses also have significant development resources, which may allow them to acquire or develop independently, or in partnership with others, competitive technologies. Meeting the technical requirements and securing binding commitments from any of these businesses will require a substantial investment of our time and resources. We may be unable to secure customers from these or other businesses or we may be unable to generate meaningful revenue from these key potential customers. If our software platform is not selected by these large businesses or if these businesses develop or acquire competitive technology, it may have a material adverse effect on our business, prospects, financial condition and operating results.</w:t>
      </w:r>
    </w:p>
    <w:p>
      <w:pPr>
        <w:pStyle w:val="TextBody"/>
        <w:bidi w:val="0"/>
        <w:jc w:val="both"/>
        <w:rPr>
          <w:rFonts w:ascii="Times New Roman" w:hAnsi="Times New Roman"/>
          <w:b/>
          <w:i/>
          <w:color w:val="000000"/>
          <w:sz w:val="20"/>
        </w:rPr>
      </w:pPr>
      <w:r>
        <w:rPr>
          <w:rFonts w:ascii="Times New Roman" w:hAnsi="Times New Roman"/>
          <w:b/>
          <w:i/>
          <w:color w:val="000000"/>
          <w:sz w:val="20"/>
        </w:rPr>
        <w:t>A portion of our current revenue is currently and will continue to be generated by contracts with government entities, which make us subject to a number of uncertainties, challenges and risks.</w:t>
      </w:r>
    </w:p>
    <w:p>
      <w:pPr>
        <w:pStyle w:val="TextBody"/>
        <w:bidi w:val="0"/>
        <w:jc w:val="both"/>
        <w:rPr>
          <w:rFonts w:ascii="Times New Roman" w:hAnsi="Times New Roman"/>
          <w:sz w:val="20"/>
        </w:rPr>
      </w:pPr>
      <w:r>
        <w:rPr>
          <w:rFonts w:ascii="Times New Roman" w:hAnsi="Times New Roman"/>
          <w:color w:val="000000"/>
          <w:sz w:val="20"/>
        </w:rPr>
        <w:t>Contracts with government entities are subject to a number of risks. Such relationships can be highly competitive, expensive and time-consuming, often requiring significant upfront time and expense without any assurance that these efforts will generate revenue. In the event that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Government entities may have statutory, contractual or other legal rights to terminate our contracts for convenience or default. Also, see “</w:t>
      </w:r>
      <w:r>
        <w:rPr>
          <w:rFonts w:ascii="Times New Roman" w:hAnsi="Times New Roman"/>
          <w:i/>
          <w:color w:val="000000"/>
          <w:sz w:val="20"/>
        </w:rPr>
        <w:t>We are subject to laws, regulations and contractual provisions as a government contractor or subcontractor, which may pose increased risk of potential liability and expenses related thereto, which could have a material adverse effect on our business, operating results and financial condition</w:t>
      </w:r>
      <w:r>
        <w:rPr>
          <w:rFonts w:ascii="Times New Roman" w:hAnsi="Times New Roman"/>
          <w:color w:val="000000"/>
          <w:sz w:val="20"/>
        </w:rPr>
        <w:t>”.</w:t>
      </w:r>
    </w:p>
    <w:p>
      <w:pPr>
        <w:pStyle w:val="TextBody"/>
        <w:bidi w:val="0"/>
        <w:jc w:val="both"/>
        <w:rPr>
          <w:rFonts w:ascii="Times New Roman" w:hAnsi="Times New Roman"/>
          <w:b/>
          <w:i/>
          <w:color w:val="000000"/>
          <w:sz w:val="20"/>
        </w:rPr>
      </w:pPr>
      <w:r>
        <w:rPr>
          <w:rFonts w:ascii="Times New Roman" w:hAnsi="Times New Roman"/>
          <w:b/>
          <w:i/>
          <w:color w:val="000000"/>
          <w:sz w:val="20"/>
        </w:rPr>
        <w:t>We operate in a competitive industry that is subject to rapid technological change, and we expect competition to increase. Our products may not be competitive with other alternatives.</w:t>
      </w:r>
    </w:p>
    <w:p>
      <w:pPr>
        <w:pStyle w:val="TextBody"/>
        <w:bidi w:val="0"/>
        <w:jc w:val="both"/>
        <w:rPr>
          <w:rFonts w:ascii="Times New Roman" w:hAnsi="Times New Roman"/>
          <w:color w:val="000000"/>
          <w:sz w:val="20"/>
        </w:rPr>
      </w:pPr>
      <w:r>
        <w:rPr>
          <w:rFonts w:ascii="Times New Roman" w:hAnsi="Times New Roman"/>
          <w:color w:val="000000"/>
          <w:sz w:val="20"/>
        </w:rPr>
        <w:t>The AI/ML and robotics industries are subject to rapid technological change, and we expect competition to increase in the future. Our research and development efforts may be unable to keep up with changes in technology or its alternatives and, as a result, our competitiveness may suffer. Developments in alternative technologies or solutions may materially and adversely affect our competitiveness in ways we do not currently anticipate. While we plan to upgrade and adapt our software platform as we or others develop new technology, any failure by us to develop new or enhanced technologies or processes, or successfully react to changes or advances in existing technologies, could delay our development and introduction of new and enhanced products, which could result in the loss of competitiveness, decreased revenue and a loss of market share to competitors. We believe our AI/ML Software Platform will compete (both directly and indirectly) with companies such as Bright Machines, C3.ai, Dexterity, Gray Matter Robotics, Intrinsic, Mujin, Olis Robotics, Rapid Robotics, and Ready Robotics. We believe that our competitors are seeking to solve the same or similar industry challenges as we are, but that most are focused on a particular aspect of the functionality of our AI Software Platform rather than a fully competitive solution.</w:t>
      </w:r>
    </w:p>
    <w:p>
      <w:pPr>
        <w:pStyle w:val="TextBody"/>
        <w:bidi w:val="0"/>
        <w:jc w:val="both"/>
        <w:rPr>
          <w:rFonts w:ascii="Times New Roman" w:hAnsi="Times New Roman"/>
          <w:color w:val="000000"/>
          <w:sz w:val="20"/>
        </w:rPr>
      </w:pPr>
      <w:r>
        <w:rPr>
          <w:rFonts w:ascii="Times New Roman" w:hAnsi="Times New Roman"/>
          <w:color w:val="000000"/>
          <w:sz w:val="20"/>
        </w:rPr>
        <w:t xml:space="preserve">While we view industrial robotics manufacturers, large system integrators such as Fanuc, KUKA, ABB, Yasakawa, Honeywell, Reply, and Rockwell Automation, as potential target customers and/or channel partners for our software platform, we also recognize that these companies could also emerge as formidable competitors through their own internal development efforts or future technology partnerships with and acquisitions of our direct competitors. They may bring their robust customer relationships, channels and significant financial resources to help accelerate the market viability of one of our direct or indirect competitors. </w:t>
      </w:r>
    </w:p>
    <w:p>
      <w:pPr>
        <w:pStyle w:val="TextBody"/>
        <w:bidi w:val="0"/>
        <w:jc w:val="both"/>
        <w:rPr>
          <w:rFonts w:ascii="Times New Roman" w:hAnsi="Times New Roman"/>
          <w:color w:val="000000"/>
          <w:sz w:val="20"/>
        </w:rPr>
      </w:pPr>
      <w:r>
        <w:rPr>
          <w:rFonts w:ascii="Times New Roman" w:hAnsi="Times New Roman"/>
          <w:color w:val="000000"/>
          <w:sz w:val="20"/>
        </w:rPr>
        <w:t>Many of our competitors and potential competitors have products that are commercially available and/or in development. We expect some products currently in development to become commercially available in the next few years. Further, our products may not be competitive with other alternatives.</w:t>
      </w:r>
    </w:p>
    <w:p>
      <w:pPr>
        <w:pStyle w:val="TextBody"/>
        <w:bidi w:val="0"/>
        <w:jc w:val="both"/>
        <w:rPr>
          <w:rFonts w:ascii="Times New Roman" w:hAnsi="Times New Roman"/>
          <w:color w:val="000000"/>
          <w:sz w:val="20"/>
        </w:rPr>
      </w:pPr>
      <w:r>
        <w:rPr>
          <w:rFonts w:ascii="Times New Roman" w:hAnsi="Times New Roman"/>
          <w:color w:val="000000"/>
          <w:sz w:val="20"/>
        </w:rPr>
        <w:t>Our competitor base may change or expand as we continue to develop and commercialize our software platform in the future. Competitors may develop products that utilize advanced technology similar to ours (such as computer vision, AI and ML) in a more effective way, or new technologies or products that provide superior results to customers or are less expensive than our software platform. Our technologies and software platform could be rendered obsolete by such developments.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software product, particularly if they compete with or have the potential to compete with, or diminish the need/utilization of software product or technologies provided by any of our competitors with whom they may have an existing relationship. If we are not able to compete effectively, our business, prospects, financial condition and operating results will be adversely affected.</w:t>
      </w:r>
    </w:p>
    <w:p>
      <w:pPr>
        <w:pStyle w:val="TextBody"/>
        <w:bidi w:val="0"/>
        <w:jc w:val="left"/>
        <w:rPr>
          <w:rFonts w:ascii="Times New Roman" w:hAnsi="Times New Roman"/>
          <w:color w:val="000000"/>
          <w:sz w:val="20"/>
        </w:rPr>
      </w:pPr>
      <w:r>
        <w:rPr>
          <w:rFonts w:ascii="Times New Roman" w:hAnsi="Times New Roman"/>
          <w:color w:val="000000"/>
          <w:sz w:val="20"/>
        </w:rPr>
        <w:t>In addition, because we operate in new and evolving markets, the actions of our competitors could adversely affect our business. Adverse events such as product defects or legal claims with respect to competing or similar products could cause reputational harm to the AI/ML software or robotics markets as a whole and, accordingly, our business.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not be able to complete or enhance our product offerings through our research and development efforts.</w:t>
      </w:r>
    </w:p>
    <w:p>
      <w:pPr>
        <w:pStyle w:val="TextBody"/>
        <w:bidi w:val="0"/>
        <w:jc w:val="both"/>
        <w:rPr>
          <w:rFonts w:ascii="Times New Roman" w:hAnsi="Times New Roman"/>
          <w:color w:val="000000"/>
          <w:sz w:val="20"/>
        </w:rPr>
      </w:pPr>
      <w:r>
        <w:rPr>
          <w:rFonts w:ascii="Times New Roman" w:hAnsi="Times New Roman"/>
          <w:color w:val="000000"/>
          <w:sz w:val="20"/>
        </w:rPr>
        <w:t>In order to produce a commercial version of our AI/ML Software Platform, we need to complete our development efforts. Even after introduction of a commercial version of our platform, we will also likely need to continue to advance and evolve the product in response to the evolving demands of our customers in the various industries we expect to serve. Our software is in the early stages of development and commercialization. We will incur significant additional product development efforts and expenses, and we may not be successful in commercializing or marketing our software platform at all or within our currently expected timelines or available resources.</w:t>
      </w:r>
    </w:p>
    <w:p>
      <w:pPr>
        <w:pStyle w:val="TextBody"/>
        <w:bidi w:val="0"/>
        <w:jc w:val="left"/>
        <w:rPr>
          <w:rFonts w:ascii="Times New Roman" w:hAnsi="Times New Roman"/>
          <w:color w:val="000000"/>
          <w:sz w:val="20"/>
        </w:rPr>
      </w:pPr>
      <w:r>
        <w:rPr>
          <w:rFonts w:ascii="Times New Roman" w:hAnsi="Times New Roman"/>
          <w:color w:val="000000"/>
          <w:sz w:val="20"/>
        </w:rPr>
        <w:t>In addition, notwithstanding our market research efforts, our AI/ML Software Platform may not be accepted by customers. The success of the AI/ML Software Platform will depend on numerous factors, including our ability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attract, recruit and retain qualified personnel, including engineers;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identify and design the preferred product features for our target customers and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 and introduce the platform in a timely manner with the needed functionality;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adequately protect our intellectual property and avoid infringing upon the intellectual property rights of third parties;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demonstrate the flexibility, productivity, capabilities and efficiency benefits of our software product.</w:t>
      </w:r>
    </w:p>
    <w:p>
      <w:pPr>
        <w:pStyle w:val="TextBody"/>
        <w:bidi w:val="0"/>
        <w:jc w:val="both"/>
        <w:rPr>
          <w:rFonts w:ascii="Times New Roman" w:hAnsi="Times New Roman"/>
          <w:color w:val="000000"/>
          <w:sz w:val="20"/>
        </w:rPr>
      </w:pPr>
      <w:r>
        <w:rPr>
          <w:rFonts w:ascii="Times New Roman" w:hAnsi="Times New Roman"/>
          <w:color w:val="000000"/>
          <w:sz w:val="20"/>
        </w:rPr>
        <w:t>We expect to manage our product development efforts for our AI/ML Software Platform through the development of a pre-commercial product for testing and evaluation. We also make iterative improvements throughout the development process. If we fail to adequately communicate to customers product improvements throughout the development process, or if customer feedback is not adequately reflected in our product improvements, customers may not be persuaded of the value of our software platform. If we fail to generate demand by developing a software platform that incorporates features desired by customers, we may fail to generate revenue sufficient to achieve or maintain profitability. We have in the past experienced with respect to our hardware products and may in the future experience delays in various phases of product development, including during research and development, limited release testing, and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our software platform, or to purchase competitors’ products. Even if we are able to successfully develop our software platform when anticipated, we may not produce sales in excess of the costs of development, and our software platform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or purchase our software platform, which would adversely affect our business, prospects, financial condition and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Operations &amp; Growth</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Real or perceived design flaws, errors, defects, glitches, bugs or malfunctions (collectively, “Defects”) in our AI/ML Software Platform, failure of our</w:t>
      </w:r>
      <w:r>
        <w:rPr>
          <w:rFonts w:ascii="Times New Roman" w:hAnsi="Times New Roman"/>
          <w:color w:val="000000"/>
          <w:sz w:val="20"/>
        </w:rPr>
        <w:t xml:space="preserve"> </w:t>
      </w:r>
      <w:r>
        <w:rPr>
          <w:rFonts w:ascii="Times New Roman" w:hAnsi="Times New Roman"/>
          <w:b/>
          <w:i/>
          <w:color w:val="000000"/>
          <w:sz w:val="20"/>
        </w:rPr>
        <w:t>software platform to perform as expected, connectivity issues or user errors can result in lower than expected return on investment for customers, damage to property, personal injury and significant safety concerns, each of which could materially and adversely affect our results of operations, financial condition or reputation.</w:t>
      </w:r>
    </w:p>
    <w:p>
      <w:pPr>
        <w:pStyle w:val="TextBody"/>
        <w:bidi w:val="0"/>
        <w:jc w:val="both"/>
        <w:rPr>
          <w:rFonts w:ascii="Times New Roman" w:hAnsi="Times New Roman"/>
          <w:color w:val="000000"/>
          <w:sz w:val="20"/>
        </w:rPr>
      </w:pPr>
      <w:r>
        <w:rPr>
          <w:rFonts w:ascii="Times New Roman" w:hAnsi="Times New Roman"/>
          <w:color w:val="000000"/>
          <w:sz w:val="20"/>
        </w:rPr>
        <w:t>The design, development and marketing of our AI/ML Software Platform involve certain inherent risks. Real or perceived Defects, connectivity issues, unanticipated use of our software platform, user errors or inadequate disclosure of risks relating to the use of our software platform, among others, can lead to injury, property damage or other adverse events. We plan to conduct extensive testing of our software platform, in some instances in collaboration with our customers, to ensure that any such issues can be identified and addressed in advance of commercial launch. However, we may not be able to identify all such issues or, if identified, efforts to address them may not be effective in all cases, and our product testing may not be adequate. We plan to conduct investigations, where applicable, to identify the cause or causes of incidents and, when appropriate, implement changes to testing protocols or to the systems and solutions to prevent such incidents from reoccurring. However, any implemented improvements may not fully prevent similar or other incidents in the future. Moreover, because of the size and weight of the third-party systems that may in the future use our AI/ML Software Platform, and the nature and variability of the environments in which we expect this software to be used, adverse events relating to the use of our software platform could include significant injuries or even death. To the extent that Defects or connectivity issues are discovered during or after the development of the platform, we may experience delays in the development and/or sale of the platform while the issues are resolved. If the issues cannot be adequately resolved, production of the platform may not occur and/or resume.</w:t>
      </w:r>
    </w:p>
    <w:p>
      <w:pPr>
        <w:pStyle w:val="TextBody"/>
        <w:bidi w:val="0"/>
        <w:jc w:val="both"/>
        <w:rPr>
          <w:rFonts w:ascii="Times New Roman" w:hAnsi="Times New Roman"/>
          <w:color w:val="000000"/>
          <w:sz w:val="20"/>
        </w:rPr>
      </w:pPr>
      <w:r>
        <w:rPr>
          <w:rFonts w:ascii="Times New Roman" w:hAnsi="Times New Roman"/>
          <w:color w:val="000000"/>
          <w:sz w:val="20"/>
        </w:rPr>
        <w:t>In addition, we may not be aware of design Defects until injury to person or property has occurred. Such adverse events could lead to safety alerts relating to our software platform (either voluntary or required by governmental authorities), and could result, in certain cases, in the removal of our software platform from the market. Defects could also result in negative publicity, damage to our reputation or, in the event of regulatory developments, delays in new product approvals.</w:t>
      </w:r>
    </w:p>
    <w:p>
      <w:pPr>
        <w:pStyle w:val="TextBody"/>
        <w:bidi w:val="0"/>
        <w:jc w:val="both"/>
        <w:rPr>
          <w:rFonts w:ascii="Times New Roman" w:hAnsi="Times New Roman"/>
          <w:color w:val="000000"/>
          <w:sz w:val="20"/>
        </w:rPr>
      </w:pPr>
      <w:r>
        <w:rPr>
          <w:rFonts w:ascii="Times New Roman" w:hAnsi="Times New Roman"/>
          <w:color w:val="000000"/>
          <w:sz w:val="20"/>
        </w:rPr>
        <w:t>Complex software may frequently experience errors, especially when first introduced. Our software may experience errors or performance problems in the future. A failure of any part of our AI/ML Software Platform could result in property damage, serious injury or even death. We plan to implement bug fixes and upgrades as part of our regular system maintenance, which may lead to system downtime. Even if we are able to implement the bug fixes and upgrades in a timely manner, customers and operators also may fail to install updates and fixes to the software for several reasons, including poor connectivity or inattention. Any such occurrence could cause delay in market acceptance of our software platform, damage to our reputation, increased service and warranty costs, product liability claims and loss of revenue.</w:t>
      </w:r>
    </w:p>
    <w:p>
      <w:pPr>
        <w:pStyle w:val="TextBody"/>
        <w:bidi w:val="0"/>
        <w:jc w:val="left"/>
        <w:rPr>
          <w:rFonts w:ascii="Times New Roman" w:hAnsi="Times New Roman"/>
          <w:color w:val="000000"/>
          <w:sz w:val="20"/>
        </w:rPr>
      </w:pPr>
      <w:r>
        <w:rPr>
          <w:rFonts w:ascii="Times New Roman" w:hAnsi="Times New Roman"/>
          <w:color w:val="000000"/>
          <w:sz w:val="20"/>
        </w:rPr>
        <w:t>We anticipate that in the ordinary course of business we may be subject to product liability claims alleging defects in the design of our software platform. A product liability claim, regardless of its merit or eventual outcome, could result in significant legal defense costs and high punitive damage payments, damage our reputation or require significant costs to redesign or fix our software platform. Although we maintain product liability insurance, the coverage is subject to deductibles and limitations, and may not be adequate to cover future claims.</w:t>
      </w:r>
    </w:p>
    <w:p>
      <w:pPr>
        <w:pStyle w:val="TextBody"/>
        <w:bidi w:val="0"/>
        <w:jc w:val="both"/>
        <w:rPr>
          <w:rFonts w:ascii="Times New Roman" w:hAnsi="Times New Roman"/>
          <w:b/>
          <w:i/>
          <w:color w:val="000000"/>
          <w:sz w:val="20"/>
        </w:rPr>
      </w:pPr>
      <w:r>
        <w:rPr>
          <w:rFonts w:ascii="Times New Roman" w:hAnsi="Times New Roman"/>
          <w:b/>
          <w:i/>
          <w:color w:val="000000"/>
          <w:sz w:val="20"/>
        </w:rPr>
        <w:t>Even if our AI/ML Software Platform performs properly and is used as intended, if personal injuries occur while operating third-party products that use our AI/ML software, we could be exposed to liability and our results of operations, financial condition and reputation may be adversely affected.</w:t>
      </w:r>
    </w:p>
    <w:p>
      <w:pPr>
        <w:pStyle w:val="TextBody"/>
        <w:bidi w:val="0"/>
        <w:jc w:val="both"/>
        <w:rPr>
          <w:rFonts w:ascii="Times New Roman" w:hAnsi="Times New Roman"/>
          <w:color w:val="000000"/>
          <w:sz w:val="20"/>
        </w:rPr>
      </w:pPr>
      <w:r>
        <w:rPr>
          <w:rFonts w:ascii="Times New Roman" w:hAnsi="Times New Roman"/>
          <w:color w:val="000000"/>
          <w:sz w:val="20"/>
        </w:rPr>
        <w:t>Third-party systems that may in the future use our AI/ML Software Platform contain complex technology and must be used as designed and intended in order to operate safely and effectively. Customers may not use the platform as designed and intended. In addition, we cannot predict all the ways in which the use or misuse of our platform can lead to injury or damage to property, and our training resources and safety systems may not be successful at preventing all incidents. If personal injury or damage to property were to occur while operating our platform in a manner consistent with our training and instructions or otherwise, we could be exposed to liability and our results of operations, financial condition and reputation may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We may use “open source” software, which could negatively affect our ability to offer our AI/ML Software Platform and subject us to possible litigation.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Our AI/ML Software Platform may use “open source” software provided by third parties. Open source software is generally freely accessible, usable and modifiable, and is made available to the general public on an “as-is” basis under the terms of a non-negotiable license. Use and distribution of open source software may entail greater risks than use of third-party commercial software or internally developed software. Open source licensors generally do not provide warranties or other contractual protections regarding infringement claims or other claims relating to violation of intellectual property rights or the quality of the software. In addition, certain open source licenses, like the GNU Affero General Public License, may require us to offer for no cost the components of our platform that incorporate the open source software, to make available source code for modifications or derivative works we create by incorporating or using the open source software or to license our modifications or derivative works under the terms of the particular open source license. If we are required under the terms of an open source license to release our proprietary source code to the public, competitors could create similar products with lower development effort and time, which ultimately could result in a loss of sales for us. </w:t>
      </w:r>
    </w:p>
    <w:p>
      <w:pPr>
        <w:pStyle w:val="TextBody"/>
        <w:bidi w:val="0"/>
        <w:jc w:val="both"/>
        <w:rPr>
          <w:rFonts w:ascii="Times New Roman" w:hAnsi="Times New Roman"/>
          <w:color w:val="000000"/>
          <w:sz w:val="20"/>
        </w:rPr>
      </w:pPr>
      <w:r>
        <w:rPr>
          <w:rFonts w:ascii="Times New Roman" w:hAnsi="Times New Roman"/>
          <w:color w:val="000000"/>
          <w:sz w:val="20"/>
        </w:rPr>
        <w:t xml:space="preserve">We may also face claims alleging noncompliance with open source license terms or infringement, misappropriation or other violation of open source technology. These claims could result in litigation or require us to purchase a costly license, devote additional research and development resources to re-engineer our platform, discontinue the sale of our software product if re-engineering could not be accomplished on a timely or cost-effective basis, or make generally available our proprietary code in source code form, any of which would have a negative effect on our business and operating results, including being enjoined from the offering of the components of our platform that contained the open source software. We could also be subject to lawsuits by parties claiming ownership of what we believe to be open source software. Litigation could be costly for us to defend, have a negative effect on our operating results and financial condition and require us to devote additional research and development resources to re-engineer our platform. </w:t>
      </w:r>
    </w:p>
    <w:p>
      <w:pPr>
        <w:pStyle w:val="TextBody"/>
        <w:bidi w:val="0"/>
        <w:jc w:val="both"/>
        <w:rPr>
          <w:rFonts w:ascii="Times New Roman" w:hAnsi="Times New Roman"/>
          <w:color w:val="000000"/>
          <w:sz w:val="20"/>
        </w:rPr>
      </w:pPr>
      <w:r>
        <w:rPr>
          <w:rFonts w:ascii="Times New Roman" w:hAnsi="Times New Roman"/>
          <w:color w:val="000000"/>
          <w:sz w:val="20"/>
        </w:rPr>
        <w:t>Although we monitor use of open source software and try to ensure that none is used in a manner that would subject our platform to unintended conditions, few courts have interpreted open source licenses, and there is a risk that these licenses could be construed in a way that could impose unanticipated conditions or restrictions on our ability to commercialize our AI/ML Software Platform. We cannot guarantee that we will incorporate open source software in our platform in a manner that will not subject us to liability, or in a manner that is consistent with our current policies and procedures.</w:t>
      </w:r>
    </w:p>
    <w:p>
      <w:pPr>
        <w:pStyle w:val="TextBody"/>
        <w:bidi w:val="0"/>
        <w:jc w:val="both"/>
        <w:rPr>
          <w:rFonts w:ascii="Times New Roman" w:hAnsi="Times New Roman"/>
          <w:b/>
          <w:i/>
          <w:color w:val="000000"/>
          <w:sz w:val="20"/>
        </w:rPr>
      </w:pPr>
      <w:r>
        <w:rPr>
          <w:rFonts w:ascii="Times New Roman" w:hAnsi="Times New Roman"/>
          <w:b/>
          <w:i/>
          <w:color w:val="000000"/>
          <w:sz w:val="20"/>
        </w:rPr>
        <w:t>Our business and prospects depend significantly on our ability to build our brand. We may not succeed in establishing, maintaining and strengthening an effective brand, and our brand and reputation could be harmed by negative publicity regarding us or our AI/ML Software Platform.</w:t>
      </w:r>
    </w:p>
    <w:p>
      <w:pPr>
        <w:pStyle w:val="TextBody"/>
        <w:bidi w:val="0"/>
        <w:jc w:val="both"/>
        <w:rPr>
          <w:rFonts w:ascii="Times New Roman" w:hAnsi="Times New Roman"/>
          <w:color w:val="000000"/>
          <w:sz w:val="20"/>
        </w:rPr>
      </w:pPr>
      <w:r>
        <w:rPr>
          <w:rFonts w:ascii="Times New Roman" w:hAnsi="Times New Roman"/>
          <w:color w:val="000000"/>
          <w:sz w:val="20"/>
        </w:rPr>
        <w:t>Our business and prospects are dependent on our ability to develop, maintain and strengthen our brand. If we do not continue to establish, maintain and strengthen our brand, we may lose the opportunity to build a critical mass of customers. We believe that our inability to successfully commercialize our hardware products, and our resulting financial performance, has damaged our brand, and we are planning to re-brand the company and our products, which could be costly and may not be well received by our existing and potential customers. Promoting and positioning our brand will likely depend significantly on our ability to provide high quality software and engage with our customers as intended. To promote our brand, we may be required to change or expand our customer development and branding practices, which could result in substantially increased expenses. If we do not develop and maintain a strong brand, our business, prospects, financial condition and operating results will be materially and adversely impacted.</w:t>
      </w:r>
    </w:p>
    <w:p>
      <w:pPr>
        <w:pStyle w:val="TextBody"/>
        <w:bidi w:val="0"/>
        <w:jc w:val="both"/>
        <w:rPr>
          <w:rFonts w:ascii="Times New Roman" w:hAnsi="Times New Roman"/>
          <w:color w:val="000000"/>
          <w:sz w:val="20"/>
        </w:rPr>
      </w:pPr>
      <w:r>
        <w:rPr>
          <w:rFonts w:ascii="Times New Roman" w:hAnsi="Times New Roman"/>
          <w:color w:val="000000"/>
          <w:sz w:val="20"/>
        </w:rPr>
        <w:t>In addition, if safety incidents occur or are perceived to have occurred, whether or not such incidents are our fault, we could be subject to adverse publicity or resistance by our customers. In particular, given the popularity of social media, any negative publicity, whether true or not, could quickly proliferate and harm perceptions and confidence in our brands. Furthermore, there is the risk of potential adverse publicity related to our partners whether or not such publicity is related to their collaboration with us. Our ability to successfully position our brand could also be adversely affected by perceptions about the quality of our competitors’ products.</w:t>
      </w:r>
    </w:p>
    <w:p>
      <w:pPr>
        <w:pStyle w:val="TextBody"/>
        <w:bidi w:val="0"/>
        <w:jc w:val="both"/>
        <w:rPr>
          <w:rFonts w:ascii="Times New Roman" w:hAnsi="Times New Roman"/>
          <w:sz w:val="20"/>
        </w:rPr>
      </w:pPr>
      <w:r>
        <w:rPr>
          <w:rFonts w:ascii="Times New Roman" w:hAnsi="Times New Roman"/>
          <w:b/>
          <w:i/>
          <w:color w:val="000000"/>
          <w:sz w:val="20"/>
        </w:rPr>
        <w:t>Our management team has broad discretion in making strategic decisions to execute our growth plans, and our management’s decisions have not always led to the desired result and current and future decisions may not be successful in achieving our business objectives or may have unintended consequences that negatively impact our growth prospects.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Our management has broad discretion in making strategic decisions to execute our growth plans and may devote time and company resources to new or expanded product offerings, potential acquisitions or strategic alliances, prospective customers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or other initiatives that do not necessarily improve our operating results or contribute to our growth. For example, we recently determined to pivot our business to focus on the development of our commercial AI/ML Software Platform in lieu of hardware products because we believe this strategy meets our previously announced goal of pursuing significant near-term revenue tied to acute customer needs and reduces our capital requirements and related risks in line with available resources. However, this strategy may not prove to be effective. Any failure by management to make strategic decisions that are ultimately accretive to our growth may result in unfavorable returns and uncertainty about our prospects, each of which could cause the price of our Common Stock to decline and have a material adverse effect on our business, prospects, financial condition and results of operations.</w:t>
      </w:r>
    </w:p>
    <w:p>
      <w:pPr>
        <w:pStyle w:val="TextBody"/>
        <w:bidi w:val="0"/>
        <w:jc w:val="both"/>
        <w:rPr>
          <w:rFonts w:ascii="Times New Roman" w:hAnsi="Times New Roman"/>
          <w:b/>
          <w:i/>
          <w:color w:val="000000"/>
          <w:sz w:val="20"/>
        </w:rPr>
      </w:pPr>
      <w:r>
        <w:rPr>
          <w:rFonts w:ascii="Times New Roman" w:hAnsi="Times New Roman"/>
          <w:b/>
          <w:i/>
          <w:color w:val="000000"/>
          <w:sz w:val="20"/>
        </w:rPr>
        <w:t>If we fail to effectively manage our business, we may not be able to design, develop, market and commercialize our software product successfully.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Any failure to manage our business effectively could materially and adversely affect our prospects, financial condition and operating results. As we work to grow our business, we may need to manage the following activities,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maintaining effective management, engineering and other teams;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retaining and recruiting individuals with the appropriate relevant experience;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hiring and training new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commercializing our AI/ML Software Platform;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forecasting revenue and implementing enterprise resource planning (ERP)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entering into relationships with one or more third-party service providers or partners, including in relation to the development and commercialization of our AI/ML Software Platform;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potentially carrying out acquisitions and entering into collaborations, in-licensing arrangements, joint ventures, strategic alliances or partnerships;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expanding and enhancing internal information technology, safety and security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establishing or expanding sales and customer service organizations;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conducting demonstrations and customer trials of our software platform;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implementing and enhancing administrative infrastructure, systems, controls and processes.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conducted two RIFs in the past year, the July RIF, affecting approximately 24% of our workforce at the time, and the November RIF, affecting approximately 70% of our workforce at the time, as we evaluated our business, organization, prospects and resources and ultimately decided to focus on our AI/ML Software Platform. However, these RIFs, in particular the November RIF, has and will continue to place additional strain on our existing resources, and we could experience systemic operating difficulties in managing our business and implementing controls and other business processes, resource constraints in our product development and commercialization efforts, or other limitations or difficulties that are difficult to predict at this time.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may be unable to adequately control the costs associated with our operations.</w:t>
      </w:r>
    </w:p>
    <w:p>
      <w:pPr>
        <w:pStyle w:val="TextBody"/>
        <w:bidi w:val="0"/>
        <w:jc w:val="both"/>
        <w:rPr>
          <w:rFonts w:ascii="Times New Roman" w:hAnsi="Times New Roman"/>
          <w:color w:val="000000"/>
          <w:sz w:val="20"/>
        </w:rPr>
      </w:pPr>
      <w:r>
        <w:rPr>
          <w:rFonts w:ascii="Times New Roman" w:hAnsi="Times New Roman"/>
          <w:color w:val="000000"/>
          <w:sz w:val="20"/>
        </w:rPr>
        <w:t>We will require significant capital to develop and grow our business, including developing our commercial AI/ML Software Platform, establishing or expanding our design, research and development, sales and maintenance and service capabilities and building our brands. We have incurred and expect to continue incurring significant expenses which will impact our profitability, including research and development expenses, sales and marketing expenses as we build our brand and market our software platform and general and administrative expenses. Although the RIFs will significantly reduce expenses, the amount of savings may not be as much as we expect. Some of the factors that may lead to cost increases or reduced cost decreases are outside of our control, such as national or global geopolitical and economic conditions, including inflation and interest rates. In addition, we may incur significant costs upgrading or fixing Defects in our software platform. Our ability to become profitable in the future will not only depend on our ability to complete the design and development of our software platform to meet customer needs and identify and investigate new areas of demand and successfully market our software product, but also on our ability to sell our AI/ML Software Platform at a price needed to achieve sufficient margins and control our cash outlay, including the risks and costs associated with any warranty obligations. If we are unable to efficiently design, develop, market, deploy, distribute and service our software platform in a cost-effective manner, our operating results, financial condition and prospects would be materially and adversely affected.</w:t>
      </w:r>
    </w:p>
    <w:p>
      <w:pPr>
        <w:pStyle w:val="TextBody"/>
        <w:bidi w:val="0"/>
        <w:jc w:val="both"/>
        <w:rPr>
          <w:rFonts w:ascii="Times New Roman" w:hAnsi="Times New Roman"/>
          <w:b/>
          <w:i/>
          <w:color w:val="000000"/>
          <w:sz w:val="20"/>
        </w:rPr>
      </w:pPr>
      <w:r>
        <w:rPr>
          <w:rFonts w:ascii="Times New Roman" w:hAnsi="Times New Roman"/>
          <w:b/>
          <w:i/>
          <w:color w:val="000000"/>
          <w:sz w:val="20"/>
        </w:rPr>
        <w:t>We expect to incur substantial research and development costs and devote significant resources to developing and commercializing our AI/ML Software Platform, which could significantly reduce our profitability and may never result in revenue.</w:t>
      </w:r>
    </w:p>
    <w:p>
      <w:pPr>
        <w:pStyle w:val="TextBody"/>
        <w:bidi w:val="0"/>
        <w:jc w:val="both"/>
        <w:rPr>
          <w:rFonts w:ascii="Times New Roman" w:hAnsi="Times New Roman"/>
          <w:color w:val="000000"/>
          <w:sz w:val="20"/>
        </w:rPr>
      </w:pPr>
      <w:r>
        <w:rPr>
          <w:rFonts w:ascii="Times New Roman" w:hAnsi="Times New Roman"/>
          <w:color w:val="000000"/>
          <w:sz w:val="20"/>
        </w:rPr>
        <w:t xml:space="preserve">Our future growth depends on penetrating new markets, adapting our AI/ML Software Platform to new applications and customer requirements and introducing new features and functionality that achieve market acceptance. We expect to incur substantial, and potentially increasing, research, development, sales and marketing costs as part of our efforts to design, develop, enhance, and commercialize our AI/ML Software Platform. Our research and development program may not produce successful results or, be sufficient to adapt to new or changing technologies (such as AI), and our products may not achieve market acceptance, create additional revenue or become profitable. </w:t>
      </w:r>
    </w:p>
    <w:p>
      <w:pPr>
        <w:pStyle w:val="TextBody"/>
        <w:bidi w:val="0"/>
        <w:jc w:val="both"/>
        <w:rPr>
          <w:rFonts w:ascii="Times New Roman" w:hAnsi="Times New Roman"/>
          <w:sz w:val="20"/>
        </w:rPr>
      </w:pPr>
      <w:r>
        <w:rPr>
          <w:rFonts w:ascii="Times New Roman" w:hAnsi="Times New Roman"/>
          <w:b/>
          <w:i/>
          <w:color w:val="000000"/>
          <w:sz w:val="20"/>
        </w:rPr>
        <w:t>Our AI/ML Software Platform requires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plan to maintain a limited set of suppliers for the minimal hardware components that will be offered with our AI/ML Software Platform. We expect most of our suppliers to be based in the United States. In some cases, we have sole source (where the component is only available from a single vendor, often as a result of customization for our use) or single source (where we purchase from a single vendor but there are alternative sources of the component) suppliers. We seek to minimize our dependence on sole or single source suppliers in order to reduce risk in our supply chain, including the risk of losing a sole or single source supplier due to bankruptcy, discontinuing production of the particular component or some other reason. However, some of the components used in our products may have to be purchased by us from a single source and some may only be available from a sole source. If our third-party suppliers are unable to supply key components and materials in the required volumes, at the needed times or at acceptable prices, our sales, revenue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or provide warranties for their products that are necessary for our solutions. If we are unable to obtain components and materials used in our products from our suppliers, our business would be adversely affected.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manufacture systems and solutions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 all, or at prices or quality levels that are favorable to us. Further, we may not be able to develop satisfactory alternatives to sole-sourced components. Any inability to find satisfactory alternatives to our single- and sole-sourced component suppliers, whether due to bankruptcy of the supplier, a decision to discontinue manufacturing the component or for any other reason, could affect our costs and component availability and have a material adverse effect on our business, prospects, financial condition and operating results.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Furthermore, fluctuations or shortages in raw materials or components and other economic conditions may cause us to experience significant increases in freight charges and material costs. Substantial increases in the prices for our materials would increase our operating costs and could reduce our margins if the increased costs cannot be recouped through increased sales prices.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face risks related to wars, natural disasters, health epidemics and other calamities, and supply chain disruption, which could significantly disrupt our operations.</w:t>
      </w:r>
    </w:p>
    <w:p>
      <w:pPr>
        <w:pStyle w:val="TextBody"/>
        <w:bidi w:val="0"/>
        <w:jc w:val="both"/>
        <w:rPr>
          <w:rFonts w:ascii="Times New Roman" w:hAnsi="Times New Roman"/>
          <w:color w:val="000000"/>
          <w:sz w:val="20"/>
        </w:rPr>
      </w:pPr>
      <w:r>
        <w:rPr>
          <w:rFonts w:ascii="Times New Roman" w:hAnsi="Times New Roman"/>
          <w:color w:val="000000"/>
          <w:sz w:val="20"/>
        </w:rPr>
        <w:t>Our facilities or operations, or any potential third-party suppliers, partners, or service providers could be adversely affected by events outside of our or their control, such as natural disasters, wars, health epidemics, such as the COVID-19 pandemic, and other calamities and force majeure events. Our backup system does not capture data on a real-time basis and we may be unable to recover certain data in the event of a server failure. Our backup system may not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the malfunction of software or hardware, which could significantly disrupt our operations. Additionally, depending upon any ongoing effects of the COVID-19 pandemic or any other potential health pandemics, epidemics or outbreaks that may emerge, our potential customers and partners may suspend or delay their engagement with us or take other actions or experience their own negative impacts, any of which could result in a material adverse effect on our financial condition and ability to meet current timelines. The COVID-19 pandemic adversely affected our ability to recruit skilled employees to join our team, conduct research and development activities and engage with development customers, and it or other similar events could do so again and may impede our product development timelines.</w:t>
      </w:r>
    </w:p>
    <w:p>
      <w:pPr>
        <w:pStyle w:val="TextBody"/>
        <w:bidi w:val="0"/>
        <w:jc w:val="both"/>
        <w:rPr>
          <w:rFonts w:ascii="Times New Roman" w:hAnsi="Times New Roman"/>
          <w:color w:val="000000"/>
          <w:sz w:val="20"/>
        </w:rPr>
      </w:pPr>
      <w:r>
        <w:rPr>
          <w:rFonts w:ascii="Times New Roman" w:hAnsi="Times New Roman"/>
          <w:color w:val="000000"/>
          <w:sz w:val="20"/>
        </w:rPr>
        <w:t>Events impacting our supply chain could be caused by factors beyond the control of our suppliers or us, including labor actions, increased demand, problems in production or distribution and/or disruptions in third-party logistics, information technology or transportation systems. Some of our key suppliers are relatively small companies that could be especially susceptible to these risks. In addition, global events in recent years have resulted in widespread global supply chain disruptions to vendors including critical supply chain shortages, labor shortages, significant material cost inflation and extended lead times for items that are required for our operations. Any such interruptions to our supply chain could increase our costs and could limit the availability of products critical to our operations.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Finances</w:t>
      </w:r>
    </w:p>
    <w:p>
      <w:pPr>
        <w:pStyle w:val="TextBody"/>
        <w:bidi w:val="0"/>
        <w:jc w:val="both"/>
        <w:rPr>
          <w:rFonts w:ascii="Times New Roman" w:hAnsi="Times New Roman"/>
          <w:b/>
          <w:i/>
          <w:color w:val="000000"/>
          <w:sz w:val="20"/>
        </w:rPr>
      </w:pPr>
      <w:r>
        <w:rPr>
          <w:rFonts w:ascii="Times New Roman" w:hAnsi="Times New Roman"/>
          <w:b/>
          <w:i/>
          <w:color w:val="000000"/>
          <w:sz w:val="20"/>
        </w:rPr>
        <w:t>Our business plans require a significant amount of capital. Our future capital needs may require us to sell 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p>
    <w:p>
      <w:pPr>
        <w:pStyle w:val="TextBody"/>
        <w:bidi w:val="0"/>
        <w:jc w:val="both"/>
        <w:rPr>
          <w:rFonts w:ascii="Times New Roman" w:hAnsi="Times New Roman"/>
          <w:color w:val="000000"/>
          <w:sz w:val="20"/>
        </w:rPr>
      </w:pPr>
      <w:r>
        <w:rPr>
          <w:rFonts w:ascii="Times New Roman" w:hAnsi="Times New Roman"/>
          <w:color w:val="000000"/>
          <w:sz w:val="20"/>
        </w:rPr>
        <w:t>Although we believe we have sufficient capital to fund our business for at least the next 12 months, we may seek additional financing during that time to bolster our cash reserves and ensure our ability to continue to pursue our business objectives. Our current business plans may require us to secure additional financing prior to achieving positive operating cash flows, and we do not anticipate achieving positive operating cash flows in the near term. As a result, we intend to continue monitoring our liquidity, financial and business results and outlook and market conditions, and may be opportunistic and raise capital when we consider market conditions are good or a favorable opportunity exists to bolster our cash reserves, reduce our financial risk, help finance research and development costs and pursue business objectives. Any delays in the successful commercialization and sales of our software product will negatively impact our ability to generate revenue, our profitability and our overall operating performance and result in the need to raise additional capital sooner than expected.</w:t>
      </w:r>
    </w:p>
    <w:p>
      <w:pPr>
        <w:pStyle w:val="TextBody"/>
        <w:bidi w:val="0"/>
        <w:jc w:val="both"/>
        <w:rPr>
          <w:rFonts w:ascii="Times New Roman" w:hAnsi="Times New Roman"/>
          <w:color w:val="000000"/>
          <w:sz w:val="20"/>
        </w:rPr>
      </w:pPr>
      <w:r>
        <w:rPr>
          <w:rFonts w:ascii="Times New Roman" w:hAnsi="Times New Roman"/>
          <w:color w:val="000000"/>
          <w:sz w:val="20"/>
        </w:rPr>
        <w:t xml:space="preserve">Even if we generate positive operating cash flows, we may need to raise significant amounts of additional capital to fund our business thereafter, including to finance ongoing research and development costs, any significant unplanned or accelerated expenses and new strategic alliances or acquisitions. The fact that we have limited experience commercializing our software product, coupled with our belief that our AI/ML Software Platform represents a significant technology advancement, means we have limited to no historical data on the demand for our software platform. In addition, we expect our expenses to continue to be significant in the foreseeable future as we complete the development and launch of our commercial software platform, and that our level of cash usage will be significantly affected by customer demand for our platform. As a result, our future capital requirements are uncertain and actual capital requirements may be different from those we currently anticipate. We may need to seek equity or debt financing to finance our expenses and capital expenditures, and such financing might not be available to us in a timely manner or on terms that are acceptable, or at all. Even if available, the sale of additional equity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equity-linked securities could dilute our stockholders, and the incurrence of indebtedness would result in debt service obligations and could result in operating and financing covenants that would restrict our operations.</w:t>
      </w:r>
    </w:p>
    <w:p>
      <w:pPr>
        <w:pStyle w:val="TextBody"/>
        <w:bidi w:val="0"/>
        <w:jc w:val="both"/>
        <w:rPr>
          <w:rFonts w:ascii="Times New Roman" w:hAnsi="Times New Roman"/>
          <w:color w:val="000000"/>
          <w:sz w:val="20"/>
        </w:rPr>
      </w:pPr>
      <w:r>
        <w:rPr>
          <w:rFonts w:ascii="Times New Roman" w:hAnsi="Times New Roman"/>
          <w:color w:val="000000"/>
          <w:sz w:val="20"/>
        </w:rPr>
        <w:t>Our ability to obtain any necessary financing to carry out our business plan is subject to a number of factors, including general market conditions and investor acceptance of our business model. Current capital market conditions, including the impact of inflation, have increased borrowing rates and can be expected to significantly increase our cost of capital as compared to prior periods should we seek additional funding. Moreover, global capital markets have undergone periods of significant volatility and uncertainty in the past, and there can be no assurance that such financing alternatives will be available to us on favorable terms or at all, should we determine it necessary or advisable to seek additional capital.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factors may make the timing, amount, terms and conditions of such financing unattractive or unavailable to us. If we are unable to raise sufficient funds if and when needed, we will have to significantly reduce our spending, delay or cancel our planned activities or substantially change our corporate structure or potentially cease operations and liquidate. We might not be able to obtain any funding, and might not have sufficient resources to conduct our business as projected or at all, either of which could mean that we would be forced to curtail or discontinue our operations.</w:t>
      </w:r>
    </w:p>
    <w:p>
      <w:pPr>
        <w:pStyle w:val="TextBody"/>
        <w:bidi w:val="0"/>
        <w:jc w:val="left"/>
        <w:rPr>
          <w:rFonts w:ascii="Times New Roman" w:hAnsi="Times New Roman"/>
          <w:color w:val="000000"/>
          <w:sz w:val="20"/>
        </w:rPr>
      </w:pPr>
      <w:r>
        <w:rPr>
          <w:rFonts w:ascii="Times New Roman" w:hAnsi="Times New Roman"/>
          <w:color w:val="000000"/>
          <w:sz w:val="20"/>
        </w:rPr>
        <w:t>If we cannot raise additional funds when we need or want them, our operations, prospects and financial condition would be materially and adversely affected.</w:t>
      </w:r>
    </w:p>
    <w:p>
      <w:pPr>
        <w:pStyle w:val="TextBody"/>
        <w:bidi w:val="0"/>
        <w:jc w:val="both"/>
        <w:rPr>
          <w:rFonts w:ascii="Times New Roman" w:hAnsi="Times New Roman"/>
          <w:b/>
          <w:i/>
          <w:color w:val="000000"/>
          <w:sz w:val="20"/>
        </w:rPr>
      </w:pPr>
      <w:r>
        <w:rPr>
          <w:rFonts w:ascii="Times New Roman" w:hAnsi="Times New Roman"/>
          <w:b/>
          <w:i/>
          <w:color w:val="000000"/>
          <w:sz w:val="20"/>
        </w:rPr>
        <w:t>Our recent initiatives to improve our cost structure, including significant workforce reductions, may not result in the anticipated savings, could result in total costs and expenses that are greater than expected and could disrupt our business.</w:t>
      </w:r>
    </w:p>
    <w:p>
      <w:pPr>
        <w:pStyle w:val="TextBody"/>
        <w:bidi w:val="0"/>
        <w:jc w:val="both"/>
        <w:rPr>
          <w:rFonts w:ascii="Times New Roman" w:hAnsi="Times New Roman"/>
          <w:color w:val="000000"/>
          <w:sz w:val="20"/>
        </w:rPr>
      </w:pPr>
      <w:r>
        <w:rPr>
          <w:rFonts w:ascii="Times New Roman" w:hAnsi="Times New Roman"/>
          <w:color w:val="000000"/>
          <w:sz w:val="20"/>
        </w:rPr>
        <w:t>We have conducted two RIFs in the past year, one in July 2023, affecting approximately 24% of our workforce at the time, and another in November 2023, affecting approximately 70% of our workforce at the time. These efforts are expected to result in significant annualized cost savings. However, we may incur additional expenses not currently contemplated due to events associated with the RIFs or otherwise. The annualized cost savings are estimates and subject to a number of assumptions, and actual results may differ materially. We may not realize, in full or in part, the anticipated benefits and savings from the RIFs due to unforeseen difficulties, delays or unexpected costs. If we are unable to realize the expected operational efficiencies and cost savings from the RIFs, our operating results and financial condition would be adversely affected. In addition, we may need to undertake additional workforce reductions or restructuring activities in the future. Furthermore, our initiatives to improve our cost structure, including the RIFs, may be disruptive to our operations. For example, our workforce reductions have resulted in and may continue to result in some attrition beyond planned staff reductions, and may lead to the loss of institutional knowledge and expertise, increased difficulties in our day-to-day operations, pressure on our controls and processes and reduced employee morale. We may need to seek contractor support due to unwanted attrition at unplanned additional expense or harm our productivity. In addition, we may be unsuccessful in distributing the duties and obligations of departed employees that are necessary to our operations among our remaining employees or to contractors, which could result in disruptions to our operations. Our workforce reductions could also harm our ability to attract and retain qualified personnel who are critical to our business, and make it difficult for us to pursue new opportunities and initiatives and require us to hire qualified replacement personnel. Any failure to attract or retain qualified personnel could prevent us from successfully developing or selling our software platform, which would adversely affect our business, financial condition, and results of operations.</w:t>
      </w:r>
    </w:p>
    <w:p>
      <w:pPr>
        <w:pStyle w:val="TextBody"/>
        <w:bidi w:val="0"/>
        <w:jc w:val="both"/>
        <w:rPr>
          <w:rFonts w:ascii="Times New Roman" w:hAnsi="Times New Roman"/>
          <w:b/>
          <w:i/>
          <w:color w:val="000000"/>
          <w:sz w:val="20"/>
        </w:rPr>
      </w:pPr>
      <w:r>
        <w:rPr>
          <w:rFonts w:ascii="Times New Roman" w:hAnsi="Times New Roman"/>
          <w:b/>
          <w:i/>
          <w:color w:val="000000"/>
          <w:sz w:val="20"/>
        </w:rPr>
        <w:t>Our financial results may vary significantly from period to period due to fluctuations in our operating costs, revenues (including from development contracts), product demand and other factors.</w:t>
      </w:r>
    </w:p>
    <w:p>
      <w:pPr>
        <w:pStyle w:val="TextBody"/>
        <w:bidi w:val="0"/>
        <w:jc w:val="both"/>
        <w:rPr>
          <w:rFonts w:ascii="Times New Roman" w:hAnsi="Times New Roman"/>
          <w:color w:val="000000"/>
          <w:sz w:val="20"/>
        </w:rPr>
      </w:pPr>
      <w:r>
        <w:rPr>
          <w:rFonts w:ascii="Times New Roman" w:hAnsi="Times New Roman"/>
          <w:color w:val="000000"/>
          <w:sz w:val="20"/>
        </w:rPr>
        <w:t>We expect our period-to-period financial results to vary based on our operating costs and product demand, which we anticipate will fluctuate as the pace at which we continue to design, develop and release software products. Additionally, as we commercialize our AI/ML Software Platform and/or achieve revenue from government or development contracts, we expect our revenue from period to period to fluctuate, including as we introduce new products, features or functionality or introduce our AI/ML Software Platform to new markets for the first time, and as product development contract revenue fluctuates. As a result of these factors, we believe that quarter-to-quarter comparisons of our operating results, especially in the near term, are not necessarily meaningful and that these comparisons cannot be relied upon as indicators of future performance. Moreover, our operating results may not meet expectations of equity research analysts, ratings agencies or investors, who may be particularly focused on quarterly financial results. If any of this occurs, the trading price of our securities could fall substantially, either suddenly or over time, and/or experience significant volatility.</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are highly dependent on the services of our senior management and other key employees and, if we are unable to attract, integrate and retain a sufficient number of qualified employees, our ability to develop and launch our software product, operate our business and compete could be harmed.</w:t>
      </w:r>
    </w:p>
    <w:p>
      <w:pPr>
        <w:pStyle w:val="TextBody"/>
        <w:bidi w:val="0"/>
        <w:jc w:val="both"/>
        <w:rPr>
          <w:rFonts w:ascii="Times New Roman" w:hAnsi="Times New Roman"/>
          <w:color w:val="000000"/>
          <w:sz w:val="20"/>
        </w:rPr>
      </w:pPr>
      <w:r>
        <w:rPr>
          <w:rFonts w:ascii="Times New Roman" w:hAnsi="Times New Roman"/>
          <w:color w:val="000000"/>
          <w:sz w:val="20"/>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For example, we are highly dependent on the services of our AI/ML Software Platform leadership team, in particular our Chief Technology Officer, Dr. Denis Garagic. Dr. Garagic has a significant influence on our AI/ML Software Platform development efforts and our business plan. If he were to discontinue service due to death, disability or any other reason, we may be significantly disadvantaged and his departure or the departure of other key contributors to our software and technology development efforts could result in delays in product development, or potentially an inability to successfully complete development of our AI/ML Software Platform at all, which would materially and adversely harm our business, results of operations and financial condition. Further, we may have difficulty finding, or be unable to find, qualified successors to any such persons should they depart the Company. If we are unable to successfully complete development of our AI/ML Software Platform in a timely manner, whether due to the departure of any such persons or otherwise, we may not have sufficient time or resources to pursue alternative plans or opportunities and may need to cease operations. We do not maintain key-person insurance for any of our senior management.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experienced and may continue to experience changes in our senior management team. For example, Benjamin G. Wolff recently rejoined the Company’s executive team as President and Chief Executive Officer effective February 23, 2024 replacing Laura J. Peterson, who has been our President &amp; Chief Executive Officer since May 2023. In connection with this change in management, we anticipate that there will be changes to the Company’s operations and also possibly to some of our key strategies and tactical initiatives over time. If we do not successfully implement and adapt to these changes they may not lead to the desired improvement in our business and results of operation. This in turn, could have a material adverse effect on our business. Our future performance will depend, in part, on the successful transition of our workforce to our new operating and organizational structure following our recent RIFs. Our inability to successfully manage these transitions, could be viewed negatively by our customers, employees, investors and other third-party partners, and could have an adverse impact on our business and 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success also depends, in part, on our ability to identify, hire, attract, train and develop other highly qualified personnel as needed, specifically AI/ML software engineers. Because of the innovative and advanced nature of our technology, individuals with the necessary experience have not been, and likely will continue not to be, readily available to hire, and as a result, we may need to expend significant time and expense to recruit and retain experienced employees and appropriately train any newly hired employees. Integrating new employees can also cause disruptions to processes, projects, culture, priorities and the Company as a whole. We face intense competition for experienced and highly skilled employees, specifically AI/ML software engineers, from numerous other companies, including other software and technology companies, many of whom have greater financial and other resources than we do,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Further, in connection with our recent RIFs, we have re-organized our operations, which has resulted in some employees having different reporting relationships, team members or responsibilities, which could result in delays or other operational difficulties as employees become accustomed to the new organizational structure. Our recent RIFs may also cause us to experience increased difficulty attracting and retaining highly qualified personnel. We may incur significant costs to attract and retain qualified personnel, including significant expenditures related to salaries and benefits and compensation expenses related to equity awards, and we may lose new employees to competitors or other companies before we realize the benefit of our investment in recruiting and training them. Moreover, new employees may not be or become as productive as we expect, or may not fit culturally, and long-term employees may not embrace new leaders, priorities, methods, processes or other changes and may decide to leave or not perform as well as they did in the past, as we may face challenges in adequately or appropriately integrating them into our workforce and culture.</w:t>
      </w:r>
    </w:p>
    <w:p>
      <w:pPr>
        <w:pStyle w:val="TextBody"/>
        <w:bidi w:val="0"/>
        <w:jc w:val="both"/>
        <w:rPr>
          <w:rFonts w:ascii="Times New Roman" w:hAnsi="Times New Roman"/>
          <w:color w:val="000000"/>
          <w:sz w:val="20"/>
        </w:rPr>
      </w:pPr>
      <w:r>
        <w:rPr>
          <w:rFonts w:ascii="Times New Roman" w:hAnsi="Times New Roman"/>
          <w:color w:val="000000"/>
          <w:sz w:val="20"/>
        </w:rPr>
        <w:t>Our headquarters are in Salt Lake City, Utah, which has fewer highly skilled employees in the AI/ML software and robotics fields than some other major metropolitan areas. In addition, as part of the pivot in strategy announced on November 14, 2023 to focus on our AI/ML Software Platform, we determined to close our facility in Pittsburgh, Pennsylvania and may no longer be able to attract highly skilled employees in that location. To attract and retain key personnel, we may need to open offices in other areas of the country, which could increase costs and reduce productivity. Any failure by our management team and our employees to perform as expected may have a material adverse effect on our ability to design and launch our software product or to operate our business and compete, as well as on our business, prospects, financial condition and operating results.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incur significant expenses and administrative burdens as a publicly-traded company, which could have a material adverse effect on our business, prospects, financial condition and operating results.</w:t>
      </w:r>
    </w:p>
    <w:p>
      <w:pPr>
        <w:pStyle w:val="TextBody"/>
        <w:bidi w:val="0"/>
        <w:jc w:val="both"/>
        <w:rPr>
          <w:rFonts w:ascii="Times New Roman" w:hAnsi="Times New Roman"/>
          <w:color w:val="000000"/>
          <w:sz w:val="20"/>
        </w:rPr>
      </w:pPr>
      <w:r>
        <w:rPr>
          <w:rFonts w:ascii="Times New Roman" w:hAnsi="Times New Roman"/>
          <w:color w:val="000000"/>
          <w:sz w:val="20"/>
        </w:rPr>
        <w:t>As a publicly-traded company, we are incurring legal, accounting and other expenses that we previously did not have, and these expenses may increase as we continue to implement and strengthen controls, processes and systems and employ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Nasdaq. Our management and other personnel devote a substantial amount of time to these compliance initiatives. We may need to hire additional employees to support our operations as a public company, which will increase our operating costs in future periods. Moreover, these rules and regulations have substantially increased our legal and financial compliance costs and make some activities more time-consuming and costly. These increased costs have increased our net loss. For example, it has been more difficult and more expensive for us to obtain director and officer liability insurance and we have incurred substantially higher costs to obtain appropriate coverage than we incurred as a private company. We cannot accurately predict or estimate the amount or timing of all the additional costs we may incur.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consume significant financial resources and any increases could have a material adverse effect on our business, financial condition and operating results.</w:t>
      </w:r>
    </w:p>
    <w:p>
      <w:pPr>
        <w:pStyle w:val="TextBody"/>
        <w:bidi w:val="0"/>
        <w:jc w:val="both"/>
        <w:rPr>
          <w:rFonts w:ascii="Times New Roman" w:hAnsi="Times New Roman"/>
          <w:b/>
          <w:i/>
          <w:color w:val="000000"/>
          <w:sz w:val="20"/>
        </w:rPr>
      </w:pPr>
      <w:r>
        <w:rPr>
          <w:rFonts w:ascii="Times New Roman" w:hAnsi="Times New Roman"/>
          <w:b/>
          <w:i/>
          <w:color w:val="000000"/>
          <w:sz w:val="20"/>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pStyle w:val="TextBody"/>
        <w:bidi w:val="0"/>
        <w:jc w:val="both"/>
        <w:rPr>
          <w:rFonts w:ascii="Times New Roman" w:hAnsi="Times New Roman"/>
          <w:color w:val="000000"/>
          <w:sz w:val="20"/>
        </w:rPr>
      </w:pPr>
      <w:r>
        <w:rPr>
          <w:rFonts w:ascii="Times New Roman" w:hAnsi="Times New Roman"/>
          <w:color w:val="000000"/>
          <w:sz w:val="20"/>
        </w:rPr>
        <w:t>We expect that the requirements of the Exchange Act, the Sarbanes-Oxley Act and the rules and regulations of Nasdaq will continue to result in significant legal, accounting and financial compliance costs, make some activities more difficult, time-consuming and costly, and place significant strain on personnel, systems and resources.</w:t>
      </w:r>
    </w:p>
    <w:p>
      <w:pPr>
        <w:pStyle w:val="TextBody"/>
        <w:bidi w:val="0"/>
        <w:jc w:val="both"/>
        <w:rPr>
          <w:rFonts w:ascii="Times New Roman" w:hAnsi="Times New Roman"/>
          <w:color w:val="000000"/>
          <w:sz w:val="20"/>
        </w:rPr>
      </w:pPr>
      <w:r>
        <w:rPr>
          <w:rFonts w:ascii="Times New Roman" w:hAnsi="Times New Roman"/>
          <w:color w:val="000000"/>
          <w:sz w:val="20"/>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in a timely manner. We have been integrating our finance and accounting systems following our acquisition of RE2 to a common enterprise system, and a delay or other issues with the integration could impact our ability or prevent us from timely reporting our operating results, timely filing required reports with the SEC and complying with Section 404 of the Sarbanes-Oxley Act. The development and implementation of the processes and controls necessary for us to achieve the level of accounting standards required of a public company have increased and may continue to increase our legal and compliance costs, and such costs may be greater than expected.</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previously identified material weaknesses in our internal control over financial reporting, and undertook remediation efforts to address the identified deficiencies and concluded that each material weakness was remediated as of December 31, 2021 and June 30, 2022, respectively. 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to the extent we are required to include such evaluations and reports in our periodic reports that we file with the SEC under Section 404 of the Sarbanes-Oxley Act. Ineffective disclosure controls and procedures and internal control over financial reporting could also cause investors to lose confidence in our reported financial and other information. </w:t>
      </w:r>
    </w:p>
    <w:p>
      <w:pPr>
        <w:pStyle w:val="TextBody"/>
        <w:bidi w:val="0"/>
        <w:jc w:val="both"/>
        <w:rPr>
          <w:rFonts w:ascii="Times New Roman" w:hAnsi="Times New Roman"/>
          <w:color w:val="000000"/>
          <w:sz w:val="20"/>
        </w:rPr>
      </w:pPr>
      <w:r>
        <w:rPr>
          <w:rFonts w:ascii="Times New Roman" w:hAnsi="Times New Roman"/>
          <w:color w:val="000000"/>
          <w:sz w:val="20"/>
        </w:rPr>
        <w:t xml:space="preserve">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or are perceived to be inadequate or if we are or are perceived to be unable to produce timely or accurate financial statements, investors may lose confidence in our operating results and the trading price of our securities could decline. In addition, if our financial statements are not filed on a timely basis, we could be subject to sanctions, enforcement actions or investigations by Nasdaq, the SEC or other regulatory authorities or to private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any failure to maintain effective internal control over financial reporting could result in a material adverse effect on our business and the price of our Common Stock.</w:t>
      </w:r>
    </w:p>
    <w:p>
      <w:pPr>
        <w:pStyle w:val="TextBody"/>
        <w:bidi w:val="0"/>
        <w:jc w:val="both"/>
        <w:rPr>
          <w:rFonts w:ascii="Times New Roman" w:hAnsi="Times New Roman"/>
          <w:color w:val="000000"/>
          <w:sz w:val="20"/>
        </w:rPr>
      </w:pPr>
      <w:r>
        <w:rPr>
          <w:rFonts w:ascii="Times New Roman" w:hAnsi="Times New Roman"/>
          <w:color w:val="000000"/>
          <w:sz w:val="20"/>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pStyle w:val="TextBody"/>
        <w:bidi w:val="0"/>
        <w:jc w:val="both"/>
        <w:rPr>
          <w:rFonts w:ascii="Times New Roman" w:hAnsi="Times New Roman"/>
          <w:b/>
          <w:i/>
          <w:color w:val="000000"/>
          <w:sz w:val="20"/>
        </w:rPr>
      </w:pPr>
      <w:r>
        <w:rPr>
          <w:rFonts w:ascii="Times New Roman" w:hAnsi="Times New Roman"/>
          <w:b/>
          <w:i/>
          <w:color w:val="000000"/>
          <w:sz w:val="20"/>
        </w:rPr>
        <w:t>Our ability to use net operating loss carryforwards and other tax attributes may be limited in connection with ownership changes.</w:t>
      </w:r>
    </w:p>
    <w:p>
      <w:pPr>
        <w:pStyle w:val="TextBody"/>
        <w:bidi w:val="0"/>
        <w:jc w:val="both"/>
        <w:rPr>
          <w:rFonts w:ascii="Times New Roman" w:hAnsi="Times New Roman"/>
          <w:color w:val="000000"/>
          <w:sz w:val="20"/>
        </w:rPr>
      </w:pPr>
      <w:r>
        <w:rPr>
          <w:rFonts w:ascii="Times New Roman" w:hAnsi="Times New Roman"/>
          <w:color w:val="000000"/>
          <w:sz w:val="20"/>
        </w:rPr>
        <w:t>We have incurred losses during our history and do not expect to become profitable in the near future, and we may never achieve profitability. To the extent that we continue to generate tax losses, unused losses will carry forward to offset future taxable income, if any, until such unused losses expire.</w:t>
      </w:r>
    </w:p>
    <w:p>
      <w:pPr>
        <w:pStyle w:val="TextBody"/>
        <w:bidi w:val="0"/>
        <w:jc w:val="both"/>
        <w:rPr>
          <w:rFonts w:ascii="Times New Roman" w:hAnsi="Times New Roman"/>
          <w:color w:val="000000"/>
          <w:sz w:val="20"/>
        </w:rPr>
      </w:pPr>
      <w:r>
        <w:rPr>
          <w:rFonts w:ascii="Times New Roman" w:hAnsi="Times New Roman"/>
          <w:color w:val="000000"/>
          <w:sz w:val="20"/>
        </w:rPr>
        <w:t>Under the Tax Cuts and Jobs Act of 2017 (the Tax Act), as modified by the Coronavirus Aid, Relief and Economic Security Act of 2020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States may not conform to the Tax Act or the CARES Act in their entirety, if at all. Suspensions or other restrictions on the use of net operating losses or tax credits, possibly with retroactive effect, may result in our existing net operating losses or tax credits expiring or otherwise being unavailable to offset future income tax liabilities.</w:t>
      </w:r>
    </w:p>
    <w:p>
      <w:pPr>
        <w:pStyle w:val="TextBody"/>
        <w:bidi w:val="0"/>
        <w:jc w:val="both"/>
        <w:rPr>
          <w:rFonts w:ascii="Times New Roman" w:hAnsi="Times New Roman"/>
          <w:color w:val="000000"/>
          <w:sz w:val="20"/>
        </w:rPr>
      </w:pPr>
      <w:r>
        <w:rPr>
          <w:rFonts w:ascii="Times New Roman" w:hAnsi="Times New Roman"/>
          <w:color w:val="000000"/>
          <w:sz w:val="20"/>
        </w:rPr>
        <w:t>In addition, our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Similar rules may apply under state tax laws.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been or may in the future be subject to risks associated with strategic relationships or transactions and may not be able to identify adequate strategic relationship opportunities, or form strategic relationships, in the future.</w:t>
      </w:r>
    </w:p>
    <w:p>
      <w:pPr>
        <w:pStyle w:val="TextBody"/>
        <w:bidi w:val="0"/>
        <w:jc w:val="both"/>
        <w:rPr>
          <w:rFonts w:ascii="Times New Roman" w:hAnsi="Times New Roman"/>
          <w:color w:val="000000"/>
          <w:sz w:val="20"/>
        </w:rPr>
      </w:pPr>
      <w:r>
        <w:rPr>
          <w:rFonts w:ascii="Times New Roman" w:hAnsi="Times New Roman"/>
          <w:color w:val="000000"/>
          <w:sz w:val="20"/>
        </w:rPr>
        <w:t>We may seek to enter into strategic alliances, joint ventures, minority equity investments, acquisitions, collaborations and in-license arrangements. There is no guarantee that any of these partnerships or acquisitions would lead to any binding agreements or lasting or successful business relationships with third parties or that any of the other anticipated benefits will be achieved. If any of these relationships are established, they may subject us to a number of risks, including risks associated with sharing proprietary information, non-performance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pStyle w:val="TextBody"/>
        <w:bidi w:val="0"/>
        <w:jc w:val="both"/>
        <w:rPr>
          <w:rFonts w:ascii="Times New Roman" w:hAnsi="Times New Roman"/>
          <w:color w:val="000000"/>
          <w:sz w:val="20"/>
        </w:rPr>
      </w:pPr>
      <w:r>
        <w:rPr>
          <w:rFonts w:ascii="Times New Roman" w:hAnsi="Times New Roman"/>
          <w:color w:val="000000"/>
          <w:sz w:val="20"/>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When appropriate opportunities arise, we have in the past, and may in the future acquire additional assets, products, technologies or businesses that are complementary to our existing business. From time to time,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For example, we have previously experienced an impairment of all of the goodwill associated with our acquisition of RE2. Moreover, the costs of identifying and consummating acquisitions may be significant.</w:t>
      </w:r>
    </w:p>
    <w:p>
      <w:pPr>
        <w:pStyle w:val="TextBody"/>
        <w:bidi w:val="0"/>
        <w:jc w:val="both"/>
        <w:rPr>
          <w:rFonts w:ascii="Times New Roman" w:hAnsi="Times New Roman"/>
          <w:b/>
          <w:color w:val="000000"/>
          <w:sz w:val="20"/>
        </w:rPr>
      </w:pPr>
      <w:r>
        <w:rPr>
          <w:rFonts w:ascii="Times New Roman" w:hAnsi="Times New Roman"/>
          <w:b/>
          <w:color w:val="000000"/>
          <w:sz w:val="20"/>
        </w:rPr>
        <w:t>Risks Related to Claims, Legal and Regulatory Compliance</w:t>
      </w:r>
    </w:p>
    <w:p>
      <w:pPr>
        <w:pStyle w:val="TextBody"/>
        <w:bidi w:val="0"/>
        <w:jc w:val="both"/>
        <w:rPr>
          <w:rFonts w:ascii="Times New Roman" w:hAnsi="Times New Roman"/>
          <w:b/>
          <w:i/>
          <w:color w:val="000000"/>
          <w:sz w:val="20"/>
        </w:rPr>
      </w:pPr>
      <w:r>
        <w:rPr>
          <w:rFonts w:ascii="Times New Roman" w:hAnsi="Times New Roman"/>
          <w:b/>
          <w:i/>
          <w:color w:val="000000"/>
          <w:sz w:val="20"/>
        </w:rPr>
        <w:t>Issues in the development and use of AI, combined with an uncertain regulatory environment, may result in reputational harm, liability or other adverse consequences to our business operations.</w:t>
      </w:r>
    </w:p>
    <w:p>
      <w:pPr>
        <w:pStyle w:val="TextBody"/>
        <w:bidi w:val="0"/>
        <w:jc w:val="both"/>
        <w:rPr>
          <w:rFonts w:ascii="Times New Roman" w:hAnsi="Times New Roman"/>
          <w:color w:val="000000"/>
          <w:sz w:val="20"/>
        </w:rPr>
      </w:pPr>
      <w:r>
        <w:rPr>
          <w:rFonts w:ascii="Times New Roman" w:hAnsi="Times New Roman"/>
          <w:color w:val="000000"/>
          <w:sz w:val="20"/>
        </w:rPr>
        <w:t>AI/ML technologies are complex and rapidly evolving, and we face significant competition from other companies as well as an evolving regulatory landscape. The introduction of AI/ML technologies into new or existing products may result in new or enhanced governmental or regulatory scrutiny, litigation, confidentiality or security risks, ethical concerns or other complications that could adversely affect our business, reputation or financial results or limit the functionality of our software platform or our ability to sell our software platform. Governmental bodies have implemented laws and are considering further regulation of AI/ML technologies that could negatively impact our ability to use and develop platforms and products incorporating these technologies. For example, on October 30, 2023 the Biden administration issued an Executive Order to, among other things, establish extensive new standards for AI safety and security. Additionally, the European Union has proposed certain legislation, such as the EU AI Act, that, when adopted, could impose onerous obligations related to the use of AI/ML related systems. Other jurisdictions may decide to adopt similar or more restrictive legislation that may render the use of such technologies challenging. If such legislation, or similar regulations in other jurisdictions, is enacted, compliance with such obligations may be difficult, onerous, and costly, and could adversely affect our business, reputation, financial condition, results of operations, and growth prospects. Further, the intellectual property ownership and license rights, including copyright, surrounding AI/ML technologies has not been fully addressed by U.S. courts or other federal or state laws or regulations, and the use or adoption by our customers of third-party AI/ML technologies into robotic products and services may result in exposure to claims of copyright infringement or other intellectual property misappropriation or infringement.</w:t>
      </w:r>
    </w:p>
    <w:p>
      <w:pPr>
        <w:pStyle w:val="TextBody"/>
        <w:bidi w:val="0"/>
        <w:jc w:val="both"/>
        <w:rPr>
          <w:rFonts w:ascii="Times New Roman" w:hAnsi="Times New Roman"/>
          <w:color w:val="000000"/>
          <w:sz w:val="20"/>
        </w:rPr>
      </w:pPr>
      <w:r>
        <w:rPr>
          <w:rFonts w:ascii="Times New Roman" w:hAnsi="Times New Roman"/>
          <w:color w:val="000000"/>
          <w:sz w:val="20"/>
        </w:rPr>
        <w:t>Uncertainty around new and emerging AI/ML technologies, may require additional investment in the development and maintenance of proprietary datasets and ML models, development of new approaches and processes to provide attribution or remuneration to creators of training data, and development of appropriate protections and safeguards for handling the use of data with AI technologies, which may be costly and could impact our expenses as we utilize AI/ML technologies within our products. The use of AI/ML technologies presents emerging ethical and social issues, and if we enable or offer solutions that draw scrutiny or controversy due to their perceived or actual impact on customers or on society as a whole, we may experience brand or reputational harm, competitive harm and/or legal liability. These challenges may make it harder for us to conduct our business using AI, and may lead to regulatory fines or penalties, require us to change our product offerings or business practices, or prevent or limit our use of AI. If we cannot use AI, or that use is restricted, our business may be less efficient, or we may be at a competitive disadvantage. Any of these factors could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Changes in tax laws could have a material adverse effect on our business, cash flows, results of operations or financial condition.</w:t>
      </w:r>
    </w:p>
    <w:p>
      <w:pPr>
        <w:pStyle w:val="TextBody"/>
        <w:bidi w:val="0"/>
        <w:jc w:val="both"/>
        <w:rPr>
          <w:rFonts w:ascii="Times New Roman" w:hAnsi="Times New Roman"/>
          <w:color w:val="000000"/>
          <w:sz w:val="20"/>
        </w:rPr>
      </w:pPr>
      <w:r>
        <w:rPr>
          <w:rFonts w:ascii="Times New Roman" w:hAnsi="Times New Roman"/>
          <w:color w:val="000000"/>
          <w:sz w:val="20"/>
        </w:rPr>
        <w:t>We are subject to the tax laws, regulations, and policies of several taxing jurisdictions. Changes in tax laws, as well as other factors, could cause us to experience fluctuations in our tax obligations and effective tax rates or otherwise adversely affect our tax positions and/or our tax liabilities. For example, many countries and local jurisdictions and organizations such as the Organization for Economic Cooperation and Development have proposed or implemented new tax laws or changes to existing tax laws. The Tax Act has eliminated the option to deduct research and development expenditures currently and instead requires taxpayers to capitalize and amortize them over five or fifteen years beginning in 2022. However, recently proposed tax legislation, if enacted, would restore the ability to deduct domestic research and development expenditures in the current period through 2025 and would retroactively restore this benefit for 2022 and 2023. The Inflation Reduction Act of 2022 has imposed a 1% excise tax on certain repurchases of stock. Any new tax laws or changes to existing tax laws could adversely affect our effective tax rate, operating results, tax credits or incentives or tax payments, or require our potential customers to pay additional taxes, which could have a material adverse effect on our business, cash flows, results of operations or financial condition.</w:t>
      </w:r>
    </w:p>
    <w:p>
      <w:pPr>
        <w:pStyle w:val="TextBody"/>
        <w:bidi w:val="0"/>
        <w:jc w:val="both"/>
        <w:rPr>
          <w:rFonts w:ascii="Times New Roman" w:hAnsi="Times New Roman"/>
          <w:sz w:val="20"/>
        </w:rPr>
      </w:pPr>
      <w:r>
        <w:rPr>
          <w:rFonts w:ascii="Times New Roman" w:hAnsi="Times New Roman"/>
          <w:b/>
          <w:i/>
          <w:color w:val="000000"/>
          <w:sz w:val="20"/>
        </w:rPr>
        <w:t>We may become subject to new or changing governmental regulations relating to the development, marketing, licensing, distribution or use of our AI/ML Software Platform or the providing of customer service, and a failure to comply with such regulations could lead to withdrawal of our software platform from the market</w:t>
      </w:r>
      <w:r>
        <w:rPr>
          <w:rFonts w:ascii="Times New Roman" w:hAnsi="Times New Roman"/>
          <w:color w:val="000000"/>
          <w:sz w:val="20"/>
        </w:rPr>
        <w:t xml:space="preserve">, </w:t>
      </w:r>
      <w:r>
        <w:rPr>
          <w:rFonts w:ascii="Times New Roman" w:hAnsi="Times New Roman"/>
          <w:b/>
          <w:i/>
          <w:color w:val="000000"/>
          <w:sz w:val="20"/>
        </w:rPr>
        <w:t>delay our projected revenue, increase costs and/or make our business unviable if we are unable to modify our software platform to comply.</w:t>
      </w:r>
    </w:p>
    <w:p>
      <w:pPr>
        <w:pStyle w:val="TextBody"/>
        <w:bidi w:val="0"/>
        <w:jc w:val="both"/>
        <w:rPr>
          <w:rFonts w:ascii="Times New Roman" w:hAnsi="Times New Roman"/>
          <w:color w:val="000000"/>
          <w:sz w:val="20"/>
        </w:rPr>
      </w:pPr>
      <w:r>
        <w:rPr>
          <w:rFonts w:ascii="Times New Roman" w:hAnsi="Times New Roman"/>
          <w:color w:val="000000"/>
          <w:sz w:val="20"/>
        </w:rPr>
        <w:t>We may become subject to new or changing international, national, state and local regulations, including laws relating to the development, marketing, licensing, distribution or use of AI/ML software products, or to the providing of customer service, such as our AI/ML Software Platform. Such laws and regulations may also cover employment, taxation, privacy, data security, data protection, pricing, content, copyrights and other intellectual property, mobile communications, electronic contracts and other communications, consumer protection, unencumbered internet access to our services, the design and operation of websites, and the characteristics and quality of software and services, and may require us to pause sales and modify our software products, which would likely result in a material adverse effect on our revenue and financial condition,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of our software products from the market.</w:t>
      </w:r>
    </w:p>
    <w:p>
      <w:pPr>
        <w:pStyle w:val="TextBody"/>
        <w:bidi w:val="0"/>
        <w:jc w:val="both"/>
        <w:rPr>
          <w:rFonts w:ascii="Times New Roman" w:hAnsi="Times New Roman"/>
          <w:b/>
          <w:i/>
          <w:color w:val="000000"/>
          <w:sz w:val="20"/>
        </w:rPr>
      </w:pPr>
      <w:r>
        <w:rPr>
          <w:rFonts w:ascii="Times New Roman" w:hAnsi="Times New Roman"/>
          <w:b/>
          <w:i/>
          <w:color w:val="000000"/>
          <w:sz w:val="20"/>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We may be subject to claims, lawsuits, arbitration proceedings, government investigations and other legal, regulatory and administrative proceedings. In addition, we may be subject to the heightened scrutiny that is sometimes directed toward companies taken public via a 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jc w:val="both"/>
        <w:rPr>
          <w:rFonts w:ascii="Times New Roman" w:hAnsi="Times New Roman"/>
          <w:color w:val="000000"/>
          <w:sz w:val="20"/>
        </w:rPr>
      </w:pPr>
      <w:r>
        <w:rPr>
          <w:rFonts w:ascii="Times New Roman" w:hAnsi="Times New Roman"/>
          <w:color w:val="000000"/>
          <w:sz w:val="20"/>
        </w:rPr>
        <w:t>Further, under certain circumstances we have or may take on contractual or other legal obligations to indemnify and to incur legal expenses on behalf of investors, directors, officers, employees, customers, vendors or other third-parties. For example, our Amended and Restated 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We are subject to evolving laws, regulations, standards, policies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operating results.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pStyle w:val="TextBody"/>
        <w:bidi w:val="0"/>
        <w:jc w:val="both"/>
        <w:rPr>
          <w:rFonts w:ascii="Times New Roman" w:hAnsi="Times New Roman"/>
          <w:color w:val="000000"/>
          <w:sz w:val="20"/>
        </w:rPr>
      </w:pPr>
      <w:r>
        <w:rPr>
          <w:rFonts w:ascii="Times New Roman" w:hAnsi="Times New Roman"/>
          <w:color w:val="000000"/>
          <w:sz w:val="20"/>
        </w:rPr>
        <w:t xml:space="preserve">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was modified and supplement by, the California Privacy Rights Act (“CPRA”), which went into effect on January 1, 2023. Numerous other states have proposed, and in many cases have enacted, laws addressing data privacy and security. For example, Virginia, Colorado, Connecticut, Delaware, Utah, Iowa, Indiana, Texas, Montana, Oregon, Florida, New Jersey, and Tennessee have enacted laws similar to the CCPA and CPRA that have taken or will take effect between 2023 and 2026. The U.S. federal government also is contemplating federal privacy legislation.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 </w:t>
      </w:r>
    </w:p>
    <w:p>
      <w:pPr>
        <w:pStyle w:val="TextBody"/>
        <w:bidi w:val="0"/>
        <w:jc w:val="both"/>
        <w:rPr>
          <w:rFonts w:ascii="Times New Roman" w:hAnsi="Times New Roman"/>
          <w:color w:val="000000"/>
          <w:sz w:val="20"/>
        </w:rPr>
      </w:pPr>
      <w:r>
        <w:rPr>
          <w:rFonts w:ascii="Times New Roman" w:hAnsi="Times New Roman"/>
          <w:color w:val="000000"/>
          <w:sz w:val="20"/>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which generally are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version of the GDPR, which it maintains along with its Data Protection Act,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pStyle w:val="TextBody"/>
        <w:bidi w:val="0"/>
        <w:jc w:val="both"/>
        <w:rPr>
          <w:rFonts w:ascii="Times New Roman" w:hAnsi="Times New Roman"/>
          <w:b/>
          <w:i/>
          <w:color w:val="000000"/>
          <w:sz w:val="20"/>
        </w:rPr>
      </w:pPr>
      <w:r>
        <w:rPr>
          <w:rFonts w:ascii="Times New Roman" w:hAnsi="Times New Roman"/>
          <w:b/>
          <w:i/>
          <w:color w:val="000000"/>
          <w:sz w:val="20"/>
        </w:rPr>
        <w:t>We are subject to cybersecurity risks to our operational systems, security systems, infrastructure, and data processed by us or third-party vendors.</w:t>
      </w:r>
    </w:p>
    <w:p>
      <w:pPr>
        <w:pStyle w:val="TextBody"/>
        <w:bidi w:val="0"/>
        <w:jc w:val="both"/>
        <w:rPr>
          <w:rFonts w:ascii="Times New Roman" w:hAnsi="Times New Roman"/>
          <w:color w:val="000000"/>
          <w:sz w:val="20"/>
        </w:rPr>
      </w:pPr>
      <w:r>
        <w:rPr>
          <w:rFonts w:ascii="Times New Roman" w:hAnsi="Times New Roman"/>
          <w:color w:val="000000"/>
          <w:sz w:val="20"/>
        </w:rPr>
        <w:t xml:space="preserve">Our business and operations may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Some of our employees work remotely which has increased security risks. In addition, the risk of state-supported and geopolitical-related cybersecurity attacks is believed to be heightened in connection with international conflicts and any related political or economic responses and counter-responses. </w:t>
      </w:r>
    </w:p>
    <w:p>
      <w:pPr>
        <w:pStyle w:val="TextBody"/>
        <w:bidi w:val="0"/>
        <w:jc w:val="both"/>
        <w:rPr>
          <w:rFonts w:ascii="Times New Roman" w:hAnsi="Times New Roman"/>
          <w:color w:val="000000"/>
          <w:sz w:val="20"/>
        </w:rPr>
      </w:pPr>
      <w:r>
        <w:rPr>
          <w:rFonts w:ascii="Times New Roman" w:hAnsi="Times New Roman"/>
          <w:color w:val="000000"/>
          <w:sz w:val="20"/>
        </w:rPr>
        <w:t>We are at risk for interruptions, outages and breaches of (a) operational systems, including business, financial, accounting, product development, data processing or production processes, owned by us or our third-party vendors or suppliers; (b) facility security systems, owned by us or our third-party vendors or suppliers; (c) in-product technology, owned by us or our third-party vendors; (d) our software, including third-party software we license; and (e) customer data that we process or our third-party vendors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or others; jeopardize the security of our facilities; or affect the performance of in-product technology and the integrated software in our systems. Certain efforts may be state-sponsored or supported by significant financial and technological resources, making them even more difficult to detect, remediate and otherwise respond to.</w:t>
      </w:r>
    </w:p>
    <w:p>
      <w:pPr>
        <w:pStyle w:val="TextBody"/>
        <w:bidi w:val="0"/>
        <w:jc w:val="both"/>
        <w:rPr>
          <w:rFonts w:ascii="Times New Roman" w:hAnsi="Times New Roman"/>
          <w:color w:val="000000"/>
          <w:sz w:val="20"/>
        </w:rPr>
      </w:pPr>
      <w:r>
        <w:rPr>
          <w:rFonts w:ascii="Times New Roman" w:hAnsi="Times New Roman"/>
          <w:color w:val="000000"/>
          <w:sz w:val="20"/>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may face objections to our intended collection or use of data, which may require us to implement new or modified data handling policies and mechanisms, increase our maintenance costs and costs associated with data processing and handling, and harm our business prospects. The use of AI/ML technologies may result in security incidents and our use of AI/ML technologies may create additional cybersecurity risks or increase cybersecurity risks, including risks of security breaches and incidents. Further, AI/ML technologies may be used in connection with certain cybersecurity attacks, including to launch more automated, targeted and coordinated attacks, resulting in heightened risks of security breaches and incidents.</w:t>
      </w:r>
    </w:p>
    <w:p>
      <w:pPr>
        <w:pStyle w:val="TextBody"/>
        <w:bidi w:val="0"/>
        <w:jc w:val="both"/>
        <w:rPr>
          <w:rFonts w:ascii="Times New Roman" w:hAnsi="Times New Roman"/>
          <w:color w:val="000000"/>
          <w:sz w:val="20"/>
        </w:rPr>
      </w:pPr>
      <w:r>
        <w:rPr>
          <w:rFonts w:ascii="Times New Roman" w:hAnsi="Times New Roman"/>
          <w:color w:val="000000"/>
          <w:sz w:val="20"/>
        </w:rPr>
        <w:t xml:space="preserve">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IT and infrastructure used in our business may be vulnerable to cyber attacks or security breaches or incidents, and third parties may be able to access data, including personal data and other sensitive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and proprietary data of ours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 </w:t>
      </w:r>
    </w:p>
    <w:p>
      <w:pPr>
        <w:pStyle w:val="TextBody"/>
        <w:bidi w:val="0"/>
        <w:jc w:val="both"/>
        <w:rPr>
          <w:rFonts w:ascii="Times New Roman" w:hAnsi="Times New Roman"/>
          <w:color w:val="000000"/>
          <w:sz w:val="20"/>
        </w:rPr>
      </w:pPr>
      <w:r>
        <w:rPr>
          <w:rFonts w:ascii="Times New Roman" w:hAnsi="Times New Roman"/>
          <w:color w:val="000000"/>
          <w:sz w:val="20"/>
        </w:rPr>
        <w:t>Moreover, there are inherent risks associated with developing, improving, expanding and updating our current systems, such as the disruption of our data management, procurement, production execution, finance and sales and service processes. These risks may affect our ability to manage our data or deploy and service our products and solutions,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pStyle w:val="TextBody"/>
        <w:bidi w:val="0"/>
        <w:jc w:val="both"/>
        <w:rPr>
          <w:rFonts w:ascii="Times New Roman" w:hAnsi="Times New Roman"/>
          <w:color w:val="000000"/>
          <w:sz w:val="20"/>
        </w:rPr>
      </w:pPr>
      <w:r>
        <w:rPr>
          <w:rFonts w:ascii="Times New Roman" w:hAnsi="Times New Roman"/>
          <w:color w:val="000000"/>
          <w:sz w:val="20"/>
        </w:rPr>
        <w:t>Any actual or perceived security breach or security incident, or any systems outages or other disruption to systems used in our business, could interrupt our operations, result in loss or improper access to, or acquisition, unavailability, modification, disclosure or other processing of, data or a loss of intellectual property protection, harm our reputation and competitive position, reduce demand for our software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pStyle w:val="TextBody"/>
        <w:bidi w:val="0"/>
        <w:jc w:val="both"/>
        <w:rPr>
          <w:rFonts w:ascii="Times New Roman" w:hAnsi="Times New Roman"/>
          <w:b/>
          <w:i/>
          <w:color w:val="000000"/>
          <w:sz w:val="20"/>
        </w:rPr>
      </w:pPr>
      <w:r>
        <w:rPr>
          <w:rFonts w:ascii="Times New Roman" w:hAnsi="Times New Roman"/>
          <w:b/>
          <w:i/>
          <w:color w:val="000000"/>
          <w:sz w:val="20"/>
        </w:rPr>
        <w:t>We are subject to laws, regulations and contractual provisions as a government contractor or subcontractor, which may pose increased risk of potential liability and expenses related thereto, which could have a material adverse effect on our business, operating results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U.S. governmental agencies, such as the Defense Contract Audit Agency and the Defense Contract Management Agency, routinely audit and investigate government contractors. In addition,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software products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i/>
          <w:color w:val="000000"/>
          <w:sz w:val="20"/>
        </w:rPr>
        <w:t>We are subject to U.S. and foreign anti-corruption and anti-money laundering laws and regulations. We can face criminal liability and other serious consequences for violations of these laws, which can harm our business, prospects, financial condition and operating results.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 </w:t>
      </w:r>
    </w:p>
    <w:p>
      <w:pPr>
        <w:pStyle w:val="TextBody"/>
        <w:bidi w:val="0"/>
        <w:jc w:val="both"/>
        <w:rPr>
          <w:rFonts w:ascii="Times New Roman" w:hAnsi="Times New Roman"/>
          <w:color w:val="000000"/>
          <w:sz w:val="20"/>
        </w:rPr>
      </w:pPr>
      <w:r>
        <w:rPr>
          <w:rFonts w:ascii="Times New Roman" w:hAnsi="Times New Roman"/>
          <w:color w:val="000000"/>
          <w:sz w:val="20"/>
        </w:rPr>
        <w:t>We have direct and indirect interactions with foreign officials, including in furtherance of sales to governmental entities in non-U.S. countries. We sometimes leverage third parties to conduct our business abroad, and our third-party business partners, intermediaries,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ultimately held responsible. Our exposure for violating these laws increases as our international presence expands and as we increase sales and operations in foreign jurisdictions.</w:t>
      </w:r>
    </w:p>
    <w:p>
      <w:pPr>
        <w:pStyle w:val="TextBody"/>
        <w:bidi w:val="0"/>
        <w:jc w:val="both"/>
        <w:rPr>
          <w:rFonts w:ascii="Times New Roman" w:hAnsi="Times New Roman"/>
          <w:color w:val="000000"/>
          <w:sz w:val="20"/>
        </w:rPr>
      </w:pPr>
      <w:r>
        <w:rPr>
          <w:rFonts w:ascii="Times New Roman" w:hAnsi="Times New Roman"/>
          <w:color w:val="000000"/>
          <w:sz w:val="20"/>
        </w:rPr>
        <w:t>Any allegations or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pStyle w:val="TextBody"/>
        <w:bidi w:val="0"/>
        <w:jc w:val="both"/>
        <w:rPr>
          <w:rFonts w:ascii="Times New Roman" w:hAnsi="Times New Roman"/>
          <w:b/>
          <w:i/>
          <w:color w:val="000000"/>
          <w:sz w:val="20"/>
        </w:rPr>
      </w:pPr>
      <w:r>
        <w:rPr>
          <w:rFonts w:ascii="Times New Roman" w:hAnsi="Times New Roman"/>
          <w:b/>
          <w:i/>
          <w:color w:val="000000"/>
          <w:sz w:val="20"/>
        </w:rPr>
        <w:t>We are subject to governmental export and import controls and laws that could subject us to liability if we are not in compliance with such laws.</w:t>
      </w:r>
    </w:p>
    <w:p>
      <w:pPr>
        <w:pStyle w:val="TextBody"/>
        <w:bidi w:val="0"/>
        <w:jc w:val="both"/>
        <w:rPr>
          <w:rFonts w:ascii="Times New Roman" w:hAnsi="Times New Roman"/>
          <w:color w:val="000000"/>
          <w:sz w:val="20"/>
        </w:rPr>
      </w:pPr>
      <w:r>
        <w:rPr>
          <w:rFonts w:ascii="Times New Roman" w:hAnsi="Times New Roman"/>
          <w:color w:val="000000"/>
          <w:sz w:val="20"/>
        </w:rPr>
        <w:t>Our AI/ML Software Platform and technology are subject to compliance with applicable export control, import and economic sanctions laws and regulations, including the U.S. Export Administration Regulations, U.S. International Traffic in Arms Regulations, U.S. Customs regulations and various economic and trade sanctions regulations administered by the U.S. Treasury Department’s Office of Foreign Assets Control. Exports of our software and technology must be made in compliance with these laws and regulations. If we fail to comply with these laws and regulations, we and certain of our employees could be subject to substantial civil or criminal penalties, including the possible loss of export or import privileges; debarment from U.S. government contracting; fines, which may be imposed on us and responsible employees or managers; and, in extreme cases, the incarceration of responsible employees or managers.</w:t>
      </w:r>
    </w:p>
    <w:p>
      <w:pPr>
        <w:pStyle w:val="TextBody"/>
        <w:bidi w:val="0"/>
        <w:jc w:val="both"/>
        <w:rPr>
          <w:rFonts w:ascii="Times New Roman" w:hAnsi="Times New Roman"/>
          <w:color w:val="000000"/>
          <w:sz w:val="20"/>
        </w:rPr>
      </w:pPr>
      <w:r>
        <w:rPr>
          <w:rFonts w:ascii="Times New Roman" w:hAnsi="Times New Roman"/>
          <w:color w:val="000000"/>
          <w:sz w:val="20"/>
        </w:rPr>
        <w:t xml:space="preserve">Moreover, international sales of our software may be subject to first obtaining licenses, clearances or authorizations from various regulatory entities. If we are not allowed to export our software or the clearance process is burdensome and costly, our ability to generate revenue would be adversely affected. </w:t>
      </w:r>
    </w:p>
    <w:p>
      <w:pPr>
        <w:pStyle w:val="TextBody"/>
        <w:bidi w:val="0"/>
        <w:jc w:val="left"/>
        <w:rPr>
          <w:rFonts w:ascii="Times New Roman" w:hAnsi="Times New Roman"/>
          <w:color w:val="000000"/>
          <w:sz w:val="20"/>
        </w:rPr>
      </w:pPr>
      <w:r>
        <w:rPr>
          <w:rFonts w:ascii="Times New Roman" w:hAnsi="Times New Roman"/>
          <w:color w:val="000000"/>
          <w:sz w:val="20"/>
        </w:rPr>
        <w:t>In addition, changes to our software, or changes in applicable export control, import or economic sanctions laws and regulations may create delays in the introduction and sale of our software platform, constrain collaboration with suppliers or other business partners or, in some cases, prevent the export or import of our software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software platform systems, as well as our decreased ability to export or market our software to potential customers. Any decreased use of our software platform or limitation on our ability to export or market our software would likely adversely affect our business, prospects, financial condition and operating results.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Increased scrutiny and changing expectations from regulators,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Companies across all industries are facing increasing scrutiny related to their environmental, social and governance, or ESG, practices and reporting. Regulators, investors, customers, employees and other stakeholders have focused increasingly on ESG practices and placed increasing importance on the implications and social cost of their investments, purchases and other interactions with companies. If our ESG practices and reporting do not meet investor, customer, or employee expectations, which continue to evolve, our brand, reputation and customer retention may be negatively impacted. We could also incur additional costs and need to devote additional resources to monitor, report and implement various ESG practices, including as a result of regulatory developments.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jc w:val="both"/>
        <w:rPr>
          <w:rFonts w:ascii="Times New Roman" w:hAnsi="Times New Roman"/>
          <w:b/>
          <w:i/>
          <w:color w:val="000000"/>
          <w:sz w:val="20"/>
        </w:rPr>
      </w:pPr>
      <w:r>
        <w:rPr>
          <w:rFonts w:ascii="Times New Roman" w:hAnsi="Times New Roman"/>
          <w:b/>
          <w:i/>
          <w:color w:val="000000"/>
          <w:sz w:val="20"/>
        </w:rPr>
        <w:t>Our success depends in part on our ability to obtain and maintain protection for the intellectual property relating to our software and other technologies.</w:t>
      </w:r>
    </w:p>
    <w:p>
      <w:pPr>
        <w:pStyle w:val="TextBody"/>
        <w:bidi w:val="0"/>
        <w:jc w:val="both"/>
        <w:rPr>
          <w:rFonts w:ascii="Times New Roman" w:hAnsi="Times New Roman"/>
          <w:color w:val="000000"/>
          <w:sz w:val="20"/>
        </w:rPr>
      </w:pPr>
      <w:r>
        <w:rPr>
          <w:rFonts w:ascii="Times New Roman" w:hAnsi="Times New Roman"/>
          <w:color w:val="000000"/>
          <w:sz w:val="20"/>
        </w:rPr>
        <w:t>Our success depends in part on our ability to obtain and maintain protection for the intellectual property relating to our software and other technologies.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copyright and trade secret law to protect our proprietary software and product candidates/products in development.</w:t>
      </w:r>
    </w:p>
    <w:p>
      <w:pPr>
        <w:pStyle w:val="TextBody"/>
        <w:bidi w:val="0"/>
        <w:jc w:val="both"/>
        <w:rPr>
          <w:rFonts w:ascii="Times New Roman" w:hAnsi="Times New Roman"/>
          <w:color w:val="000000"/>
          <w:sz w:val="20"/>
        </w:rPr>
      </w:pPr>
      <w:r>
        <w:rPr>
          <w:rFonts w:ascii="Times New Roman" w:hAnsi="Times New Roman"/>
          <w:color w:val="000000"/>
          <w:sz w:val="20"/>
        </w:rPr>
        <w:t xml:space="preserve">Patent positions covering robotics software and solutions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software platform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pending patent applications or that any patents that are granted will be adequate to exclude others for any significant period of time or at all. Given the foregoing, and in order to continue reducing operational expenses in the future, we plan to invest fewer resources in filing and prosecuting new patents and on maintaining and enforcing various patents, especially in regions where we currently do not focus our market growth strategy or with respect to patents with less relevant to our current business. </w:t>
      </w:r>
    </w:p>
    <w:p>
      <w:pPr>
        <w:pStyle w:val="TextBody"/>
        <w:bidi w:val="0"/>
        <w:jc w:val="both"/>
        <w:rPr>
          <w:rFonts w:ascii="Times New Roman" w:hAnsi="Times New Roman"/>
          <w:color w:val="000000"/>
          <w:sz w:val="20"/>
        </w:rPr>
      </w:pPr>
      <w:r>
        <w:rPr>
          <w:rFonts w:ascii="Times New Roman" w:hAnsi="Times New Roman"/>
          <w:color w:val="000000"/>
          <w:sz w:val="20"/>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we seek to protect our trade secrets, know-how, and confidential information that is not patentable or for which we decide not to seek a patent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 material to our business after the term of the license, our inability to use them could adversely affect our business and profitability.</w:t>
      </w:r>
    </w:p>
    <w:p>
      <w:pPr>
        <w:pStyle w:val="TextBody"/>
        <w:bidi w:val="0"/>
        <w:jc w:val="both"/>
        <w:rPr>
          <w:rFonts w:ascii="Times New Roman" w:hAnsi="Times New Roman"/>
          <w:color w:val="000000"/>
          <w:sz w:val="20"/>
        </w:rPr>
      </w:pPr>
      <w:r>
        <w:rPr>
          <w:rFonts w:ascii="Times New Roman" w:hAnsi="Times New Roman"/>
          <w:color w:val="000000"/>
          <w:sz w:val="20"/>
        </w:rPr>
        <w:t>We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software or other technologies that we consider proprietary or our proprietary information may otherwise become known or may be independently developed by our competitors or other third parties. If other parties are able to use our proprietary technology or information, our ability to compete in the market could be harmed. Further, unauthorized use of our intellectual property may have occurred, or may occur in the future, without our knowledge.</w:t>
      </w:r>
    </w:p>
    <w:p>
      <w:pPr>
        <w:pStyle w:val="TextBody"/>
        <w:bidi w:val="0"/>
        <w:jc w:val="both"/>
        <w:rPr>
          <w:rFonts w:ascii="Times New Roman" w:hAnsi="Times New Roman"/>
          <w:color w:val="000000"/>
          <w:sz w:val="20"/>
        </w:rPr>
      </w:pPr>
      <w:r>
        <w:rPr>
          <w:rFonts w:ascii="Times New Roman" w:hAnsi="Times New Roman"/>
          <w:color w:val="000000"/>
          <w:sz w:val="20"/>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we are unable to obtain or maintain adequate protection for our intellectual property, or if any protection is reduced or eliminated, competitors may be able to use our technologies, resulting in harm to our competitive position and our business.</w:t>
      </w:r>
    </w:p>
    <w:p>
      <w:pPr>
        <w:pStyle w:val="TextBody"/>
        <w:bidi w:val="0"/>
        <w:jc w:val="both"/>
        <w:rPr>
          <w:rFonts w:ascii="Times New Roman" w:hAnsi="Times New Roman"/>
          <w:b/>
          <w:i/>
          <w:color w:val="000000"/>
          <w:sz w:val="20"/>
        </w:rPr>
      </w:pPr>
      <w:r>
        <w:rPr>
          <w:rFonts w:ascii="Times New Roman" w:hAnsi="Times New Roman"/>
          <w:b/>
          <w:i/>
          <w:color w:val="000000"/>
          <w:sz w:val="20"/>
        </w:rPr>
        <w:t>We may not be able to effectively protect our intellectual property rights in our target markets or at all.</w:t>
      </w:r>
    </w:p>
    <w:p>
      <w:pPr>
        <w:pStyle w:val="TextBody"/>
        <w:bidi w:val="0"/>
        <w:jc w:val="both"/>
        <w:rPr>
          <w:rFonts w:ascii="Times New Roman" w:hAnsi="Times New Roman"/>
          <w:color w:val="000000"/>
          <w:sz w:val="20"/>
        </w:rPr>
      </w:pPr>
      <w:r>
        <w:rPr>
          <w:rFonts w:ascii="Times New Roman" w:hAnsi="Times New Roman"/>
          <w:color w:val="000000"/>
          <w:sz w:val="20"/>
        </w:rPr>
        <w:t>Filing, prosecuting, maintaining and defending patents and trademarks and seeking to enforce copyrights on our intellectual property in all target markets would be prohibitively expensive and time consuming, and thus our intellectual property rights outside the United States are limited. In addition, the laws of some of our target markets,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of our target markets, or from selling or importing products made using our inventions, technologies or software in the jurisdictions in which we do not have (or are unable to effectively enforce) patent or other intellectual property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software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pStyle w:val="TextBody"/>
        <w:bidi w:val="0"/>
        <w:jc w:val="both"/>
        <w:rPr>
          <w:rFonts w:ascii="Times New Roman" w:hAnsi="Times New Roman"/>
          <w:b/>
          <w:i/>
          <w:color w:val="000000"/>
          <w:sz w:val="20"/>
        </w:rPr>
      </w:pPr>
      <w:r>
        <w:rPr>
          <w:rFonts w:ascii="Times New Roman" w:hAnsi="Times New Roman"/>
          <w:b/>
          <w:i/>
          <w:color w:val="000000"/>
          <w:sz w:val="20"/>
        </w:rPr>
        <w:t>We may be subject to intellectual property infringement claims or misappropriation claims, which may be time consuming and expensive and, if adversely determined, could limit our ability to commercialize our software products.</w:t>
      </w:r>
    </w:p>
    <w:p>
      <w:pPr>
        <w:pStyle w:val="TextBody"/>
        <w:bidi w:val="0"/>
        <w:jc w:val="both"/>
        <w:rPr>
          <w:rFonts w:ascii="Times New Roman" w:hAnsi="Times New Roman"/>
          <w:color w:val="000000"/>
          <w:sz w:val="20"/>
        </w:rPr>
      </w:pPr>
      <w:r>
        <w:rPr>
          <w:rFonts w:ascii="Times New Roman" w:hAnsi="Times New Roman"/>
          <w:color w:val="000000"/>
          <w:sz w:val="20"/>
        </w:rPr>
        <w:t>Companies operating in the robotics software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pStyle w:val="TextBody"/>
        <w:bidi w:val="0"/>
        <w:jc w:val="both"/>
        <w:rPr>
          <w:rFonts w:ascii="Times New Roman" w:hAnsi="Times New Roman"/>
          <w:color w:val="000000"/>
          <w:sz w:val="20"/>
        </w:rPr>
      </w:pPr>
      <w:r>
        <w:rPr>
          <w:rFonts w:ascii="Times New Roman" w:hAnsi="Times New Roman"/>
          <w:color w:val="000000"/>
          <w:sz w:val="20"/>
        </w:rPr>
        <w:t xml:space="preserve">Determining whether a product infringes a patent involves complex legal and factual issues and the outcome of patent litigation is often uncertain. No assurance can be given that patents containing claims covering our software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software, technology or methods. Moreover, there may be pending, published or allowed applications that may disclose, but not claim, subject matter covering our software, technology or methods, where such pending or published applications may be amended, or one or more continuation or divisional applications may be filed, in an attempt to capture, to the extent possible, such software, technology or methods that are in the public domain, and which may result in issued patents that our current or future products infringe. </w:t>
      </w:r>
    </w:p>
    <w:p>
      <w:pPr>
        <w:pStyle w:val="TextBody"/>
        <w:bidi w:val="0"/>
        <w:jc w:val="both"/>
        <w:rPr>
          <w:rFonts w:ascii="Times New Roman" w:hAnsi="Times New Roman"/>
          <w:color w:val="000000"/>
          <w:sz w:val="20"/>
        </w:rPr>
      </w:pPr>
      <w:r>
        <w:rPr>
          <w:rFonts w:ascii="Times New Roman" w:hAnsi="Times New Roman"/>
          <w:color w:val="000000"/>
          <w:sz w:val="20"/>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software products, unless we can obtain a license to use the technology covered by such patents or can redesign our software products so that they do not infringe. A license may not be available on commercially reasonable terms or at all, and we may not be able to redesign our software products to avoid infringement. In these circumstances, we may not be able to sell our software products at competitive prices or at all, and our business, prospects, financial condition and operating results would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jc w:val="both"/>
        <w:rPr>
          <w:rFonts w:ascii="Times New Roman" w:hAnsi="Times New Roman"/>
          <w:color w:val="000000"/>
          <w:sz w:val="20"/>
        </w:rPr>
      </w:pPr>
      <w:r>
        <w:rPr>
          <w:rFonts w:ascii="Times New Roman" w:hAnsi="Times New Roman"/>
          <w:color w:val="000000"/>
          <w:sz w:val="20"/>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intellectual property rights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bidi w:val="0"/>
        <w:jc w:val="both"/>
        <w:rPr>
          <w:rFonts w:ascii="Times New Roman" w:hAnsi="Times New Roman"/>
          <w:b/>
          <w:i/>
          <w:color w:val="000000"/>
          <w:sz w:val="20"/>
        </w:rPr>
      </w:pPr>
      <w:r>
        <w:rPr>
          <w:rFonts w:ascii="Times New Roman" w:hAnsi="Times New Roman"/>
          <w:b/>
          <w:i/>
          <w:color w:val="000000"/>
          <w:sz w:val="20"/>
        </w:rPr>
        <w:t>We may be subject to damages resulting from claims that we or our employees have wrongfully used or disclosed alleged trade secrets of our employees’ former employers.</w:t>
      </w:r>
    </w:p>
    <w:p>
      <w:pPr>
        <w:pStyle w:val="TextBody"/>
        <w:bidi w:val="0"/>
        <w:jc w:val="both"/>
        <w:rPr>
          <w:rFonts w:ascii="Times New Roman" w:hAnsi="Times New Roman"/>
          <w:color w:val="000000"/>
          <w:sz w:val="20"/>
        </w:rPr>
      </w:pPr>
      <w:r>
        <w:rPr>
          <w:rFonts w:ascii="Times New Roman" w:hAnsi="Times New Roman"/>
          <w:color w:val="000000"/>
          <w:sz w:val="20"/>
        </w:rPr>
        <w:t>We may be subject to claims that we or our employees have inadvertently or otherwise used or disclosed trade secrets or other proprietary information of an employee’s former employers. Litigation may be necessary to defend against these claims. If we fail to defend against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software products, which could severely harm our business. Even if we are successful in defending against these claims, litigation could result in substantial costs and demand on management resources.</w:t>
      </w:r>
    </w:p>
    <w:p>
      <w:pPr>
        <w:pStyle w:val="TextBody"/>
        <w:bidi w:val="0"/>
        <w:jc w:val="both"/>
        <w:rPr>
          <w:rFonts w:ascii="Times New Roman" w:hAnsi="Times New Roman"/>
          <w:b/>
          <w:color w:val="000000"/>
          <w:sz w:val="20"/>
        </w:rPr>
      </w:pPr>
      <w:r>
        <w:rPr>
          <w:rFonts w:ascii="Times New Roman" w:hAnsi="Times New Roman"/>
          <w:b/>
          <w:color w:val="000000"/>
          <w:sz w:val="20"/>
        </w:rPr>
        <w:t>Risks Related to Ownership of our Securities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price of our Common Stock could decline due to the large number of shares of our Common Stock being subject to employee equity awards.</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granted and expect to continue to grant equity awards to our directors and employees as additional compensation in an effort to align their interests with those of our stockholders. Because awards granted to certain executive officers and directors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 </w:t>
      </w:r>
    </w:p>
    <w:p>
      <w:pPr>
        <w:pStyle w:val="TextBody"/>
        <w:bidi w:val="0"/>
        <w:jc w:val="both"/>
        <w:rPr>
          <w:color w:val="000000"/>
        </w:rPr>
      </w:pPr>
      <w:r>
        <w:rPr>
          <w:color w:val="000000"/>
        </w:rPr>
        <w:t>“</w:t>
      </w:r>
      <w:r>
        <w:rPr>
          <w:rFonts w:ascii="Times New Roman" w:hAnsi="Times New Roman"/>
          <w:color w:val="000000"/>
          <w:sz w:val="20"/>
        </w:rPr>
        <w:t>Sell-to-cover” transactions can be used in connection with the vesting and settlement of equity awards that are granted to our employees so that shares of our Common Stock are sold on behalf of our employees in an amount sufficient to cover the tax withholding obligations and, if applicable, exercise price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markets for our Common Stock and Warrants have been volatile and may not continue at all.</w:t>
      </w:r>
    </w:p>
    <w:p>
      <w:pPr>
        <w:pStyle w:val="TextBody"/>
        <w:bidi w:val="0"/>
        <w:jc w:val="both"/>
        <w:rPr>
          <w:rFonts w:ascii="Times New Roman" w:hAnsi="Times New Roman"/>
          <w:color w:val="000000"/>
          <w:sz w:val="20"/>
        </w:rPr>
      </w:pPr>
      <w:r>
        <w:rPr>
          <w:rFonts w:ascii="Times New Roman" w:hAnsi="Times New Roman"/>
          <w:color w:val="000000"/>
          <w:sz w:val="20"/>
        </w:rPr>
        <w:t>Since the Business Combination and the commencement of the trading of our Common Stock and Warrants on the Nasdaq Global Market, the prices of our Common Stock and Warrants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bidi w:val="0"/>
        <w:jc w:val="both"/>
        <w:rPr>
          <w:rFonts w:ascii="Times New Roman" w:hAnsi="Times New Roman"/>
          <w:color w:val="000000"/>
          <w:sz w:val="20"/>
        </w:rPr>
      </w:pPr>
      <w:r>
        <w:rPr>
          <w:rFonts w:ascii="Times New Roman" w:hAnsi="Times New Roman"/>
          <w:color w:val="000000"/>
          <w:sz w:val="20"/>
        </w:rPr>
        <w:t>Factors affecting the trading price of our securities may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or anticipated fluctuations in our quarterly financial results or the quarterly financial results of companies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the market’s expectations about our operating results;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public’s reaction to our press releases, our other public announcements and our filings with the SEC;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strategy or financial condition;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speculation in the press or investment community;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 of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results failing to meet the expectation of securities analysts or investors in a particular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operating performance and stock market valuations of robotics software or other technology companies, or those in our industry in particular;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financial estimates and recommendations by securities analysts concerning our company or the market in general;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and stock price performance of other companies that investors deem comparable to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market, sell and deliver our AI/ML Software Platform on a timely basis;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laws and regulations affecting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commencement of, or involvement in,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our capital structure, such as future issuances of securities or the incurrence of additional debt;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volume of shares of the Common Stock and Public Warrants available for public sale, including as a result of the exercise of any of our Warrants or the exercise or vesting of employee equity awards;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major change in our board of directors or management;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substantial amounts of Common Stock by our directors, officers or significant stockholders or the perception that such sales could occur;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realization of any of the risk factors discussed herein;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failure to comply with Nasdaq listing requirements (see </w:t>
      </w:r>
      <w:r>
        <w:rPr>
          <w:color w:val="000000"/>
        </w:rPr>
        <w:t>“</w:t>
      </w:r>
      <w:r>
        <w:rPr>
          <w:rFonts w:ascii="Times New Roman" w:hAnsi="Times New Roman"/>
          <w:i/>
          <w:color w:val="000000"/>
          <w:sz w:val="20"/>
        </w:rPr>
        <w:t>Our Common Stock may be delisted from The Nasdaq Global Market if we cannot satisfy Nasdaq’s continued listing requirements”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to comply with the Sarbanes-Oxley Act of 2002 or other laws or regulations;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actual, potential or perceived control, accounting or reporting problems;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accounting principles, policies and guidelines;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and political conditions such as recessions, interest rates, fuel prices, international currency fluctuations and acts of war or terrorism.</w:t>
      </w:r>
    </w:p>
    <w:p>
      <w:pPr>
        <w:pStyle w:val="TextBody"/>
        <w:bidi w:val="0"/>
        <w:jc w:val="both"/>
        <w:rPr>
          <w:rFonts w:ascii="Times New Roman" w:hAnsi="Times New Roman"/>
          <w:color w:val="000000"/>
          <w:sz w:val="20"/>
        </w:rPr>
      </w:pPr>
      <w:r>
        <w:rPr>
          <w:rFonts w:ascii="Times New Roman" w:hAnsi="Times New Roman"/>
          <w:color w:val="000000"/>
          <w:sz w:val="20"/>
        </w:rPr>
        <w:t xml:space="preserve">Broad market and industry factors may materially harm the market price of our securities irrespective of our operating performance or any of the factors listed above. The securities markets in general have experienced price and volume fluctuations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jc w:val="both"/>
        <w:rPr>
          <w:rFonts w:ascii="Times New Roman" w:hAnsi="Times New Roman"/>
          <w:color w:val="000000"/>
          <w:sz w:val="20"/>
        </w:rPr>
      </w:pPr>
      <w:r>
        <w:rPr>
          <w:rFonts w:ascii="Times New Roman" w:hAnsi="Times New Roman"/>
          <w:color w:val="000000"/>
          <w:sz w:val="20"/>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pStyle w:val="TextBody"/>
        <w:bidi w:val="0"/>
        <w:jc w:val="both"/>
        <w:rPr>
          <w:rFonts w:ascii="Times New Roman" w:hAnsi="Times New Roman"/>
          <w:b/>
          <w:i/>
          <w:color w:val="000000"/>
          <w:sz w:val="20"/>
        </w:rPr>
      </w:pPr>
      <w:r>
        <w:rPr>
          <w:rFonts w:ascii="Times New Roman" w:hAnsi="Times New Roman"/>
          <w:b/>
          <w:i/>
          <w:color w:val="000000"/>
          <w:sz w:val="20"/>
        </w:rPr>
        <w:t>Our Common Stock is likely to be delisted from The Nasdaq Global Market which may impair the liquidity of our Common Stock.</w:t>
      </w:r>
    </w:p>
    <w:p>
      <w:pPr>
        <w:pStyle w:val="TextBody"/>
        <w:bidi w:val="0"/>
        <w:jc w:val="both"/>
        <w:rPr>
          <w:rFonts w:ascii="Times New Roman" w:hAnsi="Times New Roman"/>
          <w:color w:val="000000"/>
          <w:sz w:val="20"/>
        </w:rPr>
      </w:pPr>
      <w:r>
        <w:rPr>
          <w:rFonts w:ascii="Times New Roman" w:hAnsi="Times New Roman"/>
          <w:color w:val="000000"/>
          <w:sz w:val="20"/>
        </w:rPr>
        <w:t xml:space="preserve">Our listing on the Nasdaq Global Market is contingent upon meeting all the continued listing requirements of the Nasdaq Global Market, including Nasdaq Marketplace Rule 5450(b)(2)(C), which requires listed companies to maintain a $15 million minimum market value of publicly held shares (the “Minimum Market Value Requirement”), and Nasdaq Listing Rule 5450(a)(1), which requires listed securities to maintain a minimum bid price of $1.00 per share (the “Minimum Bid Price Requirement”).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24, 2023, we received written notice from the Listing Qualifications Department of Nasdaq notifying us that, based on the closing bid price of our Common Stock for the previous 30 consecutive business days, we no longer comply with the minimum bid price requirement for continued listing on The Nasdaq Global Market. The deficiency notice has no immediate effect on the listing of our Common Stock on The Nasdaq Global Market. Pursuant to Nasdaq Listing Rule 5810(c)(3)(A), we have been provided an initial compliance period of 180 calendar days to regain compliance with the Minimum Bid Price Requirement. To regain compliance, the closing bid price of our Common Stock must be at least $1.00 per share for a minimum of 10 consecutive business days by April 22, 2024, and we must otherwise satisfy The Nasdaq Global Market’s requirements for listing. If we do not regain compliance by April 22, 2024, we may be eligible for an additional 180 calendar day compliance period if we elect (and meet the listing standards) to transfer to The Nasdaq Capital Market to take advantage of the additional compliance period offered on that market, unless it does not appear to Nasdaq that it is possible for us to cure the deficiency. To qualify, we would be required, among other things, to meet the continued listing requirement for market value of publicly held shares as well as all other standards for initial listing on The Nasdaq Capital Market, with the exception of the Minimum Bid Price Requirement, and would need to provide written notice to Nasdaq of our intention to cure the bid price deficiency during the second compliance period. If it does not appear to Nasdaq that it is possible for us to cure the deficiency, or if we do not regain compliance within the allotted compliance period(s), including any extensions that may be granted by Nasdaq, Nasdaq will provide notice that our Common Stock will be subject to delisting. We would then be entitled to appeal Nasdaq’s determination, but there can be no assurance that such appeal would be successful.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Nasdaq Listing Rule 5810(c)(3)(D) provides that a failure to meet the Minimum Market Value Requirement exists if the deficiency continues for a period of 30 consecutive business days. As of February 14, 2024, we have a $11.7 million market value of publicly held shares, and may receive a deficiency notice from Nasdaq. If we receive a deficiency notice from Nasdaq, in order for us to regain compliance with the Minimum Market Value Requirement, the market value of our publicly held shares must be $15 million or more for a minimum of 10 consecutive business days within the applicable Nasdaq compliance period(s).</w:t>
      </w:r>
    </w:p>
    <w:p>
      <w:pPr>
        <w:pStyle w:val="TextBody"/>
        <w:bidi w:val="0"/>
        <w:jc w:val="both"/>
        <w:rPr>
          <w:rFonts w:ascii="Times New Roman" w:hAnsi="Times New Roman"/>
          <w:color w:val="000000"/>
          <w:sz w:val="20"/>
        </w:rPr>
      </w:pPr>
      <w:r>
        <w:rPr>
          <w:rFonts w:ascii="Times New Roman" w:hAnsi="Times New Roman"/>
          <w:color w:val="000000"/>
          <w:sz w:val="20"/>
        </w:rPr>
        <w:t>We intend to monitor the closing bid price of our Common Stock and consider available options to resolve the noncompliance with the Minimum Bid Price Requirement, which could include seeking to effect a reverse stock split. While we plan to review all available options, we may not be able to regain compliance with the Minimum Bid Price Requirement or otherwise be in compliance with other Nasdaq listing criteria. We also intend to monitor our compliance with the Minimum Market Value Requirement and may take any actions in response to a deficiency notice, if one is received. However, available measures may not be sufficient to regain compliance.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If we are not able to regain compliance with requirements for continues listing on Nasdaq, we may transfer to and commence trading on the OTC Markets. Shares traded on the OTC Markets generally have lower trading volumes, fewer market makers, higher trading volatility and wider spreads between bid and ask quotations than shares traded on major national exchanges such as Nasdaq. The OTC Markets are also less regulated than a major exchange like Nasdaq, and typically require less stringent corporate governance requirements. If our Common Stock or Warrants become delisted from Nasdaq for any reason and are quoted on the OTC Markets such as OTCQX, OTCQB or OTC Pink, an inter-dealer automated quotation system for equity securities that is not a national securities exchange, stockholders would likely find it more difficult to trade or obtain accurate price quotations for our shares. Delisting would likely also reduce the visibility, liquidity, and value of our Common Stock, reduce institutional investor interest in us, and may increase the volatility of our Common Stock. Delisting could also cause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loss of confidence of potential industry partners, lenders, and employees, which may harm our ability to raise capital through alternative financing sources on terms acceptable to us, which could further harm our business and our future prospects. Some or all of these material adverse consequences may contribute to a further decline in our stock price. If an active trading market for our securities is not sustained with sufficient trading volume, you may have limited or no ability to sell your securities.</w:t>
      </w:r>
    </w:p>
    <w:p>
      <w:pPr>
        <w:pStyle w:val="TextBody"/>
        <w:bidi w:val="0"/>
        <w:jc w:val="both"/>
        <w:rPr>
          <w:rFonts w:ascii="Times New Roman" w:hAnsi="Times New Roman"/>
          <w:sz w:val="20"/>
        </w:rPr>
      </w:pPr>
      <w:r>
        <w:rPr>
          <w:rFonts w:ascii="Times New Roman" w:hAnsi="Times New Roman"/>
          <w:b/>
          <w:i/>
          <w:color w:val="000000"/>
          <w:sz w:val="20"/>
        </w:rPr>
        <w:t>If securities or industry analysts cease publishing research or reports about us, our business or our market, or if they change their recommendations regarding our Common Stock, then the price and trading volume of our Common Stock could decline</w:t>
      </w:r>
      <w:r>
        <w:rPr>
          <w:rFonts w:ascii="Times New Roman" w:hAnsi="Times New Roman"/>
          <w:i/>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The trading markets for our Common Stock and Warrants will be influenced by the research and reports that industry or securities analysts may publish about us, our business, our market or our competitors. If any of the analysts who cover us now or in the future change their recommendation regarding our stock adversely, or provide more favorable relative recommendations about our competitors, the price of our Common Stock and Public Warrants would likely decline. Analysts who previously covered us in the past have since ceased publishing research or reports about us. If any remaining analyst covering our company now or in the future were to cease coverage of us or fail to regularly publish reports on us, we could lose visibility in the financial markets, which could cause the prices and trading volumes of the Common Stock and Public Warrants to decline.</w:t>
      </w:r>
    </w:p>
    <w:p>
      <w:pPr>
        <w:pStyle w:val="TextBody"/>
        <w:bidi w:val="0"/>
        <w:jc w:val="both"/>
        <w:rPr>
          <w:rFonts w:ascii="Times New Roman" w:hAnsi="Times New Roman"/>
          <w:sz w:val="20"/>
        </w:rPr>
      </w:pPr>
      <w:r>
        <w:rPr>
          <w:rFonts w:ascii="Times New Roman" w:hAnsi="Times New Roman"/>
          <w:b/>
          <w:i/>
          <w:color w:val="000000"/>
          <w:sz w:val="20"/>
        </w:rPr>
        <w:t>There is no guarantee that the Public Warrants or Private Placement Warrants will ever be in the money, and they may expire worthless.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exercise price of our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Warrants is $11.50 per share of Common Stock. Upon exercise, the exercise price of the Warrants and the number of shares of Common Stock issuable shall be adjusted 1-for-6, the same ratio as the reverse stock split that was effective as of July 5, 2023. There is no guarantee that the Warrants will ever be in the money prior to their expiration, and as such, the Warrants may expire worthless. </w:t>
      </w:r>
    </w:p>
    <w:p>
      <w:pPr>
        <w:pStyle w:val="TextBody"/>
        <w:bidi w:val="0"/>
        <w:jc w:val="both"/>
        <w:rPr>
          <w:rFonts w:ascii="Times New Roman" w:hAnsi="Times New Roman"/>
          <w:sz w:val="20"/>
        </w:rPr>
      </w:pPr>
      <w:r>
        <w:rPr>
          <w:rFonts w:ascii="Times New Roman" w:hAnsi="Times New Roman"/>
          <w:b/>
          <w:i/>
          <w:color w:val="000000"/>
          <w:sz w:val="20"/>
        </w:rPr>
        <w:t>We may redeem unexpired Warrants prior to their exercise at a time that is disadvantageous to Warrant holders, thereby making their Warrants worthless</w:t>
      </w:r>
      <w:r>
        <w:rPr>
          <w:rFonts w:ascii="Times New Roman" w:hAnsi="Times New Roman"/>
          <w:i/>
          <w:color w:val="000000"/>
          <w:sz w:val="20"/>
        </w:rPr>
        <w:t>.</w:t>
      </w:r>
    </w:p>
    <w:p>
      <w:pPr>
        <w:pStyle w:val="TextBody"/>
        <w:bidi w:val="0"/>
        <w:jc w:val="both"/>
        <w:rPr>
          <w:rFonts w:ascii="Times New Roman" w:hAnsi="Times New Roman"/>
          <w:sz w:val="20"/>
        </w:rPr>
      </w:pPr>
      <w:r>
        <w:rPr>
          <w:rFonts w:ascii="Times New Roman" w:hAnsi="Times New Roman"/>
          <w:color w:val="000000"/>
          <w:sz w:val="20"/>
        </w:rPr>
        <w:t>We have the ability to redeem outstanding Warrants at any time after they become exercisable and prior to their expiration, subject to certain exceptions, provided that the last reported sales price of our Common Stock equals or exceeds $60.00 per share (as adjusted for stock splits, stock dividends, reorganizations, recapitalization and the like) for any 20 trading days within a 30 trading-day period ending on the third trading day prior to the date on which we give proper notice of such redemption to the Warrant holders and provided certain other conditions are met. For additional information on the circumstances in which the Public Warrants may be redeemed, see "</w:t>
      </w:r>
      <w:r>
        <w:rPr>
          <w:rFonts w:ascii="Times New Roman" w:hAnsi="Times New Roman"/>
          <w:i/>
          <w:color w:val="000000"/>
          <w:sz w:val="20"/>
        </w:rPr>
        <w:t>Description of Securities—Warrants—Public Stockholders’ Warrants</w:t>
      </w:r>
      <w:r>
        <w:rPr>
          <w:rFonts w:ascii="Times New Roman" w:hAnsi="Times New Roman"/>
          <w:color w:val="000000"/>
          <w:sz w:val="20"/>
        </w:rPr>
        <w:t>" in our prospectus filed with the SEC on April 6, 2022. If and when the Warrants become redeemable by us, we may exercise our redemption right even if we are unable to register or qualify the underlying securities for sale under all applicable state securities laws. Redemption of the outstanding Warrants could force the Warrant holders (i) 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their Warrants. None of the Private Placement Warrants will be redeemable by us so long as they are held by the initial purchasers or their permitted transferees, subject to certain exceptions.</w:t>
      </w:r>
    </w:p>
    <w:p>
      <w:pPr>
        <w:pStyle w:val="TextBody"/>
        <w:bidi w:val="0"/>
        <w:jc w:val="both"/>
        <w:rPr>
          <w:rFonts w:ascii="Times New Roman" w:hAnsi="Times New Roman"/>
          <w:sz w:val="20"/>
        </w:rPr>
      </w:pPr>
      <w:r>
        <w:rPr>
          <w:rFonts w:ascii="Times New Roman" w:hAnsi="Times New Roman"/>
          <w:b/>
          <w:i/>
          <w:color w:val="000000"/>
          <w:sz w:val="20"/>
        </w:rPr>
        <w:t>Warrants are exercisable for Common Stock, and their exercise would increase the number of shares eligible for future resale in the public market and result in dilution to our stockholders</w:t>
      </w:r>
      <w:r>
        <w:rPr>
          <w:rFonts w:ascii="Times New Roman" w:hAnsi="Times New Roman"/>
          <w:i/>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As of December 31, 2023, we had outstanding Public Warrants to purchase approximately 2,527,697 shares of Common Stock at $11.50 per warrant and Private Placement Warrants to purchase 897,212 shares at $11.50 per warrant. Upon exercise, the exercise price of the Public Warrants and Private Placement Warrants and the number of shares of Common Stock issuable shall be adjusted in the same ratio as the reverse stock split that was effective as of July 5, 2023, or 1-for-6. The shares of Common Stock issued upon exercise of our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Public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Private Placement Warrants are identical to the Public Warrants except that, so long as they are held by the initial purchasers or their permitted transferees, (i) they will not be redeemable by us subject to certain exceptions, (ii) they may be exercised by the holders on a cashless basis and (iii) they are subject to registration rights.</w:t>
      </w:r>
    </w:p>
    <w:p>
      <w:pPr>
        <w:pStyle w:val="TextBody"/>
        <w:bidi w:val="0"/>
        <w:jc w:val="both"/>
        <w:rPr>
          <w:rFonts w:ascii="Times New Roman" w:hAnsi="Times New Roman"/>
          <w:sz w:val="20"/>
        </w:rPr>
      </w:pPr>
      <w:r>
        <w:rPr>
          <w:rFonts w:ascii="Times New Roman" w:hAnsi="Times New Roman"/>
          <w:b/>
          <w:i/>
          <w:color w:val="000000"/>
          <w:sz w:val="20"/>
        </w:rPr>
        <w:t>Anti-takeover provisions contained in our Charter and Bylaws, as well as provisions of Delaware law, could impair a takeover attempt, which could limit the price investors might be willing to pay in the future for our Common Stock</w:t>
      </w:r>
      <w:r>
        <w:rPr>
          <w:rFonts w:ascii="Times New Roman" w:hAnsi="Times New Roman"/>
          <w:i/>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Our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only the board of directors (pursuant to a majority vote of the whole board), the chairperson of the board of directors, or the Chief Executive Officer may call a special meeting;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stockholder vote of at least 66-2/3% required to remove a director for “cause”;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stockholder vote of at least 66-2/3% required to approve certain amendments to the Charter and Bylaws;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designation of Delaware and federal courts as the exclusive forums for certain disputes.</w:t>
      </w:r>
    </w:p>
    <w:p>
      <w:pPr>
        <w:pStyle w:val="TextBody"/>
        <w:bidi w:val="0"/>
        <w:jc w:val="both"/>
        <w:rPr>
          <w:rFonts w:ascii="Times New Roman" w:hAnsi="Times New Roman"/>
          <w:b/>
          <w:i/>
          <w:color w:val="000000"/>
          <w:sz w:val="20"/>
        </w:rPr>
      </w:pPr>
      <w:r>
        <w:rPr>
          <w:rFonts w:ascii="Times New Roman" w:hAnsi="Times New Roman"/>
          <w:b/>
          <w:i/>
          <w:color w:val="000000"/>
          <w:sz w:val="20"/>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pStyle w:val="TextBody"/>
        <w:bidi w:val="0"/>
        <w:jc w:val="both"/>
        <w:rPr>
          <w:rFonts w:ascii="Times New Roman" w:hAnsi="Times New Roman"/>
          <w:color w:val="000000"/>
          <w:sz w:val="20"/>
        </w:rPr>
      </w:pPr>
      <w:r>
        <w:rPr>
          <w:rFonts w:ascii="Times New Roman" w:hAnsi="Times New Roman"/>
          <w:color w:val="000000"/>
          <w:sz w:val="20"/>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pStyle w:val="TextBody"/>
        <w:bidi w:val="0"/>
        <w:jc w:val="both"/>
        <w:rPr>
          <w:rFonts w:ascii="Times New Roman" w:hAnsi="Times New Roman"/>
          <w:color w:val="000000"/>
          <w:sz w:val="20"/>
        </w:rPr>
      </w:pPr>
      <w:r>
        <w:rPr>
          <w:rFonts w:ascii="Times New Roman" w:hAnsi="Times New Roman"/>
          <w:color w:val="000000"/>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pStyle w:val="TextBody"/>
        <w:bidi w:val="0"/>
        <w:jc w:val="both"/>
        <w:rPr>
          <w:rFonts w:ascii="Times New Roman" w:hAnsi="Times New Roman"/>
          <w:sz w:val="20"/>
        </w:rPr>
      </w:pPr>
      <w:r>
        <w:rPr>
          <w:rFonts w:ascii="Times New Roman" w:hAnsi="Times New Roman"/>
          <w:b/>
          <w:i/>
          <w:color w:val="000000"/>
          <w:sz w:val="20"/>
        </w:rPr>
        <w:t>The JOBS Act permits “emerging growth companies” like us to take advantage of certain exemptions from various reporting requirements applicable to other public companies that are not emerging growth companies</w:t>
      </w:r>
      <w:r>
        <w:rPr>
          <w:rFonts w:ascii="Times New Roman" w:hAnsi="Times New Roman"/>
          <w:i/>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of 2002,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the earliest of (i) the last day of the fiscal year (a) following January 20, 2026, the fifth anniversary of Rotor’s initial public offering, (b) in which we have total annual gross revenue of at least $1.235 billion or (c) in which we are deemed to be a large accelerated filer, which means the market value of our Common Stock and Public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Warrants that is held by non-affiliates exceeds $700 million as of the last business day of our prior second fiscal quarter, and (ii) the date on which we have issued more than $1.0 billion in non-convertible debt during the prior three-year period.</w:t>
      </w:r>
    </w:p>
    <w:p>
      <w:pPr>
        <w:pStyle w:val="TextBody"/>
        <w:bidi w:val="0"/>
        <w:jc w:val="both"/>
        <w:rPr>
          <w:rFonts w:ascii="Times New Roman" w:hAnsi="Times New Roman"/>
          <w:color w:val="000000"/>
          <w:sz w:val="20"/>
        </w:rPr>
      </w:pPr>
      <w:r>
        <w:rPr>
          <w:rFonts w:ascii="Times New Roman" w:hAnsi="Times New Roman"/>
          <w:color w:val="000000"/>
          <w:sz w:val="20"/>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bidi w:val="0"/>
        <w:jc w:val="both"/>
        <w:rPr>
          <w:rFonts w:ascii="Times New Roman" w:hAnsi="Times New Roman"/>
          <w:color w:val="000000"/>
          <w:sz w:val="20"/>
        </w:rPr>
      </w:pPr>
      <w:r>
        <w:rPr>
          <w:rFonts w:ascii="Times New Roman" w:hAnsi="Times New Roman"/>
          <w:color w:val="000000"/>
          <w:sz w:val="20"/>
        </w:rPr>
        <w:t>Investors may find our Common Stock or Public Warrants less attractive because we rely on these exemptions and may continue to rely on them to the extent they remain available to us. If some investors find our Common Stock or Public Warrants less attractive as a result of these exemptions and reduced disclosure as an emerging growth company, there may be a less active trading market for and/or more price volatility with respect to our Common Stock or Public 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7" w:name="item_1b_unresolved_staff_comments"/>
      <w:bookmarkEnd w:id="7"/>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8" w:name="item_1c_cybersecurity"/>
      <w:bookmarkEnd w:id="8"/>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recognize the critical importance of developing, implementing, and maintaining robust cybersecurity measures to safeguard our information systems and protect the confidentiality, integrity, and availability of our data.</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Managing Material Risks &amp; Integrated Overall Risk Management</w:t>
      </w:r>
    </w:p>
    <w:p>
      <w:pPr>
        <w:pStyle w:val="TextBody"/>
        <w:bidi w:val="0"/>
        <w:jc w:val="both"/>
        <w:rPr>
          <w:rFonts w:ascii="Times New Roman" w:hAnsi="Times New Roman"/>
          <w:color w:val="000000"/>
          <w:sz w:val="20"/>
        </w:rPr>
      </w:pPr>
      <w:r>
        <w:rPr>
          <w:rFonts w:ascii="Times New Roman" w:hAnsi="Times New Roman"/>
          <w:color w:val="000000"/>
          <w:sz w:val="20"/>
        </w:rPr>
        <w:t>We have implemented a risk-based approach to identify and assess the cybersecurity threats that could affect our business and information systems. Our cybersecurity program is aligned with industry standards and includes technical, administrative, and physical controls, including encryption, firewalls, anti-virus systems, and well-documented processes and policies. We continue to promote a company-wide culture of cybersecurity risk management. Cybersecurity considerations are integrated in our decision-making processes. We have an experienced Information Technology (“IT”) team led by our Vice President of Information Systems who reports directly to the Chief Executive Officer and works closely with our management team to evaluate and address cybersecurity risks in alignment with our business objectives and operational needs. Our VP of Information Systems provides regular updates on cybersecurity to the Audit Committee of the Board of Directors.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Engagement of Third Parties on Risk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engage with a range of external experts, including cybersecurity assessors, consultants, and auditors in evaluating and testing our risk management systems. These partnerships enable us to leverage specialized knowledge and insights. Our collaboration with these third parties includes regular audits, threat assessments, and consultation on security enhancements.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Oversight of Third-Party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established processes to oversee and manage risks relating to third-party service providers. For example, our Security Operations Center, employs a Security Information and Event Management (SIEM) and other systems to monitor risks while also conducting thorough security assessments of all third-party providers before engagement and maintain ongoing monitoring to ensure compliance with our cybersecurity standards.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Risks from Cybersecurity Threats</w:t>
      </w:r>
    </w:p>
    <w:p>
      <w:pPr>
        <w:pStyle w:val="TextBody"/>
        <w:bidi w:val="0"/>
        <w:spacing w:before="120" w:after="283"/>
        <w:jc w:val="both"/>
        <w:rPr>
          <w:rFonts w:ascii="Times New Roman" w:hAnsi="Times New Roman"/>
          <w:sz w:val="20"/>
        </w:rPr>
      </w:pPr>
      <w:r>
        <w:rPr>
          <w:rFonts w:ascii="Times New Roman" w:hAnsi="Times New Roman"/>
          <w:color w:val="000000"/>
          <w:sz w:val="20"/>
        </w:rPr>
        <w:t>We have not encountered cybersecurity challenges that have materially impaired our business strategy, results of operations or financial condition. From time to time, we experience cybersecurity events that require investigation. For additional information regarding whether any risks from cybersecurity threats, including as a result of any cybersecurity incidents are reasonably likely to materially affect our company, including our business strategy, results of operations, or financial condition, please refer to Item 1A, “Risk Factors,” in this annual report on Form 10-K, including the risk factor entitled "</w:t>
      </w:r>
      <w:r>
        <w:rPr>
          <w:rFonts w:ascii="Times New Roman" w:hAnsi="Times New Roman"/>
          <w:i/>
          <w:color w:val="000000"/>
          <w:sz w:val="20"/>
        </w:rPr>
        <w:t>We are subject to cybersecurity risks to our operational systems, security systems, infrastructure, and data processed by us or third-party vendors</w:t>
      </w:r>
      <w:r>
        <w:rPr>
          <w:rFonts w:ascii="Times New Roman" w:hAnsi="Times New Roman"/>
          <w:color w:val="000000"/>
          <w:sz w:val="20"/>
        </w:rPr>
        <w:t>."</w:t>
      </w:r>
    </w:p>
    <w:p>
      <w:pPr>
        <w:pStyle w:val="TextBody"/>
        <w:bidi w:val="0"/>
        <w:spacing w:before="360" w:after="283"/>
        <w:jc w:val="both"/>
        <w:rPr>
          <w:rFonts w:ascii="Times New Roman" w:hAnsi="Times New Roman"/>
          <w:sz w:val="20"/>
        </w:rPr>
      </w:pPr>
      <w:bookmarkStart w:id="9" w:name="item_2_properties"/>
      <w:bookmarkStart w:id="10" w:name="properties_"/>
      <w:bookmarkEnd w:id="9"/>
      <w:bookmarkEnd w:id="10"/>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primary facility is located in Salt Lake City, Utah consisting of approximately 61,000 square feet of leased space. The lease expires in May 2033 and has two options to extend the lease for three-year periods. Should we need additional space, we believe we will be able to obtain additional space on commercially reasonable terms.</w:t>
      </w:r>
    </w:p>
    <w:p>
      <w:pPr>
        <w:pStyle w:val="TextBody"/>
        <w:bidi w:val="0"/>
        <w:spacing w:before="360" w:after="283"/>
        <w:jc w:val="both"/>
        <w:rPr>
          <w:rFonts w:ascii="Times New Roman" w:hAnsi="Times New Roman"/>
          <w:sz w:val="20"/>
        </w:rPr>
      </w:pPr>
      <w:bookmarkStart w:id="11" w:name="item_3_legal_proceedings"/>
      <w:bookmarkStart w:id="12" w:name="legal_proceedings_"/>
      <w:bookmarkEnd w:id="11"/>
      <w:bookmarkEnd w:id="12"/>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pStyle w:val="TextBody"/>
        <w:bidi w:val="0"/>
        <w:spacing w:before="360" w:after="283"/>
        <w:jc w:val="both"/>
        <w:rPr>
          <w:rFonts w:ascii="Times New Roman" w:hAnsi="Times New Roman"/>
          <w:b/>
          <w:color w:val="000000"/>
          <w:sz w:val="20"/>
        </w:rPr>
      </w:pPr>
      <w:bookmarkStart w:id="13" w:name="item_4_mine_safety_disclosures"/>
      <w:bookmarkStart w:id="14" w:name="mine_safety_disclosures_"/>
      <w:bookmarkEnd w:id="13"/>
      <w:bookmarkEnd w:id="14"/>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part_ii"/>
      <w:bookmarkEnd w:id="15"/>
      <w:r>
        <w:rPr>
          <w:rFonts w:ascii="Times New Roman" w:hAnsi="Times New Roman"/>
          <w:b/>
          <w:color w:val="000000"/>
          <w:sz w:val="20"/>
        </w:rPr>
        <w:t>PART II</w:t>
      </w:r>
    </w:p>
    <w:p>
      <w:pPr>
        <w:pStyle w:val="TextBody"/>
        <w:bidi w:val="0"/>
        <w:jc w:val="center"/>
        <w:rPr/>
      </w:pPr>
      <w:r>
        <w:rPr/>
        <w:t> </w:t>
      </w:r>
    </w:p>
    <w:p>
      <w:pPr>
        <w:pStyle w:val="TextBody"/>
        <w:bidi w:val="0"/>
        <w:jc w:val="both"/>
        <w:rPr>
          <w:rFonts w:ascii="Times New Roman" w:hAnsi="Times New Roman"/>
          <w:sz w:val="20"/>
        </w:rPr>
      </w:pPr>
      <w:bookmarkStart w:id="16" w:name="item_5_market_for_registrants_common_equ"/>
      <w:bookmarkStart w:id="17" w:name="market_for_registrant_common_equity"/>
      <w:bookmarkEnd w:id="16"/>
      <w:bookmarkEnd w:id="17"/>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Market Information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Common Stock and Warrants are traded on The Nasdaq Stock Market under the symbols “STRC” and “STRCW,” respectively.</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February 14, 2024, there were 429 stockholders of record of our Common Stock and 29 holders of record of our warrants. </w:t>
      </w:r>
    </w:p>
    <w:p>
      <w:pPr>
        <w:pStyle w:val="TextBody"/>
        <w:bidi w:val="0"/>
        <w:spacing w:before="120" w:after="283"/>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Dividend Policy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Recent Sales of Unregistered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18" w:name="reserved_"/>
      <w:bookmarkEnd w:id="18"/>
      <w:r>
        <w:rPr>
          <w:rFonts w:ascii="Times New Roman" w:hAnsi="Times New Roman"/>
          <w:b/>
          <w:color w:val="000000"/>
          <w:sz w:val="20"/>
        </w:rPr>
        <w:t>Item 6. [Reserved.]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9" w:name="mda_"/>
      <w:bookmarkEnd w:id="19"/>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consolidated financial statements and related notes thereto included elsewhere in this Annual Report.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 Item 1A Risk Factors and elsewhere in this Annual Report. See also Part I Special Note Regarding Forward-Looking Statements in this Annual Report.</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Overview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mission is to deliver software to our customers that enhances the utility and functionality of third-party stationary and mobile robotic systems by enabling these systems to quickly observe, learn, reason and act in structured and unstructured environments. Our AI/ML Software Platform is being designed with artificial intelligence (AI) and machine learning (ML) techniques to enable robotic systems to perceive their environment and quickly adapt to changing circumstances by generalizing (i.e., learning) from their past experience using dynamic real-time operations “on the edge” (i.e., on the robotic system) without extensive programming and with minimal robot training. We believe this “human-like” ability to learn and adapt will be a key differentiator in helping our customers maintain optimal productivity in dynamic or unstructured environments, where new situations and unexpected challenges are more likely to cause delays and costly downtime. Our value proposition is further enhanced relative to other competitive solutions because robotic systems using our AI/ML Software Platform are not required to be continuously connected to the cloud for our software to function, thereby reducing the performance issues associated with poor connectivity and latency typically associated with processing in the cloud. Our approach also reduces the expense typically associated with transmitting large amounts of data to and from the cloud.</w:t>
      </w:r>
    </w:p>
    <w:p>
      <w:pPr>
        <w:pStyle w:val="TextBody"/>
        <w:bidi w:val="0"/>
        <w:jc w:val="both"/>
        <w:rPr>
          <w:rFonts w:ascii="Times New Roman" w:hAnsi="Times New Roman"/>
          <w:color w:val="000000"/>
          <w:sz w:val="20"/>
        </w:rPr>
      </w:pPr>
      <w:r>
        <w:rPr>
          <w:rFonts w:ascii="Times New Roman" w:hAnsi="Times New Roman"/>
          <w:color w:val="000000"/>
          <w:sz w:val="20"/>
        </w:rPr>
        <w:t>As a pioneer in the robotic systems industry, we benefit from both experiences and lessons gained from our 30-plus years, as well as significant investment in our internal research and development efforts. Software has been an integral part of our development efforts over the years. Our vision for our AI/ML Software Platform began in 2017 as a foundational technology to enhance training for the autonomous operation of our own internally developed hardware solutions and progressed to our first CYTAR (Cybernetic Training for Autonomous Robots) government project in 2019. Significant design and development work began in 2020 when our Chief Technology Officer, Dr. Denis Garagic, joined our team. We have since continued to develop our AI/ML software both for the U.S. Department of Defense and in connection with our development of commercial robotic systems. As previously disclosed, in November 2023, we decided to suspend our hardware product development efforts to focus on commercializing our AI/ML Software Platform, although some de minimis hardware-related research and development efforts continue. By de-coupling our AI/ML Software Platform from our own hardware systems and applying it to a wide range of third-party robotics systems, from industrial robots and cobots to mobile systems potentially including drones, autonomous mobile robots (AMR), autonomous underwater vehicles (AUV) and remotely operated vehicles (ROV), we believe we can reach a much broader market more quickly and better utilize our remaining cash resources.</w:t>
      </w:r>
    </w:p>
    <w:p>
      <w:pPr>
        <w:pStyle w:val="TextBody"/>
        <w:bidi w:val="0"/>
        <w:jc w:val="both"/>
        <w:rPr>
          <w:rFonts w:ascii="Times New Roman" w:hAnsi="Times New Roman"/>
          <w:color w:val="000000"/>
          <w:sz w:val="20"/>
        </w:rPr>
      </w:pPr>
      <w:r>
        <w:rPr>
          <w:rFonts w:ascii="Times New Roman" w:hAnsi="Times New Roman"/>
          <w:color w:val="000000"/>
          <w:sz w:val="20"/>
        </w:rPr>
        <w:t>We are designing our AI/ML Software Platform to be hardware agnostic in order to be compatible with most industrial robots being sold today and to support specific types of commercially available robots with additional development and the necessary application programming interface (API). The AI/ML Software Platform is expected to enable robotic systems to perform tasks that involve variations in the environment and the objects being manipulated by the robot. Specifically, we expect our AI/ML Software Platform to incorporate internal and external environmental inputs that allow robots to comprehend their environment, determine reasonable behavior given these inputs and to act in real time to achieve the expected task. Each newly learned task will then be incorporated and used to perform future tasks. We believe this closed-loop autonomy approach is the key to how our software can expedite robot training, expand the tasks that a robot can perform, reduce costly workflow stoppages, mitigate downtimes and reduce human labor requirements.</w:t>
      </w:r>
    </w:p>
    <w:p>
      <w:pPr>
        <w:pStyle w:val="TextBody"/>
        <w:bidi w:val="0"/>
        <w:jc w:val="both"/>
        <w:rPr>
          <w:rFonts w:ascii="Times New Roman" w:hAnsi="Times New Roman"/>
          <w:sz w:val="20"/>
        </w:rPr>
      </w:pPr>
      <w:r>
        <w:rPr>
          <w:rFonts w:ascii="Times New Roman" w:hAnsi="Times New Roman"/>
          <w:color w:val="000000"/>
          <w:sz w:val="20"/>
        </w:rPr>
        <w:t>As a result of our refined strategy we are optimizing our organization in pursuit of this AI/ML Software Platform opportunity and are reducing costs, including our recent RIFs, shifting all operations to the Salt Lake City, Utah location and winding down substantially all of our operations in Pittsburgh, Pennsylvania. For additional information around the risks associated with our strategy decision-making see Part I Item 1A Risk Factors “</w:t>
      </w:r>
      <w:r>
        <w:rPr>
          <w:rFonts w:ascii="Times New Roman" w:hAnsi="Times New Roman"/>
          <w:i/>
          <w:color w:val="000000"/>
          <w:sz w:val="20"/>
        </w:rPr>
        <w:t>Due to our limited resources and access to capital, and our failure to properly estimate the time and expense required to commercialize our hardware-centric industrial robotics solutions, we must make decisions on the allocation of resources and have discontinued development and commercialization of certain products; these decisions may prove to be wrong and may adversely affect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Key Factors Affecting Operating Results</w:t>
      </w:r>
    </w:p>
    <w:p>
      <w:pPr>
        <w:pStyle w:val="TextBody"/>
        <w:bidi w:val="0"/>
        <w:jc w:val="both"/>
        <w:rPr>
          <w:rFonts w:ascii="Times New Roman" w:hAnsi="Times New Roman"/>
          <w:color w:val="000000"/>
          <w:sz w:val="20"/>
        </w:rPr>
      </w:pPr>
      <w:r>
        <w:rPr>
          <w:rFonts w:ascii="Times New Roman" w:hAnsi="Times New Roman"/>
          <w:color w:val="000000"/>
          <w:sz w:val="20"/>
        </w:rPr>
        <w:t>We believe that our performance and future success depend on several factors that present significant opportunities for us but also pose risks and challenges, including those discussed below and in Part I Item 1A Risk Factors of this Annual Report on Form 10-K.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Development, Testing and Commercial Launch of our AI/ML Software Platform</w:t>
      </w:r>
    </w:p>
    <w:p>
      <w:pPr>
        <w:pStyle w:val="TextBody"/>
        <w:bidi w:val="0"/>
        <w:jc w:val="both"/>
        <w:rPr>
          <w:rFonts w:ascii="Times New Roman" w:hAnsi="Times New Roman"/>
          <w:sz w:val="20"/>
        </w:rPr>
      </w:pPr>
      <w:r>
        <w:rPr>
          <w:rFonts w:ascii="Times New Roman" w:hAnsi="Times New Roman"/>
          <w:color w:val="000000"/>
          <w:sz w:val="20"/>
        </w:rPr>
        <w:t>We currently expect to derive revenue from our AI/ML Software Platform, which is in its development phase. Prior to commercialization, we must complete the development and testing of our product. Whether we are successful depends on many factors, including those discussed under Part I Item 1A Risk Factors “</w:t>
      </w:r>
      <w:r>
        <w:rPr>
          <w:rFonts w:ascii="Times New Roman" w:hAnsi="Times New Roman"/>
          <w:i/>
          <w:color w:val="000000"/>
          <w:sz w:val="20"/>
        </w:rPr>
        <w:t>Risks Related to Our Business.</w:t>
      </w:r>
      <w:r>
        <w:rPr>
          <w:rFonts w:ascii="Times New Roman" w:hAnsi="Times New Roman"/>
          <w:color w:val="000000"/>
          <w:sz w:val="20"/>
        </w:rPr>
        <w:t>” Such risks may result in delay of the anticipated commercial launch of our software platform, which would adversely affect our financial condition and operating results.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Financing of Operations</w:t>
      </w:r>
    </w:p>
    <w:p>
      <w:pPr>
        <w:pStyle w:val="TextBody"/>
        <w:bidi w:val="0"/>
        <w:jc w:val="both"/>
        <w:rPr>
          <w:rFonts w:ascii="Times New Roman" w:hAnsi="Times New Roman"/>
          <w:color w:val="000000"/>
          <w:sz w:val="20"/>
        </w:rPr>
      </w:pPr>
      <w:r>
        <w:rPr>
          <w:rFonts w:ascii="Times New Roman" w:hAnsi="Times New Roman"/>
          <w:color w:val="000000"/>
          <w:sz w:val="20"/>
        </w:rPr>
        <w:t>Prior to commercialization, we must complete the development and testing of our AI/ML Software Platform. As a result, we will use our cash on hand to develop our software platform and fund operations as we seek to commercialize and achieve revenue from the sale of the product. The amount and timing of our future funding requirements will depend on many factors, including the pace and results of our product development efforts, our ability to sell our software products and thereby recognize associated revenue, capital and human capital requirements to develop a commercial version of our software platform prior to receiving payments sufficient to cover our costs and our ability to lower product costs as volumes increase. In addition, we have taken numerous steps to manage our use of cash. For example, on July 12, 2023 and on November 14, 2023 we announced reductions in force intended to further conserve our current cash resources and manage operating expenses. The majority of the cash payments related to the expenses from the RIF announced on July 12, 2023 were paid out during the third quarter of 2023. The majority of the cash payments related to the RIF announced on November 14, 2023 were paid out during the fourth quarter of 2023 and the first quarter of 2024. The November RIF is expected to be completed by the end of the first quarter of 2024. We believe we have sufficient liquidity to operate for at least the next twelve months without the need to raise additional capital. However, we may need to seek additional financing during that time to bolster our cash reserves and increase our ability to continue to pursue our business objectives. As a result, we intend to continue monitoring our liquidity, financial and business results and outlook and market conditions, and may be opportunistic and raise capital when we consider market conditions are good or a favorable opportunity exists. Any delays in the successful commercialization and sales of our AI/ML Software Platform will negatively impact our ability to generate revenue, our profitability, our cash flows and our overall operating performance and result in the need to raise additional capital sooner than expected.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Customer Demand</w:t>
      </w:r>
    </w:p>
    <w:p>
      <w:pPr>
        <w:pStyle w:val="TextBody"/>
        <w:bidi w:val="0"/>
        <w:jc w:val="both"/>
        <w:rPr>
          <w:rFonts w:ascii="Times New Roman" w:hAnsi="Times New Roman"/>
          <w:color w:val="000000"/>
          <w:sz w:val="20"/>
        </w:rPr>
      </w:pPr>
      <w:r>
        <w:rPr>
          <w:rFonts w:ascii="Times New Roman" w:hAnsi="Times New Roman"/>
          <w:color w:val="000000"/>
          <w:sz w:val="20"/>
        </w:rPr>
        <w:t>Although demand for AI/ML platforms and applications has grown in recent years, the market for these platforms and applications continues to evolve. The market demand for our software platform is unproven, and important assumptions about the characteristics of targeted markets, pricing and sales cycles may be inaccurate. While we believe that our AI/ML Software Platform will provide significant benefits and return on investment to customers, as it is a new technology and product, we are dependent on customers who are willing to adopt, purchase, and implement new technologies and products. If customer demand does not develop as expected or we do not accurately forecast pricing, adoption rates and sales cycles for our AI/ML Software Platform, our business, results of operations and financial condition will be adversely affected.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Continued Investment and Innovation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 pioneer in the robotic systems industry and benefit from lessons learned over 30-plus years and significant investment in research and development in our proprietary technologies. Through our development efforts on our hardware products such as the Guardian XO, Guardian XT, Guardian XM and Guardian Sea Class, we have developed a significant amount of advanced technology that we are leveraging to develop our AI/ML Software Platform. We believe our financial performance is significantly dependent on our ability to successfully commercialize our advanced AI/ML technologies and further dependent on the investments we make in research and development. It is important that we continually identify and respond to rapidly evolving customer requirements and competitive threats, develop and introduce innovative products, enhance our products and generate active market demand for our products. If we fail to do this, our market position and revenue may be adversely affected, and our investments in these technologies will not be recovered.</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Geopolitical and Macro-economic Environment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Geopolitical and macro-economic factors, such as inflation, interest rates, oil prices, unemployment rates, international conflicts, such as the wars between Israel and Hamas and between Russia and Ukraine, volatility in the stock market and political or social unrest, can have significant impacts on economic activity, which in turn could affect demand for our AI/ML Software Platform or our ability to cost-effectively develop and sell our software platform. Among other things, these and similar factors can affect our ability to hire or retain qualified personnel, our labor and materials costs, the prices we charge for our software platform and the budgets of our customers and their expected return-on-investment from the purchase of a license for our software platform.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Currently, we conduct business through one operating segment. All long-lived assets are maintained in, and all losses are attributable to, the United States of America. See </w:t>
      </w:r>
      <w:r>
        <w:rPr>
          <w:rFonts w:ascii="Times New Roman" w:hAnsi="Times New Roman"/>
          <w:i/>
          <w:color w:val="000000"/>
          <w:sz w:val="20"/>
        </w:rPr>
        <w:t>Note 13, Segment Information,</w:t>
      </w:r>
      <w:r>
        <w:rPr>
          <w:rFonts w:ascii="Times New Roman" w:hAnsi="Times New Roman"/>
          <w:color w:val="000000"/>
          <w:sz w:val="20"/>
        </w:rPr>
        <w:t xml:space="preserve"> in the accompanying consolidated financial statements for more information about our operating segment.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historically derived our revenue from two sources. First, we enter into research and development agreements primarily relating to the commercialization of our products. We expect to continue to derive revenue from research and development agreements in future periods. Product development contract revenue consists of revenue arising from different types of contractual arrangements, including cost-type contracts and fixed-price contracts.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Second, we have historically sold our products and related parts and repair services. Product revenue primarily consists of sales of our products. Due to our recent shift in focus away from sales of our hardware products and to licensing of our AI/ML Software Platform, in the future we expect to derive revenue from licensing fees. We have not yet recognized any such licensing revenue.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Product Development Contract Revenue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Cost-type contracts</w:t>
      </w:r>
      <w:r>
        <w:rPr>
          <w:rFonts w:ascii="Times New Roman" w:hAnsi="Times New Roman"/>
          <w:color w:val="000000"/>
          <w:sz w:val="20"/>
        </w:rPr>
        <w:t xml:space="preserve"> – Research, development and/or testing service contracts, including cost-plus-fixed-fee and time and material contracts, relate primarily to the development of our robotics systems, software and related technology. Cost-type contracts are generally entered into with the U.S. government. These contracts are billed at cost plus a margin as defined by the contract and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Fixed-price contracts</w:t>
      </w:r>
      <w:r>
        <w:rPr>
          <w:rFonts w:ascii="Times New Roman" w:hAnsi="Times New Roman"/>
          <w:color w:val="000000"/>
          <w:sz w:val="20"/>
        </w:rPr>
        <w:t xml:space="preserve"> – Fixed-price development contracts relate primarily to the development of technology in the area of robotic systems. Fixed-price development contracts generally require a significant service of integrating a complex set of tasks and components into a single deliverable. Revenue on fixed-price contracts is generally recognized over time as goods and services are provided. To the extent our actual costs vary from the fixed fee, we will generate more or less profit or could incur a loss. In accordance with Accounting Standards Codification 606, for fixed price contracts, we will recognize losses at the contract level in earnings in the period in which they are incurred.</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Product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Product revenue has related to sales of our products, and certain miscellaneous parts, accessories and repair services. We have generally provided a limited one-year warranty on hardware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Cost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cost of revenue consists of direct and overhead expenses related to either the sale of our products or our product development contract revenue. Direct expenses include direct labor used in the production of a product or in our product development contracts, benefits expense associated with direct labor and materials directly tied to our product sale or product development contracts. Overhead expenses include allocable supervisory labor, benefits expense associated with supervisory labor, allocation of facilities expense including rent and utilities and allocation of IT labor support and equipment. Overhead expenses not allocated to cost of revenue are expensed across research and development, general and administrative and sales and marketing expenses, as applicable.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Research and development expenses are mainly comprised of costs from the continuing development and refinement of robotic systems, which are now suspended, and our AI/ML Software Platform and the continuing research and development costs associated with future products. These expenses include labor and related benefit expenses, materials and supplies used in our laboratories, patent expenses and related overhead expenses. Our research and development expenses may fluctuate as a percentage of our revenue from period to period due to the timing and extent of these expenses.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general and administrative expenses consist primarily of employee-related costs for our finance, legal, people success and other administrative teams, as well as certain executives. In addition, general and administrative expenses include insurance, public company compliance related costs, including outside legal and accounting expenses, other professional fees, facilities and IT expense not allocated to other operating expense categories, and related overhead expense.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sales and marketing expenses arise from our activities relating to our efforts to market and sell our products and services. The expenses consist primarily of labor, benefits and employee-related costs, marketing programs and events, customer service, lead generation fees, product marketing expense, public relations fees and travel associated with sales generation and marketing support and related overhead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plan to continue to invest in sales and marketing to grow our customer base and increase our brand awareness. The trend and timing of sales and marketing expenses will depend in part on the timing of the commercial launch of our products and their reception by the market. As our product sales grow, we expect that sales and marketing expenses will increase in absolute dollars in future periods; however, we expect our sales and marketing expenses to decrease as a percentage of our revenue over the long term, although our sales and marketing expenses may fluctuate as a percentage of our revenue from period to period due to the timing and extent of these expenses.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Intangible Amortization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Amortization of intangible assets primarily consists of amortization of identified finite-lived trade name and trademarks, developed technology, and customer relationship assets that were allocated a portion of the purchase price from the acquisition of RE2. These costs are amortized on a straight-line basis over their expected useful lives.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Asset Write-down and Restructuring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Asset write-down and restructuring expenses consist primarily of severance and benefit payments, and acceleration of stock-based compensation expense related to the RIFs announced during 2023, the write-down of inventory, accelerated amortization of our intangible assets, accelerated depreciation of our property, plant and equipment and the write-off of certain assets as a result of our product development reprioritization and pivot in strategy.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Goodwill Impairment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Goodwill represents the excess of consideration transferred over the fair value of tangible and identifiable intangible net assets acquired and the liabilities assumed in a business combination. All of our goodwill was recognized from the acquisition of RE2. During the fourth quarter of 2022, due to the sustained decreases in our publicly quoted share price and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capitalization, we performed a quantitative goodwill impairment test. Based on the results of the quantitative goodwill impairment assessment we concluded that the carrying value of our goodwill exceeded its fair value and that our goodwill was fully impaired as of December 31, 2022.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Income (Loss)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Interest Income,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income consists primarily of interest received or earned on our cash and marketable securities balances. Portions of our cash resided in money market investments and in U.S. Treasury securities at various points during the year.</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Gain (Loss) Warrant Liability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Gain (loss) on warrant liability consists of the change in fair value of the private placement warrants we assumed as part of the Business Combination.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Other Income,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income, net consists primarily of other miscellaneous non-operating items such as proceeds from the CARES Act employee retention credit.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Income Tax Benefit (Expense</w:t>
      </w:r>
      <w:r>
        <w:rPr>
          <w:rFonts w:ascii="Times New Roman" w:hAnsi="Times New Roman"/>
          <w:color w:val="000000"/>
          <w:sz w:val="18"/>
        </w:rPr>
        <w: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Income taxes consist of taxes currently due plus deferred income taxes related primarily to differences between the tax bases and financial reporting bases of assets and liabilities. The deferred income taxes represent the future tax return consequences of those differences, which will either be taxable or deductible when the assets and liabilities are recovered or settled.</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discussion below regarding our results of operations for the twelve months ended December 31, 2022, includes the financial results of RE2 beginning on the acquisition date of April 25, 2022 through December 31, 2022. Our results do not include RE2’s financial information prior to the acquisition.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Comparison of the Years Ended December 31, 2023 and 2022</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our revenue for the years ended December 31, 2023 and 2022:</w:t>
      </w:r>
    </w:p>
    <w:p>
      <w:pPr>
        <w:pStyle w:val="TextBody"/>
        <w:bidi w:val="0"/>
        <w:jc w:val="both"/>
        <w:rPr/>
      </w:pPr>
      <w:r>
        <w:rPr/>
        <w:t> </w:t>
      </w:r>
    </w:p>
    <w:tbl>
      <w:tblPr>
        <w:tblW w:w="8006" w:type="dxa"/>
        <w:jc w:val="left"/>
        <w:tblInd w:w="0" w:type="dxa"/>
        <w:tblLayout w:type="fixed"/>
        <w:tblCellMar>
          <w:top w:w="28" w:type="dxa"/>
          <w:left w:w="28" w:type="dxa"/>
          <w:bottom w:w="28" w:type="dxa"/>
          <w:right w:w="28" w:type="dxa"/>
        </w:tblCellMar>
      </w:tblPr>
      <w:tblGrid>
        <w:gridCol w:w="2971"/>
        <w:gridCol w:w="146"/>
        <w:gridCol w:w="230"/>
        <w:gridCol w:w="602"/>
        <w:gridCol w:w="172"/>
        <w:gridCol w:w="172"/>
        <w:gridCol w:w="230"/>
        <w:gridCol w:w="708"/>
        <w:gridCol w:w="146"/>
        <w:gridCol w:w="146"/>
        <w:gridCol w:w="216"/>
        <w:gridCol w:w="631"/>
        <w:gridCol w:w="183"/>
        <w:gridCol w:w="161"/>
        <w:gridCol w:w="260"/>
        <w:gridCol w:w="671"/>
        <w:gridCol w:w="36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Development Contract Revenue</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5,256</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(8,983</w:t>
            </w:r>
          </w:p>
        </w:tc>
        <w:tc>
          <w:tcPr>
            <w:tcW w:w="1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Revenue</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net</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6,146</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(8,423</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decreased by $8.4 million, or 58%, from $14.6 million in the year ended December 31, 2022, to $6.1 million in the year ended December 31, 2023, as explained below.</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Product Development Contract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derived from product development contracts decreased by $9.0 million, or 63%, from $14.2 million for the year ended December 31, 2022 to $5.3 million for the year ended December 31, 2023. The decrease was primarily due to the completion of certain product development contracts during 2023 that have not yet been replaced with new contracts. We expect future revenue from product development contracts to fluctuate due to the timing of additional development contracts signed and the completion of existing contracts. For the time being, we intend to take on only those development contracts that we believe support and contribute to our AI/ML Software Platform development efforts under our refined sales and product development strategy.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Product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Revenue derived from product sales increased by $0.6 million, or 170%, from $0.3 million for the year ended December 31, 2022 to $0.9 million for the year ended December 31, 2023. The increase was primarily due to the sale of two Guardian Sea Class systems during 2023.</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our operating expenses for the years ended December 31, 2023 and 2022:</w:t>
      </w:r>
    </w:p>
    <w:p>
      <w:pPr>
        <w:pStyle w:val="TextBody"/>
        <w:bidi w:val="0"/>
        <w:jc w:val="both"/>
        <w:rPr/>
      </w:pPr>
      <w:r>
        <w:rPr/>
        <w:t> </w:t>
      </w:r>
    </w:p>
    <w:tbl>
      <w:tblPr>
        <w:tblW w:w="8063" w:type="dxa"/>
        <w:jc w:val="left"/>
        <w:tblInd w:w="0" w:type="dxa"/>
        <w:tblLayout w:type="fixed"/>
        <w:tblCellMar>
          <w:top w:w="28" w:type="dxa"/>
          <w:left w:w="28" w:type="dxa"/>
          <w:bottom w:w="28" w:type="dxa"/>
          <w:right w:w="28" w:type="dxa"/>
        </w:tblCellMar>
      </w:tblPr>
      <w:tblGrid>
        <w:gridCol w:w="2841"/>
        <w:gridCol w:w="146"/>
        <w:gridCol w:w="200"/>
        <w:gridCol w:w="707"/>
        <w:gridCol w:w="149"/>
        <w:gridCol w:w="149"/>
        <w:gridCol w:w="200"/>
        <w:gridCol w:w="707"/>
        <w:gridCol w:w="146"/>
        <w:gridCol w:w="146"/>
        <w:gridCol w:w="198"/>
        <w:gridCol w:w="668"/>
        <w:gridCol w:w="167"/>
        <w:gridCol w:w="147"/>
        <w:gridCol w:w="233"/>
        <w:gridCol w:w="698"/>
        <w:gridCol w:w="56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907" w:type="dxa"/>
            <w:gridSpan w:val="2"/>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9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66"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7"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ind w:left="0" w:right="0" w:firstLine="200"/>
              <w:jc w:val="right"/>
              <w:rPr/>
            </w:pPr>
            <w:r>
              <w:rPr/>
              <w:t> </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5,041</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(6,573</w:t>
            </w:r>
          </w:p>
        </w:tc>
        <w:tc>
          <w:tcPr>
            <w:tcW w:w="1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39,012</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4,868</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31,454</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(32,026</w:t>
            </w:r>
          </w:p>
        </w:tc>
        <w:tc>
          <w:tcPr>
            <w:tcW w:w="16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10,828</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Intangible amortization expense</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w:t>
            </w:r>
          </w:p>
        </w:tc>
        <w:tc>
          <w:tcPr>
            <w:tcW w:w="16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Asset write-down and restructuring</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37,946</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37,946</w:t>
            </w:r>
          </w:p>
        </w:tc>
        <w:tc>
          <w:tcPr>
            <w:tcW w:w="16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*NM</w:t>
            </w:r>
          </w:p>
        </w:tc>
        <w:tc>
          <w:tcPr>
            <w:tcW w:w="561" w:type="dxa"/>
            <w:tcBorders/>
            <w:shd w:fill="CFF0FC" w:val="clear"/>
            <w:vAlign w:val="center"/>
          </w:tcPr>
          <w:p>
            <w:pPr>
              <w:pStyle w:val="TableContents"/>
              <w:bidi w:val="0"/>
              <w:spacing w:before="0" w:after="283"/>
              <w:ind w:left="0" w:right="0" w:firstLine="200"/>
              <w:jc w:val="right"/>
              <w:rPr/>
            </w:pPr>
            <w:r>
              <w:rPr/>
              <w:t> </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Goodwill impairment</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(70,236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127,102</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(64,505</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7"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5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Cost of Revenue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Cost of revenue decreased by $6.6 million, or 57%, from $11.6 million for the year ended December 31, 2022, to $5.0 million for the year ended December 31, 2023. Cost of revenue decreased mainly due to decreased labor and material expense charged to product development contracts during the year ended December 31, 2023.</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Research and development expenses increased by $4.9 million, or 14%, from $34.1 million for the year ended December 31, 2022, to $39.0 million for the year ended December 31, 2023. The increase was driven primarily by an increase in labor and overhead expense as a result of increased headcount (due in part to the RE2 acquisition) and the shift of labor from cost of revenue to research and development due to the timing of new product development contracts being signed and the focus on new product development and commercialization efforts. As a result, allocated overhead and fringe related costs also increased due to the increase in labor costs. We expect that future research and development costs will decrease significantly due to the reduction in headcount actions taken during 2023 and early 2024 and other cost savings resulting from the pivot in strategy to prioritize development of our AI/ML Software Platform and discontinue substantially all other research and development efforts.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General and administrative expenses decreased by $32.0 million, or 50%, from $63.5 million for the year ended December 31, 2022, to $31.5 million for the year ended December 31, 2023. General and administrative expense decreased primarily due to reduced stock-based compensation expense of $28.4 million due to certain awards vesting in the prior year. In addition to the decrease in stock-based compensation expense, business insurance expenses decreased during the current year period to more favorable rates resulting from the latest renewal and legal fees decreased in comparison to the prior year primarily due to the lack of acquisition-related legal expenses arising from the RE2 acquisition during the prior year period. We also expect that future general and administrative expenses will decrease significantly due to the reduction in headcount actions taken during 2023 and early 2024 and other cost savings resulting from our pivot in strategy to prioritize development of our AI/ML Software Platform with a lower overall cost structure.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Sales and Marketing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Sales and marketing expenses increased by $0.9 million, or 9%, from $9.9 million for the year ended December 31, 2022, to $10.8 million for the year ended December 31, 2023. This increase was driven by an increase in professional service fees related to third-party platform expense utilized in data management of our products and services, increased promotional and event expense during the current year period, and increased expenses related to additional headcount due in part to our RE2 acquisition. Even considering the expected launch of the AI/ML Software Platform, we expect that future sales and marketing expenses will decrease significantly due to the reduction in headcount actions taken during 2023 and other cost savings resulting from our pivot in strategy to prioritize development of our AI/ML Software Platform with a lower overall cost structure.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Intangible Amortization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Intangible amortization expenses increased by $0.6 million, from $2.2 million for the year ended December 31, 2022, to $2.8 million for the year ended December 31, 2023. The increase in intangible amortization expense is due to the recognition of amortization expenses on identified intangible assets recorded as part of the RE2 acquisition.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Asset Write-down and Restructuring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Asset write-down and restructuring expenses were $37.9 million for the year ended December 31, 2023, which includes a write-down of inventory of $11.3 million, a $17.6 million charge for the accelerated amortization and write-off of our intangibles and certain other assets as a result our product development reprioritization, $1.2 million of accelerated depreciation related to the shutting down our facilities in Pittsburgh, Pennsylvania, $0.5 million for contract restructuring accruals, $2.9 million in severance and benefit payments, and $4.4 million due to the acceleration of stock-based compensation expense resulting from the early termination of our redemption right over certain shares held by our former Chief Operating Officer in connection with the termination of his employment.</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Goodwill Impairment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year ended December 31, 2022, we fully impaired our goodwill and recorded a non-cash goodwill impairment of $70.2 million. The non-cash goodwill impairment was primarily driven by the sustained decrease in our publicly quoted share price and market capitalization.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Other Income (Loss)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other income (loss) for the years ended December 31, 2023 and 2022:</w:t>
      </w:r>
    </w:p>
    <w:p>
      <w:pPr>
        <w:pStyle w:val="TextBody"/>
        <w:bidi w:val="0"/>
        <w:jc w:val="both"/>
        <w:rPr/>
      </w:pPr>
      <w:r>
        <w:rPr/>
        <w:t> </w:t>
      </w:r>
    </w:p>
    <w:tbl>
      <w:tblPr>
        <w:tblW w:w="7312" w:type="dxa"/>
        <w:jc w:val="left"/>
        <w:tblInd w:w="0" w:type="dxa"/>
        <w:tblLayout w:type="fixed"/>
        <w:tblCellMar>
          <w:top w:w="28" w:type="dxa"/>
          <w:left w:w="28" w:type="dxa"/>
          <w:bottom w:w="28" w:type="dxa"/>
          <w:right w:w="28" w:type="dxa"/>
        </w:tblCellMar>
      </w:tblPr>
      <w:tblGrid>
        <w:gridCol w:w="2046"/>
        <w:gridCol w:w="146"/>
        <w:gridCol w:w="230"/>
        <w:gridCol w:w="602"/>
        <w:gridCol w:w="172"/>
        <w:gridCol w:w="172"/>
        <w:gridCol w:w="230"/>
        <w:gridCol w:w="708"/>
        <w:gridCol w:w="146"/>
        <w:gridCol w:w="146"/>
        <w:gridCol w:w="205"/>
        <w:gridCol w:w="692"/>
        <w:gridCol w:w="173"/>
        <w:gridCol w:w="152"/>
        <w:gridCol w:w="260"/>
        <w:gridCol w:w="671"/>
        <w:gridCol w:w="561"/>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CFF0FC" w:val="clear"/>
            <w:vAlign w:val="center"/>
          </w:tcPr>
          <w:p>
            <w:pPr>
              <w:pStyle w:val="TableContents"/>
              <w:bidi w:val="0"/>
              <w:spacing w:before="0" w:after="283"/>
              <w:jc w:val="left"/>
              <w:rPr/>
            </w:pPr>
            <w:r>
              <w:rPr/>
              <w:t> </w:t>
            </w:r>
          </w:p>
        </w:tc>
        <w:tc>
          <w:tcPr>
            <w:tcW w:w="832" w:type="dxa"/>
            <w:gridSpan w:val="2"/>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left"/>
              <w:rPr/>
            </w:pPr>
            <w:r>
              <w:rPr/>
              <w:t> </w:t>
            </w:r>
          </w:p>
        </w:tc>
        <w:tc>
          <w:tcPr>
            <w:tcW w:w="93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52"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ind w:left="0" w:right="0" w:firstLine="200"/>
              <w:jc w:val="right"/>
              <w:rPr/>
            </w:pPr>
            <w:r>
              <w:rPr/>
              <w:t> </w:t>
            </w:r>
          </w:p>
        </w:tc>
      </w:tr>
      <w:tr>
        <w:trPr/>
        <w:tc>
          <w:tcPr>
            <w:tcW w:w="2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3,294</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1,463</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Gain on warrant liability</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0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6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(13,280</w:t>
            </w:r>
          </w:p>
        </w:tc>
        <w:tc>
          <w:tcPr>
            <w:tcW w:w="1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5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5,370</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(10,646</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2"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5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income decreased by $10.6 million for the year ended December 31, 2023 as compared to the prior year period as a result of decreased unrealized mark-to-market gains on our outstanding private placement warrants, partially offset by increased interest income from our investments in marketable securities and increased other income related to employee retention credit refunds received during the current year.</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Income Tax Benefit (Expense)</w:t>
      </w:r>
    </w:p>
    <w:p>
      <w:pPr>
        <w:pStyle w:val="TextBody"/>
        <w:bidi w:val="0"/>
        <w:jc w:val="both"/>
        <w:rPr>
          <w:rFonts w:ascii="Times New Roman" w:hAnsi="Times New Roman"/>
          <w:color w:val="000000"/>
          <w:sz w:val="20"/>
        </w:rPr>
      </w:pPr>
      <w:r>
        <w:rPr>
          <w:rFonts w:ascii="Times New Roman" w:hAnsi="Times New Roman"/>
          <w:color w:val="000000"/>
          <w:sz w:val="20"/>
        </w:rPr>
        <w:t>Income tax benefit decreased to $7,000 for the year ended December 31, 2023, compared to $3.9 million in income tax benefit for the year ended December 31, 2022. The income tax benefit recorded during the year ended December 31, 2022 was due to the removal of a portion of our previously recorded valuation allowance on our net deferred tax assets associated with net deferred tax liabilities recorded as part of the acquisition of RE2, resulting in an income tax benefit recognized during the prior year period.</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Backlog and Total Estimated Contract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backlog, as of December 31, 2023, was $8.1 million, $6.5 million of which was funded and $1.6 million of which was unfunded. Our backlog is equal to our remaining performance obligations under contracts or the expected value of exercised contracts, both funded and unfunded, less revenue recognized to date. Our total estimated contract value, which combines backlog with estimated potential contract value, including unexercised options from existing firm contracts, was $18.1 million as of December 31, 2023.</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currently use cash to fund operations and capital expenditures and meet working capital requirements. As of December 31, 2023, we had $39.1 million in cash, cash equivalents and marketable securities. We believe that our cash, cash equivalents and marketable securities on hand will be sufficient to support operations, working capital and capital expenditure requirements for at least the next 12 months from the date of this Report.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amount and timing of our future funding requirements will depend on many factors, including the pace and results of our product development efforts, our ability to develop and deliver our commercial AI/ML Software Platform and thereby recognize associated revenue and capital requirements to develop our commercial AI/ML Software Platform prior to receiving payments sufficient to cover our costs. Any delays in the successful commercialization of our software product will negatively impact our ability to generate revenue, our profitability and our overall operating performance.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we may enter into arrangements to acquire or invest in complementary businesses, services and technologies, which may require acquisition capital as well as operational capital for these acquisitions or arrangements. We may be required to seek additional equity or debt financing to facilitate these arrangements. In the event that additional financing is required from outside sources, we may not be able to raise it on terms acceptable to us, or at all. If we are unable to raise additional capital when desired or needed, our business, results of operations and financial condition would be materially and adversely affected.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If additional funds are required to support our working capital requirements, for acquisitions or for other purposes, we may seek to raise funds through additional debt or equity financings or from other sources. We have taken numerous steps to manage our use of cash, including conducting the RIFs announced on July 12, 2023 and November 14, 2023, and other related actions, and believe we have sufficient capital to fund our business for at least the next 12 months without seeking additional capital. However, we may need to seek additional financing during that time to bolster our cash reserves and increase our ability to continue to pursue our business objectives. As a result, we intend to continue monitoring our liquidity, financial and business results and outlook and market conditions, and may be opportunistic and raise capital when we consider market conditions are good or a favorable opportunity exists. Any delays in the successful commercialization and sales of our software platform will negatively impact our ability to generate revenue, our profitability and our overall operating performance and result in the need to raise additional capital sooner than expected.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 For additional information around the risks associated with our capital needs see Part I Item 1A Risk Factors “</w:t>
      </w:r>
      <w:r>
        <w:rPr>
          <w:rFonts w:ascii="Times New Roman" w:hAnsi="Times New Roman"/>
          <w:i/>
          <w:color w:val="000000"/>
          <w:sz w:val="20"/>
        </w:rPr>
        <w:t>Our business plans require a significant amount of capital. Our future capital needs may require us to sell additional equity or debt securities that may dilute our stockholders or introduce covenants that may restrict our operations or our ability to pay dividends. If we require additional capital and are not able to secure new funding, we may not be able to continue our business operations.”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of December 31, 2023, our total minimum lease payments are $15.6 million, of which $2.0 million are due in the next 12 months. For detail regarding our lease obligations refer to </w:t>
      </w:r>
      <w:r>
        <w:rPr>
          <w:rFonts w:ascii="Times New Roman" w:hAnsi="Times New Roman"/>
          <w:i/>
          <w:color w:val="000000"/>
          <w:sz w:val="20"/>
        </w:rPr>
        <w:t xml:space="preserve">Note 4 Leases </w:t>
      </w:r>
      <w:r>
        <w:rPr>
          <w:rFonts w:ascii="Times New Roman" w:hAnsi="Times New Roman"/>
          <w:color w:val="000000"/>
          <w:sz w:val="20"/>
        </w:rPr>
        <w:t xml:space="preserve">to the consolidated financial statements included elsewhere in this Annual Report on Form 10-K.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our cash flow data for the periods presented:</w:t>
      </w:r>
    </w:p>
    <w:p>
      <w:pPr>
        <w:pStyle w:val="TextBody"/>
        <w:bidi w:val="0"/>
        <w:jc w:val="both"/>
        <w:rPr/>
      </w:pPr>
      <w:r>
        <w:rPr/>
        <w:t> </w:t>
      </w:r>
    </w:p>
    <w:tbl>
      <w:tblPr>
        <w:tblW w:w="9126" w:type="dxa"/>
        <w:jc w:val="left"/>
        <w:tblInd w:w="0" w:type="dxa"/>
        <w:tblLayout w:type="fixed"/>
        <w:tblCellMar>
          <w:top w:w="28" w:type="dxa"/>
          <w:left w:w="28" w:type="dxa"/>
          <w:bottom w:w="28" w:type="dxa"/>
          <w:right w:w="28" w:type="dxa"/>
        </w:tblCellMar>
      </w:tblPr>
      <w:tblGrid>
        <w:gridCol w:w="3861"/>
        <w:gridCol w:w="146"/>
        <w:gridCol w:w="196"/>
        <w:gridCol w:w="661"/>
        <w:gridCol w:w="166"/>
        <w:gridCol w:w="146"/>
        <w:gridCol w:w="196"/>
        <w:gridCol w:w="751"/>
        <w:gridCol w:w="166"/>
        <w:gridCol w:w="146"/>
        <w:gridCol w:w="196"/>
        <w:gridCol w:w="691"/>
        <w:gridCol w:w="166"/>
        <w:gridCol w:w="146"/>
        <w:gridCol w:w="233"/>
        <w:gridCol w:w="698"/>
        <w:gridCol w:w="561"/>
      </w:tblGrid>
      <w:tr>
        <w:trPr/>
        <w:tc>
          <w:tcPr>
            <w:tcW w:w="3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8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 vs. 2022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Change</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561" w:type="dxa"/>
            <w:tcBorders/>
            <w:shd w:fill="CFF0FC" w:val="clear"/>
            <w:vAlign w:val="center"/>
          </w:tcPr>
          <w:p>
            <w:pPr>
              <w:pStyle w:val="TableContents"/>
              <w:bidi w:val="0"/>
              <w:spacing w:before="0" w:after="283"/>
              <w:ind w:left="0" w:right="0" w:firstLine="200"/>
              <w:jc w:val="right"/>
              <w:rPr/>
            </w:pPr>
            <w:r>
              <w:rPr/>
              <w:t> </w:t>
            </w:r>
          </w:p>
        </w:tc>
      </w:tr>
      <w:tr>
        <w:trPr/>
        <w:tc>
          <w:tcPr>
            <w:tcW w:w="38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(76,620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(65,391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56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(109,045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173,727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5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5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Cash flows used in operating activities during the twelve months ended December 31, 2023, increased by $11.2 million to $76.6 million from $65.4 million during the same period in 2022. The increase to net cash used in operating activities was primarily attributable to a net decrease of $50.2 million in non-cash expenses driven mainly by decreases in goodwill impairment and stock-based compensation, offset partially by a $41.5 million decrease to net loss, a decrease to gains on warrant liability revaluation and an increase in asset write-down expenses. Additionally, net cash used in operating activities related to changes in operating assets and liabilities increased by $2.5 million, driven mainly by increased inventory purchases, offset partially by decreases in unbilled receivables.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Net Cash Provided by (Used in) Investing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net cash provided by investing activities during the twelve months ended December 31, 2023 increased by $173.7 million. The increase in cash provided by investing activities is predominantly due to $65.5 million of maturities of marketable securities, net of purchases, during the twelve months ended December 31, 2023, as compared to the $77.9 million of purchase of marketable securities, net of maturities, and $29.7 million of net cash that was included as part of the purchase consideration for the RE2 acquisition during the twelve months ended December 31, 2022.</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Net Cash Used In Financing Activities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net cash used in financing activities during the twelve months ended December 31, 2023 decreased by $7.4 million as compared to the prior year period. The decrease in financing activities was mainly due to a $8.0 million decrease in funds used to remit taxes due upon vesting of equity awards resulting from the withholding of shares valued at such amount from the applicable employees, consultants or directors, to cover such taxes.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2025,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discussion and analysis of our financial condition and results of operations are based upon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estimates include those related to:</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historically recognized revenue from our products and from contractual arrangements to perform product development contract services that are fully funded by our customers. We recognize revenue when promised goods or services are transferred to customers in an amount that reflects the consideration to which we expect to be entitled in exchange for those goods or services. Revenue from product development contracts is recognized over time as products and services are provided. For fixed priced contracts we measure progress toward satisfaction of performance obligations using costs incurred to date relative to total estimated costs (“cost-to-cost”). Research and development contracts may last multiple years and estimation of the total transaction price and expected cost requires management’s judgment. Based on the nature of the Company’s research and development contracts, the work to be performed is often complex and may involve new processes, procedures, and tasks which creates uncertainty in estimating contract costs. All estimates impacting revenue recognition, including estimates of total expected costs, or Estimates at Completion, are reviewed on a periodic basis, at least quarterly.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those performance obligations for which revenue is recognized using a cost-to-cost input method, changes in total estimated costs, and related progress towards complete satisfaction of the performance obligation, are recognized on a cumulative catch-up basis in the period in which the revisions to the estimates are made. Changes in judgments with respect to these assumptions and estimates could impact the timing or amount of revenue recognition.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use the fair value approach to account for stock-based compensation in accordance with current accounting guidance and recognize stock-based compensation expenses over the period the recipient is required to provide service in exchange for the award. The Black-Scholes option pricing model is used to estimate the fair value of stock options, which requires the use of a number of assumptions, including expected volatility, expected life, risk-free interest rate and expected dividends. The fair value of restricted stock grants is based on the closing market price of our stock on the date of grant less the expected dividend yield. For awards with market based vesting conditions, we estimate the grant date fair value using a Monte-Carlo simulation model or other similar valuation model. These models require the use of assumptions such as the risk-free rate, expected volatility, expected dividends and the correlation coefficient. As we accumulate additional employee stock-based awards data over time and as we incorporate market data related to our common stock, we may calculate significantly different volatilities and expected lives, which could materially impact the valuation of our stock-based awards and the stock-based compensation expense that we will recognize in future periods.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See </w:t>
      </w:r>
      <w:r>
        <w:rPr>
          <w:rFonts w:ascii="Times New Roman" w:hAnsi="Times New Roman"/>
          <w:i/>
          <w:color w:val="000000"/>
          <w:sz w:val="20"/>
        </w:rPr>
        <w:t>Note 1, Basis of Presentation and Summary of Significant Accounting Policies,</w:t>
      </w:r>
      <w:r>
        <w:rPr>
          <w:rFonts w:ascii="Times New Roman" w:hAnsi="Times New Roman"/>
          <w:color w:val="000000"/>
          <w:sz w:val="20"/>
        </w:rPr>
        <w:t xml:space="preserve"> to consolidated financial statements included elsewhere in this Annual Report on Form 10-K for recently adopted accounting pronouncements and recently issued accounting pronouncements not yet adopted as of the date of this Annual Report on Form 10-K.</w:t>
      </w:r>
    </w:p>
    <w:p>
      <w:pPr>
        <w:pStyle w:val="TextBody"/>
        <w:bidi w:val="0"/>
        <w:spacing w:before="360" w:after="283"/>
        <w:jc w:val="both"/>
        <w:rPr>
          <w:rFonts w:ascii="Times New Roman" w:hAnsi="Times New Roman"/>
          <w:sz w:val="20"/>
        </w:rPr>
      </w:pPr>
      <w:bookmarkStart w:id="20" w:name="item_7a_quantitative_qualitative_disclos"/>
      <w:bookmarkStart w:id="21" w:name="quantitative_and_qualitative_"/>
      <w:bookmarkEnd w:id="20"/>
      <w:bookmarkEnd w:id="21"/>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otherwise required under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22" w:name="item_8_financial_statements_supplementar"/>
      <w:bookmarkEnd w:id="22"/>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tbl>
      <w:tblPr>
        <w:tblW w:w="6347" w:type="dxa"/>
        <w:jc w:val="left"/>
        <w:tblInd w:w="0" w:type="dxa"/>
        <w:tblLayout w:type="fixed"/>
        <w:tblCellMar>
          <w:top w:w="28" w:type="dxa"/>
          <w:left w:w="28" w:type="dxa"/>
          <w:bottom w:w="28" w:type="dxa"/>
          <w:right w:w="28" w:type="dxa"/>
        </w:tblCellMar>
      </w:tblPr>
      <w:tblGrid>
        <w:gridCol w:w="5986"/>
        <w:gridCol w:w="361"/>
      </w:tblGrid>
      <w:tr>
        <w:trPr/>
        <w:tc>
          <w:tcPr>
            <w:tcW w:w="59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986" w:type="dxa"/>
            <w:tcBorders/>
            <w:tcMar>
              <w:top w:w="0" w:type="dxa"/>
              <w:left w:w="0" w:type="dxa"/>
              <w:bottom w:w="0" w:type="dxa"/>
              <w:right w:w="0" w:type="dxa"/>
            </w:tcMar>
            <w:vAlign w:val="center"/>
          </w:tcPr>
          <w:p>
            <w:pPr>
              <w:pStyle w:val="TableContents"/>
              <w:bidi w:val="0"/>
              <w:spacing w:before="0" w:after="283"/>
              <w:jc w:val="left"/>
              <w:rPr/>
            </w:pPr>
            <w:hyperlink w:anchor="report_of_auditors">
              <w:r>
                <w:rPr>
                  <w:rStyle w:val="InternetLink"/>
                  <w:rFonts w:ascii="Times New Roman" w:hAnsi="Times New Roman"/>
                  <w:color w:val="0000FF"/>
                  <w:sz w:val="20"/>
                  <w:u w:val="single"/>
                </w:rPr>
                <w:t>Report of Independent Registered Public Accounting Firm (PCAOB: 42)</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5986"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Consolidated Balance Sheets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598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5986" w:type="dxa"/>
            <w:tcBorders/>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Consolidated Statements of Comprehensive Loss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5986"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Consolidated Statements of Cash Flows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5986"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000FF"/>
                  <w:sz w:val="20"/>
                  <w:u w:val="single"/>
                </w:rPr>
                <w:t>Consolidated Statements of Stockholders’ Equity</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r>
      <w:tr>
        <w:trPr/>
        <w:tc>
          <w:tcPr>
            <w:tcW w:w="5986" w:type="dxa"/>
            <w:tcBorders/>
            <w:tcMar>
              <w:top w:w="0" w:type="dxa"/>
              <w:left w:w="0" w:type="dxa"/>
              <w:bottom w:w="0" w:type="dxa"/>
              <w:right w:w="0" w:type="dxa"/>
            </w:tcMar>
            <w:vAlign w:val="center"/>
          </w:tcPr>
          <w:p>
            <w:pPr>
              <w:pStyle w:val="TableContents"/>
              <w:bidi w:val="0"/>
              <w:spacing w:before="0" w:after="283"/>
              <w:jc w:val="left"/>
              <w:rPr/>
            </w:pPr>
            <w:hyperlink w:anchor="note_1_basis_of_presentation">
              <w:r>
                <w:rPr>
                  <w:rStyle w:val="InternetLink"/>
                  <w:rFonts w:ascii="Times New Roman" w:hAnsi="Times New Roman"/>
                  <w:color w:val="0000FF"/>
                  <w:sz w:val="20"/>
                  <w:u w:val="single"/>
                </w:rPr>
                <w:t>Notes to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3" w:name="report_of_auditors"/>
      <w:bookmarkEnd w:id="23"/>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To the Stockholders and the Board of Directors of Sarcos Technology and Robotics Corporation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have audited the accompanying consolidated balance sheets of Sarcos Technology and Robotics Corporation (the Company) as of December 31, 2023 and 2022, the related consolidated statements of operations, comprehensive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2020.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Salt Lake City, Utah</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February 28,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SARCOS TECHNOLOGY AND ROBOTICS CORPORATION</w:t>
      </w:r>
    </w:p>
    <w:p>
      <w:pPr>
        <w:pStyle w:val="TextBody"/>
        <w:bidi w:val="0"/>
        <w:jc w:val="center"/>
        <w:rPr>
          <w:rFonts w:ascii="Times New Roman" w:hAnsi="Times New Roman"/>
          <w:b/>
          <w:color w:val="000000"/>
          <w:sz w:val="20"/>
        </w:rPr>
      </w:pPr>
      <w:bookmarkStart w:id="24" w:name="balance_sheets"/>
      <w:bookmarkEnd w:id="24"/>
      <w:r>
        <w:rPr>
          <w:rFonts w:ascii="Times New Roman" w:hAnsi="Times New Roman"/>
          <w:b/>
          <w:color w:val="000000"/>
          <w:sz w:val="20"/>
        </w:rPr>
        <w:t>CONSOLIDATED BALANCE SHEETS</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 thousands, except share data</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6"/>
        <w:gridCol w:w="146"/>
        <w:gridCol w:w="239"/>
        <w:gridCol w:w="919"/>
        <w:gridCol w:w="166"/>
        <w:gridCol w:w="146"/>
        <w:gridCol w:w="239"/>
        <w:gridCol w:w="919"/>
        <w:gridCol w:w="395"/>
      </w:tblGrid>
      <w:tr>
        <w:trPr/>
        <w:tc>
          <w:tcPr>
            <w:tcW w:w="7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70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703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15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8"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right"/>
              <w:rPr/>
            </w:pPr>
            <w:r>
              <w:rPr/>
              <w:t> </w:t>
            </w:r>
          </w:p>
        </w:tc>
      </w:tr>
      <w:tr>
        <w:trPr/>
        <w:tc>
          <w:tcPr>
            <w:tcW w:w="70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ind w:left="0" w:right="0" w:firstLine="200"/>
              <w:jc w:val="right"/>
              <w:rPr/>
            </w:pPr>
            <w:r>
              <w:rPr/>
              <w:t> </w:t>
            </w:r>
          </w:p>
        </w:tc>
      </w:tr>
      <w:tr>
        <w:trPr/>
        <w:tc>
          <w:tcPr>
            <w:tcW w:w="7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35,159</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7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79,337</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7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1,866</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7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Unbilled receivables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7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3,562</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7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129,099</w:t>
            </w:r>
          </w:p>
        </w:tc>
        <w:tc>
          <w:tcPr>
            <w:tcW w:w="395" w:type="dxa"/>
            <w:tcBorders/>
            <w:shd w:fill="CFF0FC" w:val="cle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7,640</w:t>
            </w:r>
          </w:p>
        </w:tc>
        <w:tc>
          <w:tcPr>
            <w:tcW w:w="395" w:type="dxa"/>
            <w:tcBorders/>
            <w:shd w:fill="FFFFFF" w:val="cle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19,116</w:t>
            </w:r>
          </w:p>
        </w:tc>
        <w:tc>
          <w:tcPr>
            <w:tcW w:w="395" w:type="dxa"/>
            <w:tcBorders/>
            <w:shd w:fill="CFF0FC" w:val="cle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11,283</w:t>
            </w:r>
          </w:p>
        </w:tc>
        <w:tc>
          <w:tcPr>
            <w:tcW w:w="395" w:type="dxa"/>
            <w:tcBorders/>
            <w:shd w:fill="FFFFFF" w:val="cle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167,625</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15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8"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right"/>
              <w:rPr/>
            </w:pPr>
            <w:r>
              <w:rPr/>
              <w:t> </w:t>
            </w:r>
          </w:p>
        </w:tc>
      </w:tr>
      <w:tr>
        <w:trPr/>
        <w:tc>
          <w:tcPr>
            <w:tcW w:w="70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ind w:left="0" w:right="0" w:firstLine="200"/>
              <w:jc w:val="right"/>
              <w:rPr/>
            </w:pPr>
            <w:r>
              <w:rPr/>
              <w:t> </w:t>
            </w:r>
          </w:p>
        </w:tc>
      </w:tr>
      <w:tr>
        <w:trPr/>
        <w:tc>
          <w:tcPr>
            <w:tcW w:w="7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7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6,025</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7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operating lease liabilities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w:t>
            </w:r>
          </w:p>
        </w:tc>
        <w:tc>
          <w:tcPr>
            <w:tcW w:w="395" w:type="dxa"/>
            <w:tcBorders/>
            <w:shd w:fill="CFF0FC" w:val="cle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vAlign w:val="center"/>
          </w:tcPr>
          <w:p>
            <w:pPr>
              <w:pStyle w:val="TableContents"/>
              <w:bidi w:val="0"/>
              <w:spacing w:before="0" w:after="283"/>
              <w:jc w:val="left"/>
              <w:rPr/>
            </w:pPr>
            <w:r>
              <w:rPr/>
              <w:t> </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1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10,532</w:t>
            </w:r>
          </w:p>
        </w:tc>
        <w:tc>
          <w:tcPr>
            <w:tcW w:w="395"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12,387</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70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23,175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12)</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8"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70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1158"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58"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right"/>
              <w:rPr/>
            </w:pPr>
            <w:r>
              <w:rPr/>
              <w:t> </w:t>
            </w:r>
          </w:p>
        </w:tc>
      </w:tr>
      <w:tr>
        <w:trPr/>
        <w:tc>
          <w:tcPr>
            <w:tcW w:w="70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165,000,000</w:t>
            </w:r>
            <w:r>
              <w:rPr>
                <w:rFonts w:ascii="Times New Roman" w:hAnsi="Times New Roman"/>
                <w:color w:val="000000"/>
                <w:sz w:val="20"/>
              </w:rPr>
              <w:t> </w:t>
            </w:r>
            <w:r>
              <w:rPr>
                <w:rFonts w:ascii="Times New Roman" w:hAnsi="Times New Roman"/>
                <w:color w:val="000000"/>
                <w:sz w:val="18"/>
              </w:rPr>
              <w:t>shares authorized as of December 31, 2023, and December 31, 2022; 25,877,865</w:t>
            </w:r>
            <w:r>
              <w:rPr>
                <w:rFonts w:ascii="Times New Roman" w:hAnsi="Times New Roman"/>
                <w:color w:val="000000"/>
                <w:sz w:val="20"/>
              </w:rPr>
              <w:t> </w:t>
            </w:r>
            <w:r>
              <w:rPr>
                <w:rFonts w:ascii="Times New Roman" w:hAnsi="Times New Roman"/>
                <w:color w:val="000000"/>
                <w:sz w:val="18"/>
              </w:rPr>
              <w:t>and 25,708,519</w:t>
            </w:r>
            <w:r>
              <w:rPr>
                <w:rFonts w:ascii="Times New Roman" w:hAnsi="Times New Roman"/>
                <w:color w:val="000000"/>
                <w:sz w:val="20"/>
              </w:rPr>
              <w:t> </w:t>
            </w:r>
            <w:r>
              <w:rPr>
                <w:rFonts w:ascii="Times New Roman" w:hAnsi="Times New Roman"/>
                <w:color w:val="000000"/>
                <w:sz w:val="18"/>
              </w:rPr>
              <w:t>shares issued and outstanding as of December 31,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95" w:type="dxa"/>
            <w:tcBorders/>
            <w:shd w:fill="FFFFFF" w:val="cle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459,113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447,085</w:t>
            </w:r>
          </w:p>
        </w:tc>
        <w:tc>
          <w:tcPr>
            <w:tcW w:w="395" w:type="dxa"/>
            <w:tcBorders/>
            <w:shd w:fill="CFF0FC" w:val="clear"/>
            <w:vAlign w:val="center"/>
          </w:tcPr>
          <w:p>
            <w:pPr>
              <w:pStyle w:val="TableContents"/>
              <w:bidi w:val="0"/>
              <w:spacing w:before="0" w:after="283"/>
              <w:jc w:val="left"/>
              <w:rPr/>
            </w:pPr>
            <w:r>
              <w:rPr/>
              <w:t> </w:t>
            </w:r>
          </w:p>
        </w:tc>
      </w:tr>
      <w:tr>
        <w:trPr/>
        <w:tc>
          <w:tcPr>
            <w:tcW w:w="70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 (loss)</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9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(302,621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144,450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167,625</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consolidated_statements_of_operations"/>
      <w:bookmarkEnd w:id="25"/>
      <w:r>
        <w:rPr>
          <w:rFonts w:ascii="Times New Roman" w:hAnsi="Times New Roman"/>
          <w:b/>
          <w:color w:val="000000"/>
          <w:sz w:val="20"/>
        </w:rPr>
        <w:t>SARCOS TECHNOLOGY AND ROBOTICS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 thousands, except share and per share data</w:t>
      </w:r>
      <w:r>
        <w:rPr>
          <w:rFonts w:ascii="Times New Roman" w:hAnsi="Times New Roman"/>
          <w:color w:val="000000"/>
          <w:sz w:val="20"/>
        </w:rPr>
        <w:t>)</w:t>
      </w:r>
    </w:p>
    <w:p>
      <w:pPr>
        <w:pStyle w:val="TextBody"/>
        <w:bidi w:val="0"/>
        <w:jc w:val="center"/>
        <w:rPr/>
      </w:pPr>
      <w:r>
        <w:rPr/>
        <w:t> </w:t>
      </w:r>
    </w:p>
    <w:tbl>
      <w:tblPr>
        <w:tblW w:w="7914" w:type="dxa"/>
        <w:jc w:val="left"/>
        <w:tblInd w:w="0" w:type="dxa"/>
        <w:tblLayout w:type="fixed"/>
        <w:tblCellMar>
          <w:top w:w="28" w:type="dxa"/>
          <w:left w:w="28" w:type="dxa"/>
          <w:bottom w:w="28" w:type="dxa"/>
          <w:right w:w="28" w:type="dxa"/>
        </w:tblCellMar>
      </w:tblPr>
      <w:tblGrid>
        <w:gridCol w:w="4641"/>
        <w:gridCol w:w="146"/>
        <w:gridCol w:w="196"/>
        <w:gridCol w:w="916"/>
        <w:gridCol w:w="166"/>
        <w:gridCol w:w="146"/>
        <w:gridCol w:w="196"/>
        <w:gridCol w:w="916"/>
        <w:gridCol w:w="591"/>
      </w:tblGrid>
      <w:tr>
        <w:trPr/>
        <w:tc>
          <w:tcPr>
            <w:tcW w:w="4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41" w:type="dxa"/>
            <w:tcBorders/>
            <w:shd w:fill="FFFFFF" w:val="clear"/>
            <w:vAlign w:val="center"/>
          </w:tcPr>
          <w:p>
            <w:pPr>
              <w:pStyle w:val="TableContents"/>
              <w:bidi w:val="0"/>
              <w:spacing w:before="0" w:after="283"/>
              <w:jc w:val="center"/>
              <w:rPr>
                <w:rFonts w:cs="Times New Roman"/>
                <w:bCs/>
                <w:color w:val="000000"/>
                <w:szCs w:val="18"/>
              </w:rPr>
            </w:pPr>
            <w:r>
              <w:rPr>
                <w:rFonts w:cs="Times New Roman"/>
                <w:bCs/>
                <w:color w:val="000000"/>
                <w:szCs w:val="18"/>
              </w:rPr>
              <w:t>﻿</w:t>
            </w:r>
          </w:p>
        </w:tc>
        <w:tc>
          <w:tcPr>
            <w:tcW w:w="146" w:type="dxa"/>
            <w:tcBorders/>
            <w:shd w:fill="FFFFFF" w:val="cle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net</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14,569</w:t>
            </w:r>
          </w:p>
        </w:tc>
        <w:tc>
          <w:tcPr>
            <w:tcW w:w="591" w:type="dxa"/>
            <w:tcBorders/>
            <w:shd w:fill="CFF0FC" w:val="clear"/>
            <w:vAlign w:val="center"/>
          </w:tcPr>
          <w:p>
            <w:pPr>
              <w:pStyle w:val="TableContents"/>
              <w:bidi w:val="0"/>
              <w:spacing w:before="0" w:after="283"/>
              <w:jc w:val="left"/>
              <w:rPr/>
            </w:pPr>
            <w:r>
              <w:rPr/>
              <w:t> </w:t>
            </w:r>
          </w:p>
        </w:tc>
      </w:tr>
      <w:tr>
        <w:trPr/>
        <w:tc>
          <w:tcPr>
            <w:tcW w:w="46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1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Cost of revenue (exclusive of items shown separately below)</w:t>
            </w:r>
          </w:p>
        </w:tc>
        <w:tc>
          <w:tcPr>
            <w:tcW w:w="146" w:type="dxa"/>
            <w:tcBorders/>
            <w:shd w:fill="CFF0FC" w:val="cle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6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34,144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63,480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6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Intangible amortization expense</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6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Asset write-down and restructuring</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Goodwill impairment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191,607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(120,956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(177,038</w:t>
            </w:r>
          </w:p>
        </w:tc>
        <w:tc>
          <w:tcPr>
            <w:tcW w:w="5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FFFFFF" w:val="cle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1,831</w:t>
            </w:r>
          </w:p>
        </w:tc>
        <w:tc>
          <w:tcPr>
            <w:tcW w:w="591" w:type="dxa"/>
            <w:tcBorders/>
            <w:shd w:fill="FFFFFF" w:val="clear"/>
            <w:vAlign w:val="center"/>
          </w:tcPr>
          <w:p>
            <w:pPr>
              <w:pStyle w:val="TableContents"/>
              <w:bidi w:val="0"/>
              <w:spacing w:before="0" w:after="283"/>
              <w:jc w:val="left"/>
              <w:rPr/>
            </w:pPr>
            <w:r>
              <w:rPr/>
              <w:t> </w:t>
            </w:r>
          </w:p>
        </w:tc>
      </w:tr>
      <w:tr>
        <w:trPr/>
        <w:tc>
          <w:tcPr>
            <w:tcW w:w="46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warrant liability</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13,442</w:t>
            </w:r>
          </w:p>
        </w:tc>
        <w:tc>
          <w:tcPr>
            <w:tcW w:w="591" w:type="dxa"/>
            <w:tcBorders/>
            <w:shd w:fill="CFF0FC" w:val="clear"/>
            <w:vAlign w:val="center"/>
          </w:tcPr>
          <w:p>
            <w:pPr>
              <w:pStyle w:val="TableContents"/>
              <w:bidi w:val="0"/>
              <w:spacing w:before="0" w:after="283"/>
              <w:jc w:val="left"/>
              <w:rPr/>
            </w:pPr>
            <w:r>
              <w:rPr/>
              <w:t> </w:t>
            </w:r>
          </w:p>
        </w:tc>
      </w:tr>
      <w:tr>
        <w:trPr/>
        <w:tc>
          <w:tcPr>
            <w:tcW w:w="46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 (expense) benefit</w:t>
            </w:r>
          </w:p>
        </w:tc>
        <w:tc>
          <w:tcPr>
            <w:tcW w:w="146" w:type="dxa"/>
            <w:tcBorders/>
            <w:shd w:fill="CFF0FC" w:val="cle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(161,022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 benefit</w:t>
            </w:r>
          </w:p>
        </w:tc>
        <w:tc>
          <w:tcPr>
            <w:tcW w:w="146" w:type="dxa"/>
            <w:tcBorders/>
            <w:shd w:fill="FFFFFF" w:val="cle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(157,130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used in computing net loss per share</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46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Basic and diluted</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25,639,270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24,473,212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color w:val="000000"/>
        </w:rPr>
        <w:t>​</w:t>
      </w:r>
      <w:r>
        <w:rPr>
          <w:rFonts w:ascii="Times New Roman" w:hAnsi="Times New Roman"/>
          <w:i/>
          <w:color w:val="000000"/>
          <w:sz w:val="20"/>
        </w:rPr>
        <w:t>See accompanying notes to the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SARCOS TECHNOLOGY AND ROBOTICS CORPORATION</w:t>
      </w:r>
    </w:p>
    <w:p>
      <w:pPr>
        <w:pStyle w:val="TextBody"/>
        <w:bidi w:val="0"/>
        <w:jc w:val="center"/>
        <w:rPr>
          <w:rFonts w:ascii="Times New Roman" w:hAnsi="Times New Roman"/>
          <w:sz w:val="20"/>
        </w:rPr>
      </w:pPr>
      <w:bookmarkStart w:id="26" w:name="comprehensive_loss"/>
      <w:bookmarkEnd w:id="26"/>
      <w:r>
        <w:rPr>
          <w:rFonts w:ascii="Times New Roman" w:hAnsi="Times New Roman"/>
          <w:b/>
          <w:color w:val="000000"/>
          <w:sz w:val="20"/>
        </w:rPr>
        <w:t>CONSOLIDATED STATEMENTS OF</w:t>
      </w:r>
      <w:r>
        <w:rPr>
          <w:rFonts w:ascii="Times New Roman" w:hAnsi="Times New Roman"/>
          <w:color w:val="000000"/>
          <w:sz w:val="20"/>
        </w:rPr>
        <w:t xml:space="preserve"> </w:t>
      </w:r>
      <w:r>
        <w:rPr>
          <w:rFonts w:ascii="Times New Roman" w:hAnsi="Times New Roman"/>
          <w:b/>
          <w:color w:val="000000"/>
          <w:sz w:val="20"/>
        </w:rPr>
        <w:t>COMPREHENSIVE LOSS</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8034" w:type="dxa"/>
        <w:jc w:val="left"/>
        <w:tblInd w:w="0" w:type="dxa"/>
        <w:tblLayout w:type="fixed"/>
        <w:tblCellMar>
          <w:top w:w="28" w:type="dxa"/>
          <w:left w:w="28" w:type="dxa"/>
          <w:bottom w:w="28" w:type="dxa"/>
          <w:right w:w="28" w:type="dxa"/>
        </w:tblCellMar>
      </w:tblPr>
      <w:tblGrid>
        <w:gridCol w:w="5071"/>
        <w:gridCol w:w="146"/>
        <w:gridCol w:w="196"/>
        <w:gridCol w:w="751"/>
        <w:gridCol w:w="166"/>
        <w:gridCol w:w="146"/>
        <w:gridCol w:w="196"/>
        <w:gridCol w:w="751"/>
        <w:gridCol w:w="61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vAlign w:val="center"/>
          </w:tcPr>
          <w:p>
            <w:pPr>
              <w:pStyle w:val="TableContents"/>
              <w:bidi w:val="0"/>
              <w:spacing w:before="0" w:after="283"/>
              <w:jc w:val="center"/>
              <w:rPr>
                <w:rFonts w:cs="Times New Roman"/>
                <w:bCs/>
                <w:color w:val="000000"/>
                <w:szCs w:val="18"/>
              </w:rPr>
            </w:pPr>
            <w:r>
              <w:rPr>
                <w:rFonts w:cs="Times New Roman"/>
                <w:bCs/>
                <w:color w:val="000000"/>
                <w:szCs w:val="18"/>
              </w:rPr>
              <w:t>﻿</w:t>
            </w:r>
          </w:p>
        </w:tc>
        <w:tc>
          <w:tcPr>
            <w:tcW w:w="146" w:type="dxa"/>
            <w:tcBorders/>
            <w:shd w:fill="FFFFFF" w:val="clear"/>
            <w:vAlign w:val="center"/>
          </w:tcPr>
          <w:p>
            <w:pPr>
              <w:pStyle w:val="TableContents"/>
              <w:bidi w:val="0"/>
              <w:spacing w:before="0" w:after="283"/>
              <w:jc w:val="center"/>
              <w:rPr>
                <w:rFonts w:cs="Times New Roman"/>
                <w:bCs/>
                <w:color w:val="000000"/>
                <w:szCs w:val="18"/>
              </w:rPr>
            </w:pPr>
            <w:r>
              <w:rPr>
                <w:rFonts w:cs="Times New Roman"/>
                <w:bCs/>
                <w:color w:val="000000"/>
                <w:szCs w:val="18"/>
              </w:rPr>
              <w:t>﻿</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center"/>
              <w:rPr>
                <w:color w:val="000000"/>
              </w:rPr>
            </w:pPr>
            <w:r>
              <w:rPr>
                <w:color w:val="000000"/>
              </w:rPr>
              <w:t>​</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(115,593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(157,130</w:t>
            </w:r>
          </w:p>
        </w:tc>
        <w:tc>
          <w:tcPr>
            <w:tcW w:w="6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w:t>
            </w:r>
          </w:p>
        </w:tc>
        <w:tc>
          <w:tcPr>
            <w:tcW w:w="146" w:type="dxa"/>
            <w:tcBorders/>
            <w:shd w:fill="FFFFFF" w:val="clear"/>
            <w:vAlign w:val="center"/>
          </w:tcPr>
          <w:p>
            <w:pPr>
              <w:pStyle w:val="TableContents"/>
              <w:bidi w:val="0"/>
              <w:spacing w:before="0" w:after="283"/>
              <w:jc w:val="right"/>
              <w:rPr>
                <w:color w:val="000000"/>
              </w:rPr>
            </w:pPr>
            <w:r>
              <w:rPr>
                <w:color w:val="000000"/>
              </w:rPr>
              <w:t>​</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300"/>
              <w:jc w:val="right"/>
              <w:rPr/>
            </w:pPr>
            <w:r>
              <w:rPr/>
              <w:t> </w:t>
            </w:r>
          </w:p>
        </w:tc>
      </w:tr>
      <w:tr>
        <w:trPr/>
        <w:tc>
          <w:tcPr>
            <w:tcW w:w="507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Change in unrealized gain (loss) on available-for-sale investments</w:t>
            </w:r>
          </w:p>
        </w:tc>
        <w:tc>
          <w:tcPr>
            <w:tcW w:w="146"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other comprehensive income (loss)</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(157,147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center"/>
        <w:rPr/>
      </w:pPr>
      <w:r>
        <w:rPr>
          <w:color w:val="000000"/>
        </w:rPr>
        <w:t>​</w:t>
      </w:r>
      <w:r>
        <w:rPr>
          <w:rFonts w:ascii="Times New Roman" w:hAnsi="Times New Roman"/>
          <w:i/>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SARCOS TECHNOLOGY AND ROBOTICS CORPORATION</w:t>
      </w:r>
    </w:p>
    <w:p>
      <w:pPr>
        <w:pStyle w:val="TextBody"/>
        <w:bidi w:val="0"/>
        <w:jc w:val="center"/>
        <w:rPr>
          <w:rFonts w:ascii="Times New Roman" w:hAnsi="Times New Roman"/>
          <w:b/>
          <w:color w:val="000000"/>
          <w:sz w:val="20"/>
        </w:rPr>
      </w:pPr>
      <w:bookmarkStart w:id="27" w:name="cash_flows"/>
      <w:bookmarkEnd w:id="27"/>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8899" w:type="dxa"/>
        <w:jc w:val="left"/>
        <w:tblInd w:w="0" w:type="dxa"/>
        <w:tblLayout w:type="fixed"/>
        <w:tblCellMar>
          <w:top w:w="28" w:type="dxa"/>
          <w:left w:w="28" w:type="dxa"/>
          <w:bottom w:w="28" w:type="dxa"/>
          <w:right w:w="28" w:type="dxa"/>
        </w:tblCellMar>
      </w:tblPr>
      <w:tblGrid>
        <w:gridCol w:w="6136"/>
        <w:gridCol w:w="146"/>
        <w:gridCol w:w="196"/>
        <w:gridCol w:w="751"/>
        <w:gridCol w:w="166"/>
        <w:gridCol w:w="146"/>
        <w:gridCol w:w="196"/>
        <w:gridCol w:w="751"/>
        <w:gridCol w:w="411"/>
      </w:tblGrid>
      <w:tr>
        <w:trPr/>
        <w:tc>
          <w:tcPr>
            <w:tcW w:w="6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(115,593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(157,130</w:t>
            </w:r>
          </w:p>
        </w:tc>
        <w:tc>
          <w:tcPr>
            <w:tcW w:w="4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35,645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investment discount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Asset write-down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Goodwill impairment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70,236</w:t>
            </w:r>
          </w:p>
        </w:tc>
        <w:tc>
          <w:tcPr>
            <w:tcW w:w="411" w:type="dxa"/>
            <w:tcBorders/>
            <w:shd w:fill="FFFFFF" w:val="cle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Unbilled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(1,972</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(4,621</w:t>
            </w:r>
          </w:p>
        </w:tc>
        <w:tc>
          <w:tcPr>
            <w:tcW w:w="4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(76,620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(65,391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Acquisition of a business, net of cash acquired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(29,687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(64,536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(177,860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Shares repurchased for payment of tax withholdings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Payment of obligations under capital leases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4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(7,519</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(181,955</w:t>
            </w:r>
          </w:p>
        </w:tc>
        <w:tc>
          <w:tcPr>
            <w:tcW w:w="4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217,114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35,159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411" w:type="dxa"/>
            <w:tcBorders/>
            <w:shd w:fill="FFFFFF" w:val="cle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and assumed equity awards in connection with a business acquisition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59,410</w:t>
            </w:r>
          </w:p>
        </w:tc>
        <w:tc>
          <w:tcPr>
            <w:tcW w:w="41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 included in accounts payable at period-end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4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SARCOS TECHNOLOGY AND ROBOTICS CORPORATION</w:t>
      </w:r>
    </w:p>
    <w:p>
      <w:pPr>
        <w:pStyle w:val="TextBody"/>
        <w:bidi w:val="0"/>
        <w:jc w:val="center"/>
        <w:rPr>
          <w:rFonts w:ascii="Times New Roman" w:hAnsi="Times New Roman"/>
          <w:sz w:val="20"/>
        </w:rPr>
      </w:pPr>
      <w:bookmarkStart w:id="28" w:name="stockholders_equity"/>
      <w:bookmarkEnd w:id="28"/>
      <w:r>
        <w:rPr>
          <w:rFonts w:ascii="Times New Roman" w:hAnsi="Times New Roman"/>
          <w:b/>
          <w:color w:val="000000"/>
          <w:sz w:val="20"/>
        </w:rPr>
        <w:t>CONSOLIDATED S</w:t>
      </w:r>
      <w:bookmarkStart w:id="29" w:name="consolidated_statements_of_stockholders"/>
      <w:bookmarkEnd w:id="29"/>
      <w:r>
        <w:rPr>
          <w:rFonts w:ascii="Times New Roman" w:hAnsi="Times New Roman"/>
          <w:b/>
          <w:color w:val="000000"/>
          <w:sz w:val="20"/>
        </w:rPr>
        <w:t>TATEMENTS OF STOCKHOLDERS’ EQUITY</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781"/>
        <w:gridCol w:w="146"/>
        <w:gridCol w:w="916"/>
        <w:gridCol w:w="166"/>
        <w:gridCol w:w="271"/>
        <w:gridCol w:w="480"/>
        <w:gridCol w:w="146"/>
        <w:gridCol w:w="205"/>
        <w:gridCol w:w="726"/>
        <w:gridCol w:w="166"/>
        <w:gridCol w:w="585"/>
        <w:gridCol w:w="818"/>
        <w:gridCol w:w="166"/>
        <w:gridCol w:w="233"/>
        <w:gridCol w:w="893"/>
        <w:gridCol w:w="166"/>
        <w:gridCol w:w="232"/>
        <w:gridCol w:w="896"/>
        <w:gridCol w:w="213"/>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03"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8" w:type="dxa"/>
            <w:gridSpan w:val="2"/>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sz w:val="4"/>
                <w:szCs w:val="4"/>
              </w:rPr>
            </w:pPr>
            <w:r>
              <w:rPr>
                <w:sz w:val="4"/>
                <w:szCs w:val="4"/>
              </w:rPr>
            </w:r>
          </w:p>
        </w:tc>
        <w:tc>
          <w:tcPr>
            <w:tcW w:w="197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66" w:type="dxa"/>
            <w:tcBorders/>
            <w:shd w:fill="FFFFFF" w:val="clear"/>
            <w:vAlign w:val="center"/>
          </w:tcPr>
          <w:p>
            <w:pPr>
              <w:pStyle w:val="TableContents"/>
              <w:bidi w:val="0"/>
              <w:spacing w:before="0" w:after="283"/>
              <w:jc w:val="center"/>
              <w:rPr/>
            </w:pPr>
            <w:r>
              <w:rPr/>
              <w:t> </w:t>
            </w:r>
          </w:p>
        </w:tc>
        <w:tc>
          <w:tcPr>
            <w:tcW w:w="1403"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128"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shd w:fill="FFFFFF" w:val="clear"/>
            <w:vAlign w:val="center"/>
          </w:tcPr>
          <w:p>
            <w:pPr>
              <w:pStyle w:val="TableContents"/>
              <w:bidi w:val="0"/>
              <w:spacing w:before="0" w:after="283"/>
              <w:jc w:val="center"/>
              <w:rPr/>
            </w:pPr>
            <w:r>
              <w:rPr/>
              <w:t> </w:t>
            </w:r>
          </w:p>
        </w:tc>
      </w:tr>
      <w:tr>
        <w:trPr/>
        <w:tc>
          <w:tcPr>
            <w:tcW w:w="2781" w:type="dxa"/>
            <w:tcBorders/>
            <w:shd w:fill="FFFFFF" w:val="clear"/>
            <w:vAlign w:val="center"/>
          </w:tcPr>
          <w:p>
            <w:pPr>
              <w:pStyle w:val="TableContents"/>
              <w:bidi w:val="0"/>
              <w:spacing w:before="0" w:after="283"/>
              <w:jc w:val="left"/>
              <w:rPr>
                <w:sz w:val="4"/>
                <w:szCs w:val="4"/>
              </w:rPr>
            </w:pPr>
            <w:r>
              <w:rPr>
                <w:sz w:val="4"/>
                <w:szCs w:val="4"/>
              </w:rPr>
            </w:r>
          </w:p>
        </w:tc>
        <w:tc>
          <w:tcPr>
            <w:tcW w:w="197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66" w:type="dxa"/>
            <w:tcBorders/>
            <w:shd w:fill="FFFFFF" w:val="clear"/>
            <w:vAlign w:val="center"/>
          </w:tcPr>
          <w:p>
            <w:pPr>
              <w:pStyle w:val="TableContents"/>
              <w:bidi w:val="0"/>
              <w:spacing w:before="0" w:after="283"/>
              <w:jc w:val="center"/>
              <w:rPr/>
            </w:pPr>
            <w:r>
              <w:rPr/>
              <w:t> </w:t>
            </w:r>
          </w:p>
        </w:tc>
        <w:tc>
          <w:tcPr>
            <w:tcW w:w="1403"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128"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213" w:type="dxa"/>
            <w:tcBorders/>
            <w:shd w:fill="FFFFFF" w:val="clear"/>
            <w:vAlign w:val="center"/>
          </w:tcPr>
          <w:p>
            <w:pPr>
              <w:pStyle w:val="TableContents"/>
              <w:bidi w:val="0"/>
              <w:spacing w:before="0" w:after="283"/>
              <w:jc w:val="center"/>
              <w:rPr/>
            </w:pPr>
            <w:r>
              <w:rPr/>
              <w:t> </w:t>
            </w:r>
          </w:p>
        </w:tc>
      </w:tr>
      <w:tr>
        <w:trPr/>
        <w:tc>
          <w:tcPr>
            <w:tcW w:w="2781" w:type="dxa"/>
            <w:tcBorders/>
            <w:shd w:fill="FFFFFF" w:val="clear"/>
            <w:vAlign w:val="center"/>
          </w:tcPr>
          <w:p>
            <w:pPr>
              <w:pStyle w:val="TableContents"/>
              <w:bidi w:val="0"/>
              <w:spacing w:before="0" w:after="283"/>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December 31, 2021</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22,953,510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359,451</w:t>
            </w:r>
          </w:p>
        </w:tc>
        <w:tc>
          <w:tcPr>
            <w:tcW w:w="166"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(145,491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213,962</w:t>
            </w:r>
          </w:p>
        </w:tc>
        <w:tc>
          <w:tcPr>
            <w:tcW w:w="213"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35,645</w:t>
            </w:r>
          </w:p>
        </w:tc>
        <w:tc>
          <w:tcPr>
            <w:tcW w:w="166"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35,645</w:t>
            </w:r>
          </w:p>
        </w:tc>
        <w:tc>
          <w:tcPr>
            <w:tcW w:w="213"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upon vesting of restricted stock awards and restricted stock units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1,047,406</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repurchased for payment of tax withholdings and other</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(403,546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(8,103</w:t>
            </w:r>
          </w:p>
        </w:tc>
        <w:tc>
          <w:tcPr>
            <w:tcW w:w="2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315,703</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w:t>
            </w:r>
          </w:p>
        </w:tc>
        <w:tc>
          <w:tcPr>
            <w:tcW w:w="166"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w:t>
            </w:r>
          </w:p>
        </w:tc>
        <w:tc>
          <w:tcPr>
            <w:tcW w:w="213"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and assumed equity awards in connection with a business acquisition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1,795,446</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59,410</w:t>
            </w:r>
          </w:p>
        </w:tc>
        <w:tc>
          <w:tcPr>
            <w:tcW w:w="166"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59,410</w:t>
            </w:r>
          </w:p>
        </w:tc>
        <w:tc>
          <w:tcPr>
            <w:tcW w:w="213"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25,708,519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447,085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(302,621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144,450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12,043</w:t>
            </w:r>
          </w:p>
        </w:tc>
        <w:tc>
          <w:tcPr>
            <w:tcW w:w="166"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12,043</w:t>
            </w:r>
          </w:p>
        </w:tc>
        <w:tc>
          <w:tcPr>
            <w:tcW w:w="213"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upon vesting of restricted stock awards and restricted stock units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219,175</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213"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repurchased for payment of tax withholdings and other</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(49,829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213" w:type="dxa"/>
            <w:tcBorders/>
            <w:shd w:fill="CFF0FC"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(115,593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25,877,865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(418,214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40,905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SARCOS TECHNOLOGY AND ROBOTICS CORPORTATION</w:t>
      </w:r>
    </w:p>
    <w:p>
      <w:pPr>
        <w:pStyle w:val="TextBody"/>
        <w:bidi w:val="0"/>
        <w:jc w:val="center"/>
        <w:rPr>
          <w:rFonts w:ascii="Times New Roman" w:hAnsi="Times New Roman"/>
          <w:b/>
          <w:color w:val="000000"/>
          <w:sz w:val="20"/>
        </w:rPr>
      </w:pPr>
      <w:r>
        <w:rPr>
          <w:rFonts w:ascii="Times New Roman" w:hAnsi="Times New Roman"/>
          <w:b/>
          <w:color w:val="000000"/>
          <w:sz w:val="20"/>
        </w:rPr>
        <w:t>NOTES TO THE CONSOLIDATED FINANCIAL STATEMENTS</w:t>
      </w:r>
    </w:p>
    <w:p>
      <w:pPr>
        <w:pStyle w:val="TextBody"/>
        <w:bidi w:val="0"/>
        <w:spacing w:before="240" w:after="283"/>
        <w:jc w:val="left"/>
        <w:rPr>
          <w:rFonts w:ascii="Times New Roman" w:hAnsi="Times New Roman"/>
          <w:b/>
          <w:color w:val="000000"/>
          <w:sz w:val="20"/>
        </w:rPr>
      </w:pPr>
      <w:bookmarkStart w:id="30" w:name="note_1_basis_of_presentation"/>
      <w:bookmarkEnd w:id="30"/>
      <w:r>
        <w:rPr>
          <w:rFonts w:ascii="Times New Roman" w:hAnsi="Times New Roman"/>
          <w:b/>
          <w:color w:val="000000"/>
          <w:sz w:val="20"/>
        </w:rPr>
        <w:t>1. Basis of Presentation and Summary of Significant Accounting Policies</w:t>
      </w:r>
    </w:p>
    <w:p>
      <w:pPr>
        <w:pStyle w:val="TextBody"/>
        <w:bidi w:val="0"/>
        <w:jc w:val="left"/>
        <w:rPr>
          <w:color w:val="000000"/>
        </w:rPr>
      </w:pPr>
      <w:r>
        <w:rPr>
          <w:color w:val="000000"/>
        </w:rPr>
        <w:t>​</w:t>
      </w:r>
    </w:p>
    <w:p>
      <w:pPr>
        <w:pStyle w:val="TextBody"/>
        <w:bidi w:val="0"/>
        <w:jc w:val="left"/>
        <w:rPr>
          <w:rFonts w:ascii="Times New Roman" w:hAnsi="Times New Roman"/>
          <w:b/>
          <w:color w:val="000000"/>
          <w:sz w:val="20"/>
        </w:rPr>
      </w:pPr>
      <w:r>
        <w:rPr>
          <w:rFonts w:ascii="Times New Roman" w:hAnsi="Times New Roman"/>
          <w:b/>
          <w:color w:val="000000"/>
          <w:sz w:val="20"/>
        </w:rPr>
        <w:t>Description of the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Sarcos Technology and Robotics Corporation (the “Company” or “Sarcos”), is a pioneer in the robotic systems industry. The Company’s mission is to deliver software to its customers that enhances the utility and functionality of third-party stationary and mobile robotic systems by enabling these systems to quickly observe, learn, reason and act in structured and unstructured environments. The Company’s full-stack, closed-loop autonomy software platform (“AI/ML Software Platform”) is being designed with artificial intelligence (“AI”) and machine learning (“ML”) techniques to enable robotic systems to perceive their environment and quickly adapt to changing circumstances by generalizing (i.e., learning) from their past experience using dynamic real-time operations "on the edge" (i.e., on the robotic system) without extensive programming and with minimal robot training.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of Presentation and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consolidated financial statements have been prepared in accordance with U.S. generally accepted accounting principles (“GAAP”). The consolidated financial statements include the accounts of the Company and its wholly owned subsidiaries. All intercompany accounts and transactions have been eliminated in consolidation. Certain prior year amounts have been reclassified to conform to current year presentation. The Company’s fiscal year begins on January 1 and ends on December 31.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Business Combination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24, 2021 (the “Closing Date”), Rotor Acquisition Corp. (“Rotor”), a Delaware corporation, consummated the previously announced business combination (the “Business Combination”) pursuant to the terms of the Agreement and Plan of Merger, dated as of April 5, 2021 (the “Original Merger Agreement”),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to Sarcos Technology and Robotics 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25, 2022, the Company acquired RE2, Inc., (“RE2”) a Pittsburgh, PA based developer of autonomous and teleoperated mobile robotic systems. The results presented herein include the activity of RE2 from the acquisition date through December 31, 2023. The Company's results do not include RE2’s financial information prior to the acquisition. For further detail see Note 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Reverse Stock Split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5, 2023, the Company effected a 1-for-6 reverse stock split (“Reverse Stock Split”) of the Company's outstanding shares of common stock, as approved by the Company's stockholders at the Company’s Annual Meeting of Stockholders held on June 14, 2023. All share and per share amounts of common stock, options, warrants, restricted stock and restricted stock units in the accompanying condensed consolidated financial statements and notes thereto have been retroactively adjusted for all periods presented to reflect the reverse stock split.</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Asset Write-Down and Restructuring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12, 2023, the Company announced that it had refined its sales strategy to focus on products that have the most potential for near-term revenue growth and strategic opportunities. At the time, these products included our Guardian Sea Class system, certain aviation (baggage handling and exterior aircraft maintenance), solar (solar field panel installation) solutions, and our commercial AI/ML Software Platform. In connection with the restructuring effort announced in July, during the twelve months ended December 31, 2023, the Company incurred total charges of $10.6 million, which includes a write-down of inventory of $4.4 million, a $0.7 million write-down for certain assets as a result our product development reprioritization, $1.1 million in severance and benefit payments, and $4.4 million due to the acceleration of stock-based compensation expense resulting from the early termination of the Company's redemption right over certain shares held by the Company's former Chief Operating Officer in connection with the termination of his employment.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14, 2023, the Company announced its decision to suspend for the foreseeable future commercialization efforts on its hardware programs and focus on the development of its commercial AI/ML Software Platform. The Company will continue some de minimis hardware system research and development efforts on a substantially reduced scale, in part to support its software platform development efforts. As a result of the Company's refined strategy it is optimizing its organization in pursuit of this product opportunity and will reduce costs, including reducing headcount and shifting all operations to its Salt Lake City, Utah location and will shut down its facilities in Pittsburgh, Pennsylvania. In connection with the restructuring efforts announced in November 2023, the Company incurred charges of $27.3 million during the twelve months ended December 31, 2023, which includes a write-down of inventory of $6.9 million, a $16.9 million charge for the accelerated amortization of intangible assets and write-off of certain other assets as a result our product development reprioritization, $1.2 million of accelerated depreciation related to the shutting down our facilities in Pittsburgh, Pennsylvania, $0.5 million for contract restructuring accruals, and $1.8 million in severance and benefit payments.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certain estimates and assumptions. These estimates and assumptions affect the reported amounts of assets and liabilities and disclosure of contingent assets and liabilities as of the balance sheet date, as well as reported amounts of revenue and expenses during the reporting period. The Company’s most significant estimates and judgments involve contract revenue recognized based on estimates of total contract costs and cost to complete uncompleted contracts, estimates of potential losses on uncompleted contracts, impairment evaluation of contract assets, long lived assets, assumptions used for leases, valuation allowance for net deferred income taxes and valuation of the Company’s stock-based compensation and warrants. Management bases its estimates on historical experience and on various other assumptions believed to be reasonable, the results of which form the basis for making judgments about the carrying values of assets and liabilities. Actual results could differ from those estimates.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Cash, cash equivalents and marketable securities were $39.1 million as of December 31, 2023, compared to $114.5 million as of December 31, 2022. The Company has historically incurred losses and negative cash flows from operations. As of December 31, 2023, the Company also had an accumulated deficit of approximately $418.2 million and working capital of $36.6 million. </w:t>
      </w:r>
    </w:p>
    <w:p>
      <w:pPr>
        <w:pStyle w:val="TextBody"/>
        <w:bidi w:val="0"/>
        <w:jc w:val="both"/>
        <w:rPr>
          <w:rFonts w:ascii="Times New Roman" w:hAnsi="Times New Roman"/>
          <w:color w:val="000000"/>
          <w:sz w:val="20"/>
        </w:rPr>
      </w:pPr>
      <w:r>
        <w:rPr>
          <w:rFonts w:ascii="Times New Roman" w:hAnsi="Times New Roman"/>
          <w:color w:val="000000"/>
          <w:sz w:val="20"/>
        </w:rPr>
        <w:t xml:space="preserve">These financial statements have been prepared in accordance with GAAP and this basis assumes the Company will continue as a going concern, which contemplates the realization of assets and the satisfaction of liabilities and commitments in the normal course of business. The Company’s main sources of liquidity have been cash generated by equity offerings. The Company’s primary use of cash is for operations and administrative activities including employee-related expenses, and general, operating and overhead expenses. Future capital requirements will depend on many factors, including the Company’s timing and extent of development efforts, the expansion of sales and marketing activities, customer growth rate, customer retention, the introduction of new and enhanced product offerings and market acceptance of the Company’s products. The Company believes it has sufficient financial resources for at least the next 12 months from the date of this Report.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Concentration of Credit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instruments that potentially subject the Company to concentrations of credit risk consist of cash, cash equivalents, marketable securities, accounts receivable and unbilled receivables. The Company’s cash is placed with high-credit-quality financial institutions and issuers, and generally exceeds federally insured limits. The Company's cash equivalents and marketable securities are money market funds or U.S. Treasury bills with maturity dates within one year. The Company has not realized any losses relating to its cash, cash equivalents or marketable securities.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Accounts receivable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three of our customers accounted for more than 10% of the Company’s accounts receivable, which in total represented 90% of the accounts receivable as of December 31, 2023. As of December 31, 2022, three of our customers accounted for more than 10% of the Company’s accounts receivable, which in total represented 81% of the accounts receivable as of December 31, 2022.</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Five and three customers accounted for more than 10% of the Company’s revenue for each of the years ended December 31, 2023 and 2022, respectively. These concentrations accounted for 85% and 74% of revenue for the years ended December 31, 2023 and 2022, respectively. The total amount of revenue for each such customer was as follows:</w:t>
      </w:r>
    </w:p>
    <w:tbl>
      <w:tblPr>
        <w:tblW w:w="3319" w:type="dxa"/>
        <w:jc w:val="left"/>
        <w:tblInd w:w="0" w:type="dxa"/>
        <w:tblLayout w:type="fixed"/>
        <w:tblCellMar>
          <w:top w:w="28" w:type="dxa"/>
          <w:left w:w="28" w:type="dxa"/>
          <w:bottom w:w="28" w:type="dxa"/>
          <w:right w:w="28" w:type="dxa"/>
        </w:tblCellMar>
      </w:tblPr>
      <w:tblGrid>
        <w:gridCol w:w="1276"/>
        <w:gridCol w:w="146"/>
        <w:gridCol w:w="196"/>
        <w:gridCol w:w="511"/>
        <w:gridCol w:w="146"/>
        <w:gridCol w:w="146"/>
        <w:gridCol w:w="196"/>
        <w:gridCol w:w="511"/>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A</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1,884</w:t>
            </w:r>
          </w:p>
        </w:tc>
        <w:tc>
          <w:tcPr>
            <w:tcW w:w="191" w:type="dxa"/>
            <w:tcBorders/>
            <w:shd w:fill="CFF0FC" w:val="clear"/>
            <w:vAlign w:val="center"/>
          </w:tcPr>
          <w:p>
            <w:pPr>
              <w:pStyle w:val="TableContents"/>
              <w:bidi w:val="0"/>
              <w:spacing w:before="0" w:after="283"/>
              <w:jc w:val="left"/>
              <w:rPr/>
            </w:pPr>
            <w:r>
              <w:rPr/>
              <w:t> </w:t>
            </w:r>
          </w:p>
        </w:tc>
      </w:tr>
      <w:tr>
        <w:trPr/>
        <w:tc>
          <w:tcPr>
            <w:tcW w:w="12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B</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2,848</w:t>
            </w:r>
          </w:p>
        </w:tc>
        <w:tc>
          <w:tcPr>
            <w:tcW w:w="191" w:type="dxa"/>
            <w:tcBorders/>
            <w:shd w:fill="FFFFFF" w:val="clear"/>
            <w:vAlign w:val="center"/>
          </w:tcPr>
          <w:p>
            <w:pPr>
              <w:pStyle w:val="TableContents"/>
              <w:bidi w:val="0"/>
              <w:spacing w:before="0" w:after="283"/>
              <w:jc w:val="left"/>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C</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CFF0FC" w:val="clear"/>
            <w:vAlign w:val="center"/>
          </w:tcPr>
          <w:p>
            <w:pPr>
              <w:pStyle w:val="TableContents"/>
              <w:bidi w:val="0"/>
              <w:spacing w:before="0" w:after="283"/>
              <w:jc w:val="right"/>
              <w:rPr/>
            </w:pPr>
            <w:r>
              <w:rPr/>
              <w:t> </w:t>
            </w:r>
          </w:p>
        </w:tc>
      </w:tr>
      <w:tr>
        <w:trPr/>
        <w:tc>
          <w:tcPr>
            <w:tcW w:w="12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5,988</w:t>
            </w:r>
          </w:p>
        </w:tc>
        <w:tc>
          <w:tcPr>
            <w:tcW w:w="191" w:type="dxa"/>
            <w:tcBorders/>
            <w:shd w:fill="FFFFFF" w:val="clear"/>
            <w:vAlign w:val="center"/>
          </w:tcPr>
          <w:p>
            <w:pPr>
              <w:pStyle w:val="TableContents"/>
              <w:bidi w:val="0"/>
              <w:spacing w:before="0" w:after="283"/>
              <w:jc w:val="left"/>
              <w:rPr/>
            </w:pPr>
            <w:r>
              <w:rPr/>
              <w:t> </w:t>
            </w:r>
          </w:p>
        </w:tc>
      </w:tr>
      <w:tr>
        <w:trPr/>
        <w:tc>
          <w:tcPr>
            <w:tcW w:w="12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shd w:fill="CFF0FC" w:val="cle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The customer’s related revenue was less than 10% of the Company’s revenue for the respective year.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considers cash as deposits held in bank accounts and undeposited funds. All highly liquid investments with an original maturity of three months or less at the time of purchase are considered to be cash equivalents. The Company’s cash equivalents may be comprised of money market funds, certificates of deposit of major financial institutions and U.S. Treasury bills.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Accounts Receivable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Receivables are recorded at the amount the Company expects to collect. Management determines the need for an allowance for credit losses using a specific identification method after taking into account all of its remedies for collection. Management determined no allowance for credit losses was necessary as of December 31, 2023 and 2022. Receivables are comprised of amounts invoiced for completed contracts and contracts in progress.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Inventories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Inventories primarily consist of raw materials, work-in-process and finished goods. Inventories are stated at the lower of cost or estimated net realizable value. Costs are computed on the first-in, first-out basis and include material, labor and manufacturing overhead. Adjustments are also made to reduce the cost of inventory for estimated excess or obsolete balance by evaluating inventory against forecasted revenue and production requirements.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and equipment is carried at acquisition cost less accumulated depreciation. Depreciation is computed using the straight-line method based on the estimated useful lives of the related assets. The estimated useful lives by asset classification are generally as follows:</w:t>
      </w:r>
    </w:p>
    <w:tbl>
      <w:tblPr>
        <w:tblW w:w="5308" w:type="dxa"/>
        <w:jc w:val="left"/>
        <w:tblInd w:w="0" w:type="dxa"/>
        <w:tblLayout w:type="fixed"/>
        <w:tblCellMar>
          <w:top w:w="28" w:type="dxa"/>
          <w:left w:w="28" w:type="dxa"/>
          <w:bottom w:w="28" w:type="dxa"/>
          <w:right w:w="28" w:type="dxa"/>
        </w:tblCellMar>
      </w:tblPr>
      <w:tblGrid>
        <w:gridCol w:w="2896"/>
        <w:gridCol w:w="146"/>
        <w:gridCol w:w="2266"/>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Useful life</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Robotics and manufacturing equipment</w:t>
            </w:r>
          </w:p>
        </w:tc>
        <w:tc>
          <w:tcPr>
            <w:tcW w:w="146" w:type="dxa"/>
            <w:tcBorders/>
            <w:shd w:fill="CFF0FC" w:val="clear"/>
            <w:vAlign w:val="center"/>
          </w:tcPr>
          <w:p>
            <w:pPr>
              <w:pStyle w:val="TableContents"/>
              <w:bidi w:val="0"/>
              <w:spacing w:before="0" w:after="283"/>
              <w:jc w:val="left"/>
              <w:rPr/>
            </w:pPr>
            <w:r>
              <w:rPr/>
              <w:t> </w:t>
            </w:r>
          </w:p>
        </w:tc>
        <w:tc>
          <w:tcPr>
            <w:tcW w:w="226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3</w:t>
            </w:r>
            <w:r>
              <w:rPr>
                <w:rFonts w:ascii="Times New Roman" w:hAnsi="Times New Roman"/>
                <w:color w:val="000000"/>
                <w:sz w:val="20"/>
              </w:rPr>
              <w:t xml:space="preserve"> – </w:t>
            </w:r>
            <w:r>
              <w:rPr>
                <w:rFonts w:ascii="Times New Roman" w:hAnsi="Times New Roman"/>
                <w:color w:val="000000"/>
                <w:sz w:val="18"/>
              </w:rPr>
              <w:t>10 years</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Computer equipment</w:t>
            </w:r>
          </w:p>
        </w:tc>
        <w:tc>
          <w:tcPr>
            <w:tcW w:w="146" w:type="dxa"/>
            <w:tcBorders/>
            <w:shd w:fill="FFFFFF" w:val="clear"/>
            <w:vAlign w:val="center"/>
          </w:tcPr>
          <w:p>
            <w:pPr>
              <w:pStyle w:val="TableContents"/>
              <w:bidi w:val="0"/>
              <w:spacing w:before="0" w:after="283"/>
              <w:jc w:val="left"/>
              <w:rPr/>
            </w:pPr>
            <w:r>
              <w:rPr/>
              <w:t> </w:t>
            </w:r>
          </w:p>
        </w:tc>
        <w:tc>
          <w:tcPr>
            <w:tcW w:w="226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3</w:t>
            </w:r>
            <w:r>
              <w:rPr>
                <w:rFonts w:ascii="Times New Roman" w:hAnsi="Times New Roman"/>
                <w:color w:val="000000"/>
                <w:sz w:val="20"/>
              </w:rPr>
              <w:t xml:space="preserve"> – </w:t>
            </w:r>
            <w:r>
              <w:rPr>
                <w:rFonts w:ascii="Times New Roman" w:hAnsi="Times New Roman"/>
                <w:color w:val="000000"/>
                <w:sz w:val="18"/>
              </w:rPr>
              <w:t>5 years</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Software</w:t>
            </w:r>
          </w:p>
        </w:tc>
        <w:tc>
          <w:tcPr>
            <w:tcW w:w="146" w:type="dxa"/>
            <w:tcBorders/>
            <w:shd w:fill="CFF0FC" w:val="clear"/>
            <w:vAlign w:val="center"/>
          </w:tcPr>
          <w:p>
            <w:pPr>
              <w:pStyle w:val="TableContents"/>
              <w:bidi w:val="0"/>
              <w:spacing w:before="0" w:after="283"/>
              <w:jc w:val="left"/>
              <w:rPr/>
            </w:pPr>
            <w:r>
              <w:rPr/>
              <w:t> </w:t>
            </w:r>
          </w:p>
        </w:tc>
        <w:tc>
          <w:tcPr>
            <w:tcW w:w="226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 years</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Furniture and fixtures</w:t>
            </w:r>
          </w:p>
        </w:tc>
        <w:tc>
          <w:tcPr>
            <w:tcW w:w="146" w:type="dxa"/>
            <w:tcBorders/>
            <w:shd w:fill="FFFFFF" w:val="clear"/>
            <w:vAlign w:val="center"/>
          </w:tcPr>
          <w:p>
            <w:pPr>
              <w:pStyle w:val="TableContents"/>
              <w:bidi w:val="0"/>
              <w:spacing w:before="0" w:after="283"/>
              <w:jc w:val="left"/>
              <w:rPr/>
            </w:pPr>
            <w:r>
              <w:rPr/>
              <w:t> </w:t>
            </w:r>
          </w:p>
        </w:tc>
        <w:tc>
          <w:tcPr>
            <w:tcW w:w="226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3</w:t>
            </w:r>
            <w:r>
              <w:rPr>
                <w:rFonts w:ascii="Times New Roman" w:hAnsi="Times New Roman"/>
                <w:color w:val="000000"/>
                <w:sz w:val="20"/>
              </w:rPr>
              <w:t xml:space="preserve"> – </w:t>
            </w:r>
            <w:r>
              <w:rPr>
                <w:rFonts w:ascii="Times New Roman" w:hAnsi="Times New Roman"/>
                <w:color w:val="000000"/>
                <w:sz w:val="18"/>
              </w:rPr>
              <w:t>5 years</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46" w:type="dxa"/>
            <w:tcBorders/>
            <w:shd w:fill="CFF0FC" w:val="clear"/>
            <w:vAlign w:val="center"/>
          </w:tcPr>
          <w:p>
            <w:pPr>
              <w:pStyle w:val="TableContents"/>
              <w:bidi w:val="0"/>
              <w:spacing w:before="0" w:after="283"/>
              <w:jc w:val="left"/>
              <w:rPr/>
            </w:pPr>
            <w:r>
              <w:rPr/>
              <w:t> </w:t>
            </w:r>
          </w:p>
        </w:tc>
        <w:tc>
          <w:tcPr>
            <w:tcW w:w="226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Lesser of the useful life or the</w:t>
              <w:br/>
              <w:t>remaining term of the lease</w:t>
            </w:r>
          </w:p>
        </w:tc>
      </w:tr>
    </w:tbl>
    <w:p>
      <w:pPr>
        <w:pStyle w:val="TextBody"/>
        <w:bidi w:val="0"/>
        <w:jc w:val="both"/>
        <w:rPr>
          <w:rFonts w:ascii="Times New Roman" w:hAnsi="Times New Roman"/>
          <w:color w:val="000000"/>
          <w:sz w:val="20"/>
        </w:rPr>
      </w:pPr>
      <w:r>
        <w:rPr>
          <w:rFonts w:ascii="Times New Roman" w:hAnsi="Times New Roman"/>
          <w:color w:val="000000"/>
          <w:sz w:val="20"/>
        </w:rPr>
        <w:t>Expenditures for maintenance and repairs are expensed when incurred and betterments that extend the useful lives of property and equipment are capitalized. When assets are retired or disposed, the asset’s original cost and related accumulated depreciation are eliminated, and any gain or loss is reflected in the statement of operations.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Leases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accordance with ASC 842, 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term of a lease. Renewal options are not included in the measurement of the right of use assets and lease liabilities unless the Company is reasonably certain to exercise the optional renewal periods.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Some of the Company's leases contain rent escalations over the lease term. The Company recognizes expense for operating leases on a straight-line basis over the lease term. The Company’s lease agreements contain variable lease payments for common area maintenance, utility, insurance, and tax. The Company has elected the practical expedient to combine lease and non-lease components for all asset categories. Therefore, the lease payments used to measure the lease liability for these leases include fixed minimum rentals along with fixed non-lease component charges. The Company does not have significant residual value guarantees or restrictive covenants in the lease portfolio.</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evaluates its long-lived asset for indicators of possible impairment when events or changes in circumstances indicate the carrying amount of an asset may not be recoverable. Impairment exists if the carrying amounts of such assets exceed the estimates of future net undiscounted cash flows expected to be generated by such assets.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Goodwill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Goodwill is initially recorded when the purchase price paid for a business acquisition exceeds the estimated fair value of the net identified tangible and intangible assets acquired. The Company evaluates goodwill at the reporting unit level for impairment annually, or when an indicator of potential impairment exists. The Company has one reporting unit.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recognizes revenue from the sale of its products and from the delivery of goods and services arising out of its contractual arrangements to provide product development contract services that are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(1)</w:t>
      </w:r>
    </w:p>
    <w:p>
      <w:pPr>
        <w:pStyle w:val="TextBody"/>
        <w:bidi w:val="0"/>
        <w:jc w:val="both"/>
        <w:rPr>
          <w:rFonts w:ascii="Times New Roman" w:hAnsi="Times New Roman"/>
          <w:sz w:val="24"/>
        </w:rPr>
      </w:pPr>
      <w:r>
        <w:rPr>
          <w:rFonts w:ascii="Times New Roman" w:hAnsi="Times New Roman"/>
          <w:i/>
          <w:color w:val="000000"/>
          <w:sz w:val="20"/>
        </w:rPr>
        <w:t>Identify the contract with a customer:</w:t>
      </w:r>
      <w:r>
        <w:rPr>
          <w:rFonts w:ascii="Times New Roman" w:hAnsi="Times New Roman"/>
          <w:color w:val="000000"/>
          <w:sz w:val="24"/>
        </w:rPr>
        <w:t xml:space="preserve"> </w:t>
      </w:r>
      <w:r>
        <w:rPr>
          <w:rFonts w:ascii="Times New Roman" w:hAnsi="Times New Roman"/>
          <w:color w:val="000000"/>
          <w:sz w:val="20"/>
        </w:rPr>
        <w:t>A contract with a customer exists when (i) the Company enters into an enforceable contract with a customer that defines each party’s rights and obligations regarding the products and services to be transferred and identifies the payment terms related to these products and services, (ii) the contract has commercial substance and (iii)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pStyle w:val="TextBody"/>
        <w:bidi w:val="0"/>
        <w:jc w:val="both"/>
        <w:rPr/>
      </w:pPr>
      <w:r>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(2)</w:t>
      </w:r>
    </w:p>
    <w:p>
      <w:pPr>
        <w:pStyle w:val="TextBody"/>
        <w:bidi w:val="0"/>
        <w:jc w:val="both"/>
        <w:rPr>
          <w:rFonts w:ascii="Times New Roman" w:hAnsi="Times New Roman"/>
          <w:sz w:val="24"/>
        </w:rPr>
      </w:pPr>
      <w:r>
        <w:rPr>
          <w:rFonts w:ascii="Times New Roman" w:hAnsi="Times New Roman"/>
          <w:i/>
          <w:color w:val="000000"/>
          <w:sz w:val="20"/>
        </w:rPr>
        <w:t>Identify the performance obligations in the contract:</w:t>
      </w:r>
      <w:r>
        <w:rPr>
          <w:rFonts w:ascii="Times New Roman" w:hAnsi="Times New Roman"/>
          <w:color w:val="000000"/>
          <w:sz w:val="24"/>
        </w:rPr>
        <w:t xml:space="preserve"> </w:t>
      </w:r>
      <w:r>
        <w:rPr>
          <w:rFonts w:ascii="Times New Roman" w:hAnsi="Times New Roman"/>
          <w:color w:val="000000"/>
          <w:sz w:val="20"/>
        </w:rPr>
        <w:t>The Company enters into contracts that can include combinations of products and 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pStyle w:val="TextBody"/>
        <w:bidi w:val="0"/>
        <w:jc w:val="both"/>
        <w:rPr/>
      </w:pPr>
      <w:r>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(3)</w:t>
      </w:r>
    </w:p>
    <w:p>
      <w:pPr>
        <w:pStyle w:val="TextBody"/>
        <w:bidi w:val="0"/>
        <w:jc w:val="both"/>
        <w:rPr>
          <w:rFonts w:ascii="Times New Roman" w:hAnsi="Times New Roman"/>
          <w:sz w:val="24"/>
        </w:rPr>
      </w:pPr>
      <w:r>
        <w:rPr>
          <w:rFonts w:ascii="Times New Roman" w:hAnsi="Times New Roman"/>
          <w:i/>
          <w:color w:val="000000"/>
          <w:sz w:val="20"/>
        </w:rPr>
        <w:t>Determine the transaction price:</w:t>
      </w:r>
      <w:r>
        <w:rPr>
          <w:rFonts w:ascii="Times New Roman" w:hAnsi="Times New Roman"/>
          <w:color w:val="000000"/>
          <w:sz w:val="24"/>
        </w:rPr>
        <w:t xml:space="preserve"> </w:t>
      </w:r>
      <w:r>
        <w:rPr>
          <w:rFonts w:ascii="Times New Roman" w:hAnsi="Times New Roman"/>
          <w:color w:val="000000"/>
          <w:sz w:val="20"/>
        </w:rPr>
        <w:t xml:space="preserve">The transaction price is determined based on the consideration to which the Company will be entitled in 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 </w:t>
      </w:r>
    </w:p>
    <w:p>
      <w:pPr>
        <w:pStyle w:val="TextBody"/>
        <w:bidi w:val="0"/>
        <w:jc w:val="both"/>
        <w:rPr/>
      </w:pPr>
      <w:r>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(4)</w:t>
      </w:r>
    </w:p>
    <w:p>
      <w:pPr>
        <w:pStyle w:val="TextBody"/>
        <w:bidi w:val="0"/>
        <w:jc w:val="both"/>
        <w:rPr>
          <w:rFonts w:ascii="Times New Roman" w:hAnsi="Times New Roman"/>
          <w:sz w:val="24"/>
        </w:rPr>
      </w:pPr>
      <w:r>
        <w:rPr>
          <w:rFonts w:ascii="Times New Roman" w:hAnsi="Times New Roman"/>
          <w:i/>
          <w:color w:val="000000"/>
          <w:sz w:val="20"/>
        </w:rPr>
        <w:t>Allocate the transaction price to performance obligations in the contract:</w:t>
      </w:r>
      <w:r>
        <w:rPr>
          <w:rFonts w:ascii="Times New Roman" w:hAnsi="Times New Roman"/>
          <w:color w:val="000000"/>
          <w:sz w:val="24"/>
        </w:rPr>
        <w:t xml:space="preserve"> </w:t>
      </w:r>
      <w:r>
        <w:rPr>
          <w:rFonts w:ascii="Times New Roman" w:hAnsi="Times New Roman"/>
          <w:color w:val="000000"/>
          <w:sz w:val="20"/>
        </w:rPr>
        <w:t xml:space="preserve">Once the Company has determined the transaction price, the total transaction price is allocated to each performance obligation in a manner depicting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generally based on expected cost plus a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pStyle w:val="TextBody"/>
        <w:bidi w:val="0"/>
        <w:jc w:val="both"/>
        <w:rPr/>
      </w:pPr>
      <w:r>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(5)</w:t>
      </w:r>
    </w:p>
    <w:p>
      <w:pPr>
        <w:pStyle w:val="TextBody"/>
        <w:bidi w:val="0"/>
        <w:jc w:val="both"/>
        <w:rPr>
          <w:rFonts w:ascii="Times New Roman" w:hAnsi="Times New Roman"/>
          <w:sz w:val="24"/>
        </w:rPr>
      </w:pPr>
      <w:r>
        <w:rPr>
          <w:rFonts w:ascii="Times New Roman" w:hAnsi="Times New Roman"/>
          <w:i/>
          <w:color w:val="000000"/>
          <w:sz w:val="20"/>
        </w:rPr>
        <w:t>Recognize revenue when or as the Company satisfies a performance obligation</w:t>
      </w:r>
      <w:r>
        <w:rPr>
          <w:rFonts w:ascii="Times New Roman" w:hAnsi="Times New Roman"/>
          <w:color w:val="000000"/>
          <w:sz w:val="20"/>
        </w:rPr>
        <w:t>: For each performance obligation identified, the Company determines at contract inception whether it satisfies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Revenue from Contracts with Customers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derives its revenue from two sources. First, the Company enters into research and development agreements primarily relating to the commercialization of the Company’s products. Second, the Company sells its products and related parts and repair services. Product development contract revenue includes revenue arising from different types of contractual arrangements, including cost-type contracts and fixed-price contracts. Product revenue primarily consists of sales of the Company’s products.</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Product Development Contract Revenue</w:t>
      </w:r>
    </w:p>
    <w:p>
      <w:pPr>
        <w:pStyle w:val="TextBody"/>
        <w:bidi w:val="0"/>
        <w:jc w:val="both"/>
        <w:rPr>
          <w:rFonts w:ascii="Times New Roman" w:hAnsi="Times New Roman"/>
          <w:sz w:val="20"/>
        </w:rPr>
      </w:pPr>
      <w:r>
        <w:rPr>
          <w:rFonts w:ascii="Times New Roman" w:hAnsi="Times New Roman"/>
          <w:i/>
          <w:color w:val="000000"/>
          <w:sz w:val="20"/>
        </w:rPr>
        <w:t>Cost-type contracts</w:t>
      </w:r>
      <w:r>
        <w:rPr>
          <w:rFonts w:ascii="Times New Roman" w:hAnsi="Times New Roman"/>
          <w:color w:val="000000"/>
          <w:sz w:val="20"/>
        </w:rPr>
        <w:t xml:space="preserve"> – Research, development and/or testing service contracts, including cost-plus-fixed-fee and time and material contracts, relate primarily to the development of the Company's products and related technology.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pStyle w:val="TextBody"/>
        <w:bidi w:val="0"/>
        <w:jc w:val="both"/>
        <w:rPr>
          <w:rFonts w:ascii="Times New Roman" w:hAnsi="Times New Roman"/>
          <w:sz w:val="20"/>
        </w:rPr>
      </w:pPr>
      <w:r>
        <w:rPr>
          <w:rFonts w:ascii="Times New Roman" w:hAnsi="Times New Roman"/>
          <w:i/>
          <w:color w:val="000000"/>
          <w:sz w:val="20"/>
        </w:rPr>
        <w:t>Fixed-price contracts</w:t>
      </w:r>
      <w:r>
        <w:rPr>
          <w:rFonts w:ascii="Times New Roman" w:hAnsi="Times New Roman"/>
          <w:color w:val="000000"/>
          <w:sz w:val="20"/>
        </w:rPr>
        <w:t xml:space="preserve"> – Fixed-price development contracts relate primarily to the development of technology in the area of robotic platforms. Fixed-price 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Product Revenue</w:t>
      </w:r>
    </w:p>
    <w:p>
      <w:pPr>
        <w:pStyle w:val="TextBody"/>
        <w:bidi w:val="0"/>
        <w:jc w:val="both"/>
        <w:rPr>
          <w:rFonts w:ascii="Times New Roman" w:hAnsi="Times New Roman"/>
          <w:color w:val="000000"/>
          <w:sz w:val="20"/>
        </w:rPr>
      </w:pPr>
      <w:r>
        <w:rPr>
          <w:rFonts w:ascii="Times New Roman" w:hAnsi="Times New Roman"/>
          <w:color w:val="000000"/>
          <w:sz w:val="20"/>
        </w:rPr>
        <w:t>Product revenue relates to sales of the Company’s commercially available products, and certain miscellaneous parts, accessories and repair services. The Company provides a limited one-year warranty on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revenue recognized for Product Development Contract Revenue and Product Revenue were as follows:</w:t>
      </w:r>
    </w:p>
    <w:tbl>
      <w:tblPr>
        <w:tblW w:w="6131" w:type="dxa"/>
        <w:jc w:val="left"/>
        <w:tblInd w:w="0" w:type="dxa"/>
        <w:tblLayout w:type="fixed"/>
        <w:tblCellMar>
          <w:top w:w="28" w:type="dxa"/>
          <w:left w:w="28" w:type="dxa"/>
          <w:bottom w:w="28" w:type="dxa"/>
          <w:right w:w="28" w:type="dxa"/>
        </w:tblCellMar>
      </w:tblPr>
      <w:tblGrid>
        <w:gridCol w:w="2971"/>
        <w:gridCol w:w="146"/>
        <w:gridCol w:w="286"/>
        <w:gridCol w:w="747"/>
        <w:gridCol w:w="213"/>
        <w:gridCol w:w="213"/>
        <w:gridCol w:w="286"/>
        <w:gridCol w:w="878"/>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lef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Development Contract Revenue</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5,256</w:t>
            </w:r>
          </w:p>
        </w:tc>
        <w:tc>
          <w:tcPr>
            <w:tcW w:w="213"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14,239</w:t>
            </w:r>
          </w:p>
        </w:tc>
        <w:tc>
          <w:tcPr>
            <w:tcW w:w="3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Revenue</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Revenue, net</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i/>
          <w:color w:val="000000"/>
          <w:sz w:val="20"/>
        </w:rPr>
      </w:pPr>
      <w:r>
        <w:rPr>
          <w:rFonts w:ascii="Times New Roman" w:hAnsi="Times New Roman"/>
          <w:b/>
          <w:i/>
          <w:color w:val="000000"/>
          <w:sz w:val="20"/>
        </w:rPr>
        <w:t>Contract Balances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timing of revenue recognition, billing, and cash collection results in the recognition of accounts receivable, unbilled receivables, contract assets, and deferred revenue in the Company’s consolidated balance sheets.</w:t>
      </w:r>
    </w:p>
    <w:p>
      <w:pPr>
        <w:pStyle w:val="TextBody"/>
        <w:bidi w:val="0"/>
        <w:jc w:val="both"/>
        <w:rPr>
          <w:rFonts w:ascii="Times New Roman" w:hAnsi="Times New Roman"/>
          <w:color w:val="000000"/>
          <w:sz w:val="20"/>
        </w:rPr>
      </w:pPr>
      <w:r>
        <w:rPr>
          <w:rFonts w:ascii="Times New Roman" w:hAnsi="Times New Roman"/>
          <w:color w:val="000000"/>
          <w:sz w:val="20"/>
        </w:rPr>
        <w:t xml:space="preserve">Cash funds received in excess of revenue recognized that is contingent upon the satisfaction of performance obligations is accounted for as deferred revenue.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Contract assets include unbilled receivables which are amounts resulting from timing differences between revenue recognition and billing in accordance with agreed-upon contractual terms, which typically occur subsequent to revenue being recognized.</w:t>
      </w:r>
    </w:p>
    <w:p>
      <w:pPr>
        <w:pStyle w:val="TextBody"/>
        <w:bidi w:val="0"/>
        <w:jc w:val="both"/>
        <w:rPr>
          <w:rFonts w:ascii="Times New Roman" w:hAnsi="Times New Roman"/>
          <w:color w:val="000000"/>
          <w:sz w:val="20"/>
        </w:rPr>
      </w:pPr>
      <w:r>
        <w:rPr>
          <w:rFonts w:ascii="Times New Roman" w:hAnsi="Times New Roman"/>
          <w:color w:val="000000"/>
          <w:sz w:val="20"/>
        </w:rPr>
        <w:t>The opening and closing balances of our accounts receivable, unbilled receivables, contract assets and deferred revenue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5"/>
        <w:gridCol w:w="146"/>
        <w:gridCol w:w="346"/>
        <w:gridCol w:w="1016"/>
        <w:gridCol w:w="166"/>
        <w:gridCol w:w="146"/>
        <w:gridCol w:w="336"/>
        <w:gridCol w:w="986"/>
        <w:gridCol w:w="166"/>
        <w:gridCol w:w="146"/>
        <w:gridCol w:w="405"/>
        <w:gridCol w:w="718"/>
        <w:gridCol w:w="166"/>
        <w:gridCol w:w="146"/>
        <w:gridCol w:w="420"/>
        <w:gridCol w:w="743"/>
        <w:gridCol w:w="166"/>
        <w:gridCol w:w="146"/>
        <w:gridCol w:w="436"/>
        <w:gridCol w:w="772"/>
        <w:gridCol w:w="218"/>
      </w:tblGrid>
      <w:tr>
        <w:trPr/>
        <w:tc>
          <w:tcPr>
            <w:tcW w:w="2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415"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Accounts receivable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Unbilled receivable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Contract assets</w:t>
              <w:br/>
              <w:t>(current)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Contract assets</w:t>
              <w:br/>
              <w:t>(long-term)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Deferred revenue</w:t>
              <w:br/>
              <w:t>(current)</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Opening Balance as of December 31, 2021</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18" w:type="dxa"/>
            <w:tcBorders/>
            <w:shd w:fill="CFF0FC" w:val="clear"/>
            <w:vAlign w:val="center"/>
          </w:tcPr>
          <w:p>
            <w:pPr>
              <w:pStyle w:val="TableContents"/>
              <w:bidi w:val="0"/>
              <w:spacing w:before="0" w:after="283"/>
              <w:jc w:val="left"/>
              <w:rPr/>
            </w:pPr>
            <w:r>
              <w:rPr/>
              <w:t> </w:t>
            </w:r>
          </w:p>
        </w:tc>
      </w:tr>
      <w:tr>
        <w:trPr/>
        <w:tc>
          <w:tcPr>
            <w:tcW w:w="24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Increase/(decrease), net</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as of December 31, 2022</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shd w:fill="CFF0FC" w:val="clear"/>
            <w:vAlign w:val="center"/>
          </w:tcPr>
          <w:p>
            <w:pPr>
              <w:pStyle w:val="TableContents"/>
              <w:bidi w:val="0"/>
              <w:spacing w:before="0" w:after="283"/>
              <w:jc w:val="right"/>
              <w:rPr>
                <w:color w:val="000000"/>
              </w:rPr>
            </w:pPr>
            <w:r>
              <w:rPr>
                <w:color w:val="000000"/>
              </w:rPr>
              <w:t>—</w:t>
            </w:r>
          </w:p>
        </w:tc>
        <w:tc>
          <w:tcPr>
            <w:tcW w:w="218" w:type="dxa"/>
            <w:tcBorders/>
            <w:shd w:fill="CFF0FC" w:val="clear"/>
            <w:vAlign w:val="center"/>
          </w:tcPr>
          <w:p>
            <w:pPr>
              <w:pStyle w:val="TableContents"/>
              <w:bidi w:val="0"/>
              <w:spacing w:before="0" w:after="283"/>
              <w:jc w:val="left"/>
              <w:rPr/>
            </w:pPr>
            <w:r>
              <w:rPr/>
              <w:t> </w:t>
            </w:r>
          </w:p>
        </w:tc>
      </w:tr>
      <w:tr>
        <w:trPr/>
        <w:tc>
          <w:tcPr>
            <w:tcW w:w="24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Increase/(decrease), net</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as of December 31, 2023</w:t>
            </w:r>
          </w:p>
        </w:tc>
        <w:tc>
          <w:tcPr>
            <w:tcW w:w="146" w:type="dxa"/>
            <w:tcBorders/>
            <w:shd w:fill="CFF0FC" w:val="cle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its current contract assets, long-term contract assets and current deferred revenue within prepaid expenses and other current assets, other non-current assets, and accrued liabilities, respectively. During the year ended December 31, 2023, the Company did not recognize any revenue related to deferred revenue which existed at December 31, 2022. During the year ended December 31, 2022, the Company recognized all of the deferred revenue which existed at December 31, 2021.</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Remaining performance obligations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the Company had backlog, or revenue related to remaining performance obligations, of $8.1 million. The Company expects most of this backlog to be recognized over the next 12 months. The Company’s backlog represents the expected value of exercised contracts, both funded and unfunded, less revenue recognized to date.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consist of costs incurred for experimentation, design and testing and are expensed as incurred.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Sales and Marketing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Marketing costs include product demonstration, customer service, lead generation, public relations, market research and internal labor, and are expensed as incurred.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calculates the fair value of all stock-based awards, including stock options, restricted stock units and restricted stock awards on the date of grant. The Company values stock options using the Black-Scholes option-pricing model, which requires the use of a number of assumptions, including expected volatility, expected life, risk-free interest rate and expected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dividends. The stock-based compensation expense is recognized on a straight-line basis over the requisite service periods of the awards, which is generally four years. The Company records forfeitures as they occur.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Income taxes are provided for the tax effects of transactions reported in the consolidated financial statements and consist of taxes currently due plus deferred income taxes related primarily to differences between the tax bases and financial reporting bases of assets and liabilities. Deferred income taxes represent future tax return consequences of those differences, which will either be taxable or deductible when the assets and liabilities are recovered or settled. The Company determines its valuation allowance on deferred tax assets by considering both positive and negative evidence, including its operating results, ongoing tax planning and forecasts of future taxable income on a jurisdiction-by-jurisdiction basis, to ascertain whether it is more likely than not that deferred tax assets will be realized. In the event the Company determines that it would be able to realize its deferred income tax assets in the future in excess of their net recorded amount, it would make an adjustment to the valuation allowance, which would reduce the provision for income taxes. Conversely, in the event that all or part of the net deferred tax assets are determined not to be realizable in the future, an adjustment to the valuation allowance would be charged to earnings in the period such determination is made.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pStyle w:val="TextBody"/>
        <w:bidi w:val="0"/>
        <w:spacing w:before="20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2016, the Financial Accounting Standards Board (FASB) issued Accounting Standards Update (ASU) 2016-13, Financial Instruments—Credit Losses (Topic 326): Measurement of Credit Losses on Financial Instruments. The new standard requires financial assets measured at amortized cost to be presented at the net amount expected to be collected, through an allowance for credit losses that is deducted from the amortized cost basis. The Company adopted ASU 2016-13 on January 1, 2023. The adoption of ASU 2016-13 did not have a material impact on the Company's condensed consolidated financial statements and related disclosures.</w:t>
      </w:r>
    </w:p>
    <w:p>
      <w:pPr>
        <w:pStyle w:val="TextBody"/>
        <w:bidi w:val="0"/>
        <w:spacing w:before="200" w:after="283"/>
        <w:jc w:val="both"/>
        <w:rPr>
          <w:rFonts w:ascii="Times New Roman" w:hAnsi="Times New Roman"/>
          <w:sz w:val="20"/>
        </w:rPr>
      </w:pPr>
      <w:r>
        <w:rPr>
          <w:rFonts w:ascii="Times New Roman" w:hAnsi="Times New Roman"/>
          <w:b/>
          <w:color w:val="000000"/>
          <w:sz w:val="20"/>
        </w:rPr>
        <w:t>Recently Issued Accounting Standard Pronouncements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2026 and will be applied on a prospective basis with the option to apply the standard retrospectively. The Company does not expect a material impact on its consolidated financial statements related to ASU 2023-09.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Fair Value Measurements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ASC Topic 820, Fair Value Measurement,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Level 1—Fair value is based on observable inputs such as quoted prices for identical assets or liabilities in active markets.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Level 2—Fair value is determined using quoted prices for similar assets or liabilities in active markets or quoted prices for identical or similar assets or liabilities in markets that are not active or are directly or indirectly observable.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Level 3—Fair value is determined using one or more significant inputs that are unobservable in active markets at the measurement date, such as an option pricing model, discounted cash flow or similar technique.</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Financial Assets and Liabilities Measured at Fair Value on a Recurring Basis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 recurring basis, the Company measures certain of its financial assets and liabilities at fair value. The fair value of the Company’s financial assets and liabilities measured at fair value on a recurring basis was determined using the following inputs:</w:t>
      </w:r>
    </w:p>
    <w:p>
      <w:pPr>
        <w:pStyle w:val="TextBody"/>
        <w:bidi w:val="0"/>
        <w:jc w:val="both"/>
        <w:rPr/>
      </w:pPr>
      <w:r>
        <w:rPr/>
        <w:t> </w:t>
      </w:r>
    </w:p>
    <w:tbl>
      <w:tblPr>
        <w:tblW w:w="6328" w:type="dxa"/>
        <w:jc w:val="left"/>
        <w:tblInd w:w="0" w:type="dxa"/>
        <w:tblLayout w:type="fixed"/>
        <w:tblCellMar>
          <w:top w:w="28" w:type="dxa"/>
          <w:left w:w="28" w:type="dxa"/>
          <w:bottom w:w="28" w:type="dxa"/>
          <w:right w:w="28" w:type="dxa"/>
        </w:tblCellMar>
      </w:tblPr>
      <w:tblGrid>
        <w:gridCol w:w="2031"/>
        <w:gridCol w:w="146"/>
        <w:gridCol w:w="196"/>
        <w:gridCol w:w="601"/>
        <w:gridCol w:w="146"/>
        <w:gridCol w:w="146"/>
        <w:gridCol w:w="233"/>
        <w:gridCol w:w="412"/>
        <w:gridCol w:w="146"/>
        <w:gridCol w:w="146"/>
        <w:gridCol w:w="233"/>
        <w:gridCol w:w="412"/>
        <w:gridCol w:w="146"/>
        <w:gridCol w:w="146"/>
        <w:gridCol w:w="196"/>
        <w:gridCol w:w="601"/>
        <w:gridCol w:w="391"/>
      </w:tblGrid>
      <w:tr>
        <w:trPr/>
        <w:tc>
          <w:tcPr>
            <w:tcW w:w="2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76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20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Treasury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4,973</w:t>
            </w:r>
          </w:p>
        </w:tc>
        <w:tc>
          <w:tcPr>
            <w:tcW w:w="391" w:type="dxa"/>
            <w:tcBorders/>
            <w:shd w:fill="CFF0FC" w:val="clear"/>
            <w:vAlign w:val="center"/>
          </w:tcPr>
          <w:p>
            <w:pPr>
              <w:pStyle w:val="TableContents"/>
              <w:bidi w:val="0"/>
              <w:spacing w:before="0" w:after="283"/>
              <w:jc w:val="left"/>
              <w:rPr/>
            </w:pPr>
            <w:r>
              <w:rPr/>
              <w:t> </w:t>
            </w:r>
          </w:p>
        </w:tc>
      </w:tr>
      <w:tr>
        <w:trPr/>
        <w:tc>
          <w:tcPr>
            <w:tcW w:w="20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0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treasury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15,947</w:t>
            </w:r>
          </w:p>
        </w:tc>
        <w:tc>
          <w:tcPr>
            <w:tcW w:w="391" w:type="dxa"/>
            <w:tcBorders/>
            <w:shd w:fill="CFF0FC" w:val="clear"/>
            <w:vAlign w:val="center"/>
          </w:tcPr>
          <w:p>
            <w:pPr>
              <w:pStyle w:val="TableContents"/>
              <w:bidi w:val="0"/>
              <w:spacing w:before="0" w:after="283"/>
              <w:jc w:val="left"/>
              <w:rPr/>
            </w:pPr>
            <w:r>
              <w:rPr/>
              <w:t> </w:t>
            </w:r>
          </w:p>
        </w:tc>
      </w:tr>
      <w:tr>
        <w:trPr/>
        <w:tc>
          <w:tcPr>
            <w:tcW w:w="20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20,920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20,920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0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03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Warrant liability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268" w:type="dxa"/>
        <w:jc w:val="left"/>
        <w:tblInd w:w="0" w:type="dxa"/>
        <w:tblLayout w:type="fixed"/>
        <w:tblCellMar>
          <w:top w:w="28" w:type="dxa"/>
          <w:left w:w="28" w:type="dxa"/>
          <w:bottom w:w="28" w:type="dxa"/>
          <w:right w:w="28" w:type="dxa"/>
        </w:tblCellMar>
      </w:tblPr>
      <w:tblGrid>
        <w:gridCol w:w="1971"/>
        <w:gridCol w:w="146"/>
        <w:gridCol w:w="196"/>
        <w:gridCol w:w="601"/>
        <w:gridCol w:w="146"/>
        <w:gridCol w:w="146"/>
        <w:gridCol w:w="221"/>
        <w:gridCol w:w="424"/>
        <w:gridCol w:w="146"/>
        <w:gridCol w:w="146"/>
        <w:gridCol w:w="233"/>
        <w:gridCol w:w="412"/>
        <w:gridCol w:w="146"/>
        <w:gridCol w:w="146"/>
        <w:gridCol w:w="196"/>
        <w:gridCol w:w="601"/>
        <w:gridCol w:w="391"/>
      </w:tblGrid>
      <w:tr>
        <w:trPr/>
        <w:tc>
          <w:tcPr>
            <w:tcW w:w="1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vAlign w:val="center"/>
          </w:tcPr>
          <w:p>
            <w:pPr>
              <w:pStyle w:val="TableContents"/>
              <w:bidi w:val="0"/>
              <w:spacing w:before="0" w:after="283"/>
              <w:jc w:val="left"/>
              <w:rPr>
                <w:rFonts w:cs="Times New Roman"/>
                <w:bCs/>
                <w:color w:val="000000"/>
                <w:szCs w:val="18"/>
              </w:rPr>
            </w:pPr>
            <w:r>
              <w:rPr>
                <w:rFonts w:cs="Times New Roman"/>
                <w:bCs/>
                <w:color w:val="000000"/>
                <w:szCs w:val="18"/>
              </w:rPr>
              <w:t>﻿</w:t>
            </w:r>
          </w:p>
        </w:tc>
        <w:tc>
          <w:tcPr>
            <w:tcW w:w="146" w:type="dxa"/>
            <w:tcBorders/>
            <w:shd w:fill="FFFFFF" w:val="clear"/>
            <w:vAlign w:val="center"/>
          </w:tcPr>
          <w:p>
            <w:pPr>
              <w:pStyle w:val="TableContents"/>
              <w:bidi w:val="0"/>
              <w:spacing w:before="0" w:after="283"/>
              <w:jc w:val="left"/>
              <w:rPr/>
            </w:pPr>
            <w:r>
              <w:rPr/>
              <w:t> </w:t>
            </w:r>
          </w:p>
        </w:tc>
        <w:tc>
          <w:tcPr>
            <w:tcW w:w="376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treasury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9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Warrant liability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2023, the Company held $20.9 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payable and accrued expenses approximate their fair values because of the relatively short periods until they are required to be settled.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a reconciliation from the opening balances to the closing balances for Level 3 values:</w:t>
      </w:r>
    </w:p>
    <w:tbl>
      <w:tblPr>
        <w:tblW w:w="4700" w:type="dxa"/>
        <w:jc w:val="left"/>
        <w:tblInd w:w="0" w:type="dxa"/>
        <w:tblLayout w:type="fixed"/>
        <w:tblCellMar>
          <w:top w:w="28" w:type="dxa"/>
          <w:left w:w="28" w:type="dxa"/>
          <w:bottom w:w="28" w:type="dxa"/>
          <w:right w:w="28" w:type="dxa"/>
        </w:tblCellMar>
      </w:tblPr>
      <w:tblGrid>
        <w:gridCol w:w="3306"/>
        <w:gridCol w:w="146"/>
        <w:gridCol w:w="196"/>
        <w:gridCol w:w="661"/>
        <w:gridCol w:w="391"/>
      </w:tblGrid>
      <w:tr>
        <w:trPr/>
        <w:tc>
          <w:tcPr>
            <w:tcW w:w="3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0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3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3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Warrant liability transferred out of Level 3</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Transfers to/from Levels 1, 2 and 3 are recognized at the beginning of the reporting period in which a change in valuation technique or methodology occurs. During the first quarter of 2022 the trading price of our public warrants was used to value our private placement warrants, and a third-party valuation was no longer deemed necessary resulting in the estimated fair value of our private placement warrants being transferred from a Level 3 fair value measurement to a Level 2 fair value measurement.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3. Balance Sheet Components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Inventories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Inventories, net consist of the following:</w:t>
      </w:r>
    </w:p>
    <w:p>
      <w:pPr>
        <w:pStyle w:val="TextBody"/>
        <w:bidi w:val="0"/>
        <w:jc w:val="left"/>
        <w:rPr/>
      </w:pPr>
      <w:r>
        <w:rPr/>
        <w:t> </w:t>
      </w:r>
    </w:p>
    <w:tbl>
      <w:tblPr>
        <w:tblW w:w="5435" w:type="dxa"/>
        <w:jc w:val="left"/>
        <w:tblInd w:w="0" w:type="dxa"/>
        <w:tblLayout w:type="fixed"/>
        <w:tblCellMar>
          <w:top w:w="28" w:type="dxa"/>
          <w:left w:w="28" w:type="dxa"/>
          <w:bottom w:w="28" w:type="dxa"/>
          <w:right w:w="28" w:type="dxa"/>
        </w:tblCellMar>
      </w:tblPr>
      <w:tblGrid>
        <w:gridCol w:w="1516"/>
        <w:gridCol w:w="146"/>
        <w:gridCol w:w="427"/>
        <w:gridCol w:w="1118"/>
        <w:gridCol w:w="146"/>
        <w:gridCol w:w="146"/>
        <w:gridCol w:w="427"/>
        <w:gridCol w:w="1118"/>
        <w:gridCol w:w="3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Raw materials</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2,081</w:t>
            </w:r>
          </w:p>
        </w:tc>
        <w:tc>
          <w:tcPr>
            <w:tcW w:w="391" w:type="dxa"/>
            <w:tcBorders/>
            <w:shd w:fill="CFF0FC" w:val="cle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Work-in-process</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391" w:type="dxa"/>
            <w:tcBorders/>
            <w:shd w:fill="FFFFFF" w:val="clear"/>
            <w:vAlign w:val="center"/>
          </w:tcPr>
          <w:p>
            <w:pPr>
              <w:pStyle w:val="TableContents"/>
              <w:bidi w:val="0"/>
              <w:spacing w:before="0" w:after="283"/>
              <w:jc w:val="left"/>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Finished goods, net</w:t>
            </w:r>
          </w:p>
        </w:tc>
        <w:tc>
          <w:tcPr>
            <w:tcW w:w="146" w:type="dxa"/>
            <w:tcBorders/>
            <w:shd w:fill="CFF0FC" w:val="cle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inventories</w:t>
            </w:r>
          </w:p>
        </w:tc>
        <w:tc>
          <w:tcPr>
            <w:tcW w:w="146" w:type="dxa"/>
            <w:tcBorders/>
            <w:shd w:fill="FFFFFF" w:val="cle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Prepaid expenses and other current assets consist of the following:</w:t>
      </w:r>
    </w:p>
    <w:p>
      <w:pPr>
        <w:pStyle w:val="TextBody"/>
        <w:bidi w:val="0"/>
        <w:jc w:val="both"/>
        <w:rPr/>
      </w:pPr>
      <w:r>
        <w:rPr/>
        <w:t> </w:t>
      </w:r>
    </w:p>
    <w:tbl>
      <w:tblPr>
        <w:tblW w:w="7570" w:type="dxa"/>
        <w:jc w:val="left"/>
        <w:tblInd w:w="0" w:type="dxa"/>
        <w:tblLayout w:type="fixed"/>
        <w:tblCellMar>
          <w:top w:w="28" w:type="dxa"/>
          <w:left w:w="28" w:type="dxa"/>
          <w:bottom w:w="28" w:type="dxa"/>
          <w:right w:w="28" w:type="dxa"/>
        </w:tblCellMar>
      </w:tblPr>
      <w:tblGrid>
        <w:gridCol w:w="3651"/>
        <w:gridCol w:w="146"/>
        <w:gridCol w:w="427"/>
        <w:gridCol w:w="1118"/>
        <w:gridCol w:w="146"/>
        <w:gridCol w:w="146"/>
        <w:gridCol w:w="427"/>
        <w:gridCol w:w="1118"/>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insurance</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3,420</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Software</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prepaid expenses and assets</w:t>
            </w:r>
          </w:p>
        </w:tc>
        <w:tc>
          <w:tcPr>
            <w:tcW w:w="146" w:type="dxa"/>
            <w:tcBorders/>
            <w:shd w:fill="CFF0FC" w:val="cle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Property and equipment, net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Property and equipment, net consist of the following:</w:t>
      </w:r>
    </w:p>
    <w:p>
      <w:pPr>
        <w:pStyle w:val="TextBody"/>
        <w:bidi w:val="0"/>
        <w:jc w:val="left"/>
        <w:rPr/>
      </w:pPr>
      <w:r>
        <w:rPr/>
        <w:t> </w:t>
      </w:r>
    </w:p>
    <w:tbl>
      <w:tblPr>
        <w:tblW w:w="7245" w:type="dxa"/>
        <w:jc w:val="left"/>
        <w:tblInd w:w="0" w:type="dxa"/>
        <w:tblLayout w:type="fixed"/>
        <w:tblCellMar>
          <w:top w:w="28" w:type="dxa"/>
          <w:left w:w="28" w:type="dxa"/>
          <w:bottom w:w="28" w:type="dxa"/>
          <w:right w:w="28" w:type="dxa"/>
        </w:tblCellMar>
      </w:tblPr>
      <w:tblGrid>
        <w:gridCol w:w="3286"/>
        <w:gridCol w:w="146"/>
        <w:gridCol w:w="394"/>
        <w:gridCol w:w="1151"/>
        <w:gridCol w:w="166"/>
        <w:gridCol w:w="146"/>
        <w:gridCol w:w="379"/>
        <w:gridCol w:w="1166"/>
        <w:gridCol w:w="41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Robotics and manufacturing equipment</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1,610</w:t>
            </w:r>
          </w:p>
        </w:tc>
        <w:tc>
          <w:tcPr>
            <w:tcW w:w="41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4,442</w:t>
            </w:r>
          </w:p>
        </w:tc>
        <w:tc>
          <w:tcPr>
            <w:tcW w:w="41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Computer equipment</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w:t>
            </w:r>
          </w:p>
        </w:tc>
        <w:tc>
          <w:tcPr>
            <w:tcW w:w="41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Financed leased computer equipment</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41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Software</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11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41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Furniture and fixtures, and other fixed assets</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Property and equipment, gross</w:t>
            </w:r>
          </w:p>
        </w:tc>
        <w:tc>
          <w:tcPr>
            <w:tcW w:w="146" w:type="dxa"/>
            <w:tcBorders/>
            <w:shd w:fill="CFF0FC" w:val="clear"/>
            <w:vAlign w:val="center"/>
          </w:tcPr>
          <w:p>
            <w:pPr>
              <w:pStyle w:val="TableContents"/>
              <w:bidi w:val="0"/>
              <w:spacing w:before="0" w:after="283"/>
              <w:jc w:val="left"/>
              <w:rPr/>
            </w:pPr>
            <w:r>
              <w:rPr/>
              <w:t> </w:t>
            </w:r>
          </w:p>
        </w:tc>
        <w:tc>
          <w:tcPr>
            <w:tcW w:w="39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10,266</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FFFFFF" w:val="cle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expenses were $2.8 million for the year ended December 31, 2023, $1.2 million of which was accelerated depreciation related to shutting down our facilities in Pittsburgh, Pennsylvania, which is included in asset write-down and restructuring on the consolidated statements of operations. Depreciation expenses were $1.4 million for the year ended December 31, 2022. Amortization of assets under finance leases is included as part of depreciation expense.</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Accrued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Accrued liabilities consist of the following:</w:t>
      </w:r>
    </w:p>
    <w:p>
      <w:pPr>
        <w:pStyle w:val="TextBody"/>
        <w:bidi w:val="0"/>
        <w:jc w:val="left"/>
        <w:rPr/>
      </w:pPr>
      <w:r>
        <w:rPr/>
        <w:t> </w:t>
      </w:r>
    </w:p>
    <w:tbl>
      <w:tblPr>
        <w:tblW w:w="7235" w:type="dxa"/>
        <w:jc w:val="left"/>
        <w:tblInd w:w="0" w:type="dxa"/>
        <w:tblLayout w:type="fixed"/>
        <w:tblCellMar>
          <w:top w:w="28" w:type="dxa"/>
          <w:left w:w="28" w:type="dxa"/>
          <w:bottom w:w="28" w:type="dxa"/>
          <w:right w:w="28" w:type="dxa"/>
        </w:tblCellMar>
      </w:tblPr>
      <w:tblGrid>
        <w:gridCol w:w="3316"/>
        <w:gridCol w:w="146"/>
        <w:gridCol w:w="427"/>
        <w:gridCol w:w="1118"/>
        <w:gridCol w:w="146"/>
        <w:gridCol w:w="146"/>
        <w:gridCol w:w="427"/>
        <w:gridCol w:w="1118"/>
        <w:gridCol w:w="3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Payroll and related costs</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4,271</w:t>
            </w:r>
          </w:p>
        </w:tc>
        <w:tc>
          <w:tcPr>
            <w:tcW w:w="391" w:type="dxa"/>
            <w:tcBorders/>
            <w:shd w:fill="CFF0FC" w:val="clear"/>
            <w:vAlign w:val="center"/>
          </w:tcPr>
          <w:p>
            <w:pPr>
              <w:pStyle w:val="TableContents"/>
              <w:bidi w:val="0"/>
              <w:spacing w:before="0" w:after="283"/>
              <w:jc w:val="left"/>
              <w:rPr/>
            </w:pPr>
            <w:r>
              <w:rPr/>
              <w:t> </w:t>
            </w:r>
          </w:p>
        </w:tc>
      </w:tr>
      <w:tr>
        <w:trPr/>
        <w:tc>
          <w:tcPr>
            <w:tcW w:w="33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restructuring accrual</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3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Legal accrual</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left"/>
              <w:rPr/>
            </w:pPr>
            <w:r>
              <w:rPr/>
              <w:t> </w:t>
            </w:r>
          </w:p>
        </w:tc>
        <w:tc>
          <w:tcPr>
            <w:tcW w:w="11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391" w:type="dxa"/>
            <w:tcBorders/>
            <w:shd w:fill="CFF0FC" w:val="clear"/>
            <w:vAlign w:val="center"/>
          </w:tcPr>
          <w:p>
            <w:pPr>
              <w:pStyle w:val="TableContents"/>
              <w:bidi w:val="0"/>
              <w:spacing w:before="0" w:after="283"/>
              <w:jc w:val="left"/>
              <w:rPr/>
            </w:pPr>
            <w:r>
              <w:rPr/>
              <w:t> </w:t>
            </w:r>
          </w:p>
        </w:tc>
      </w:tr>
      <w:tr>
        <w:trPr/>
        <w:tc>
          <w:tcPr>
            <w:tcW w:w="33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accrued expenses and current liabilities</w:t>
            </w:r>
          </w:p>
        </w:tc>
        <w:tc>
          <w:tcPr>
            <w:tcW w:w="146" w:type="dxa"/>
            <w:tcBorders/>
            <w:shd w:fill="FFFFFF" w:val="cle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accrued liabilities</w:t>
            </w:r>
          </w:p>
        </w:tc>
        <w:tc>
          <w:tcPr>
            <w:tcW w:w="146" w:type="dxa"/>
            <w:tcBorders/>
            <w:shd w:fill="CFF0FC" w:val="cle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Other non-current liabilities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non-current liabilities consist of the following:</w:t>
      </w:r>
    </w:p>
    <w:p>
      <w:pPr>
        <w:pStyle w:val="TextBody"/>
        <w:bidi w:val="0"/>
        <w:jc w:val="left"/>
        <w:rPr/>
      </w:pPr>
      <w:r>
        <w:rPr/>
        <w:t> </w:t>
      </w:r>
    </w:p>
    <w:tbl>
      <w:tblPr>
        <w:tblW w:w="6550" w:type="dxa"/>
        <w:jc w:val="left"/>
        <w:tblInd w:w="0" w:type="dxa"/>
        <w:tblLayout w:type="fixed"/>
        <w:tblCellMar>
          <w:top w:w="28" w:type="dxa"/>
          <w:left w:w="28" w:type="dxa"/>
          <w:bottom w:w="28" w:type="dxa"/>
          <w:right w:w="28" w:type="dxa"/>
        </w:tblCellMar>
      </w:tblPr>
      <w:tblGrid>
        <w:gridCol w:w="2631"/>
        <w:gridCol w:w="146"/>
        <w:gridCol w:w="557"/>
        <w:gridCol w:w="988"/>
        <w:gridCol w:w="146"/>
        <w:gridCol w:w="146"/>
        <w:gridCol w:w="528"/>
        <w:gridCol w:w="1017"/>
        <w:gridCol w:w="3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leases</w:t>
            </w:r>
          </w:p>
        </w:tc>
        <w:tc>
          <w:tcPr>
            <w:tcW w:w="146"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91" w:type="dxa"/>
            <w:tcBorders/>
            <w:shd w:fill="CFF0FC" w:val="clear"/>
            <w:vAlign w:val="center"/>
          </w:tcPr>
          <w:p>
            <w:pPr>
              <w:pStyle w:val="TableContents"/>
              <w:bidi w:val="0"/>
              <w:spacing w:before="0" w:after="283"/>
              <w:jc w:val="left"/>
              <w:rPr/>
            </w:pPr>
            <w:r>
              <w:rPr/>
              <w:t> </w:t>
            </w:r>
          </w:p>
        </w:tc>
      </w:tr>
      <w:tr>
        <w:trPr/>
        <w:tc>
          <w:tcPr>
            <w:tcW w:w="26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liabilities</w:t>
            </w:r>
          </w:p>
        </w:tc>
        <w:tc>
          <w:tcPr>
            <w:tcW w:w="146" w:type="dxa"/>
            <w:tcBorders/>
            <w:shd w:fill="FFFFFF" w:val="cle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other non-current liabilities</w:t>
            </w:r>
          </w:p>
        </w:tc>
        <w:tc>
          <w:tcPr>
            <w:tcW w:w="146" w:type="dxa"/>
            <w:tcBorders/>
            <w:shd w:fill="CFF0FC" w:val="clear"/>
            <w:vAlign w:val="center"/>
          </w:tcPr>
          <w:p>
            <w:pPr>
              <w:pStyle w:val="TableContents"/>
              <w:bidi w:val="0"/>
              <w:spacing w:before="0" w:after="283"/>
              <w:jc w:val="lef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4. 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leases real estate for office space under operating leases with varying expiration dates through 2033. Leases are categorized at their commencement date, which is the date the Company takes possession or control of the underlying asset. Certain of the operating leases include renewal options ranging from three to five years, which are not recognized as part of the right-of-use assets as the Company is not reasonably certain that the options will be exercised. </w:t>
      </w:r>
    </w:p>
    <w:p>
      <w:pPr>
        <w:pStyle w:val="TextBody"/>
        <w:bidi w:val="0"/>
        <w:jc w:val="left"/>
        <w:rPr>
          <w:rFonts w:ascii="Times New Roman" w:hAnsi="Times New Roman"/>
          <w:color w:val="000000"/>
          <w:sz w:val="20"/>
        </w:rPr>
      </w:pPr>
      <w:r>
        <w:rPr>
          <w:rFonts w:ascii="Times New Roman" w:hAnsi="Times New Roman"/>
          <w:color w:val="000000"/>
          <w:sz w:val="20"/>
        </w:rPr>
        <w:t xml:space="preserve">Lease costs for operating leases are as follows: </w:t>
      </w:r>
    </w:p>
    <w:tbl>
      <w:tblPr>
        <w:tblW w:w="4655" w:type="dxa"/>
        <w:jc w:val="left"/>
        <w:tblInd w:w="0" w:type="dxa"/>
        <w:tblLayout w:type="fixed"/>
        <w:tblCellMar>
          <w:top w:w="28" w:type="dxa"/>
          <w:left w:w="28" w:type="dxa"/>
          <w:bottom w:w="28" w:type="dxa"/>
          <w:right w:w="28" w:type="dxa"/>
        </w:tblCellMar>
      </w:tblPr>
      <w:tblGrid>
        <w:gridCol w:w="1546"/>
        <w:gridCol w:w="146"/>
        <w:gridCol w:w="315"/>
        <w:gridCol w:w="825"/>
        <w:gridCol w:w="146"/>
        <w:gridCol w:w="146"/>
        <w:gridCol w:w="315"/>
        <w:gridCol w:w="825"/>
        <w:gridCol w:w="3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cost</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1,640</w:t>
            </w:r>
          </w:p>
        </w:tc>
        <w:tc>
          <w:tcPr>
            <w:tcW w:w="391" w:type="dxa"/>
            <w:tcBorders/>
            <w:shd w:fill="CFF0FC"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Variable lease cost</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lease cost</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lease term and discount rate assumptions:</w:t>
      </w:r>
    </w:p>
    <w:p>
      <w:pPr>
        <w:pStyle w:val="TextBody"/>
        <w:bidi w:val="0"/>
        <w:jc w:val="left"/>
        <w:rPr/>
      </w:pPr>
      <w:r>
        <w:rPr/>
        <w:t> </w:t>
      </w:r>
    </w:p>
    <w:tbl>
      <w:tblPr>
        <w:tblW w:w="6565" w:type="dxa"/>
        <w:jc w:val="left"/>
        <w:tblInd w:w="0" w:type="dxa"/>
        <w:tblLayout w:type="fixed"/>
        <w:tblCellMar>
          <w:top w:w="28" w:type="dxa"/>
          <w:left w:w="28" w:type="dxa"/>
          <w:bottom w:w="28" w:type="dxa"/>
          <w:right w:w="28" w:type="dxa"/>
        </w:tblCellMar>
      </w:tblPr>
      <w:tblGrid>
        <w:gridCol w:w="3436"/>
        <w:gridCol w:w="146"/>
        <w:gridCol w:w="348"/>
        <w:gridCol w:w="792"/>
        <w:gridCol w:w="256"/>
        <w:gridCol w:w="146"/>
        <w:gridCol w:w="348"/>
        <w:gridCol w:w="792"/>
        <w:gridCol w:w="30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leases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r>
      <w:tr>
        <w:trPr/>
        <w:tc>
          <w:tcPr>
            <w:tcW w:w="34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remaining lease term (years)</w:t>
            </w:r>
          </w:p>
        </w:tc>
        <w:tc>
          <w:tcPr>
            <w:tcW w:w="146"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301" w:type="dxa"/>
            <w:tcBorders/>
            <w:shd w:fill="FFFFFF" w:val="clear"/>
            <w:vAlign w:val="center"/>
          </w:tcPr>
          <w:p>
            <w:pPr>
              <w:pStyle w:val="TableContents"/>
              <w:bidi w:val="0"/>
              <w:spacing w:before="0" w:after="283"/>
              <w:jc w:val="left"/>
              <w:rPr/>
            </w:pPr>
            <w:r>
              <w:rPr/>
              <w:t> </w:t>
            </w:r>
          </w:p>
        </w:tc>
      </w:tr>
      <w:tr>
        <w:trPr/>
        <w:tc>
          <w:tcPr>
            <w:tcW w:w="34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discount rate:</w:t>
            </w:r>
          </w:p>
        </w:tc>
        <w:tc>
          <w:tcPr>
            <w:tcW w:w="146" w:type="dxa"/>
            <w:tcBorders/>
            <w:shd w:fill="CFF0FC" w:val="clear"/>
            <w:vAlign w:val="center"/>
          </w:tcPr>
          <w:p>
            <w:pPr>
              <w:pStyle w:val="TableContents"/>
              <w:bidi w:val="0"/>
              <w:spacing w:before="0" w:after="283"/>
              <w:jc w:val="left"/>
              <w:rPr/>
            </w:pPr>
            <w:r>
              <w:rPr/>
              <w:t> </w:t>
            </w:r>
          </w:p>
        </w:tc>
        <w:tc>
          <w:tcPr>
            <w:tcW w:w="348"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8"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cash flow and other information related to leases:</w:t>
      </w:r>
    </w:p>
    <w:p>
      <w:pPr>
        <w:pStyle w:val="TextBody"/>
        <w:bidi w:val="0"/>
        <w:jc w:val="left"/>
        <w:rPr/>
      </w:pPr>
      <w:r>
        <w:rPr/>
        <w:t> </w:t>
      </w:r>
    </w:p>
    <w:tbl>
      <w:tblPr>
        <w:tblW w:w="8585" w:type="dxa"/>
        <w:jc w:val="left"/>
        <w:tblInd w:w="0" w:type="dxa"/>
        <w:tblLayout w:type="fixed"/>
        <w:tblCellMar>
          <w:top w:w="28" w:type="dxa"/>
          <w:left w:w="28" w:type="dxa"/>
          <w:bottom w:w="28" w:type="dxa"/>
          <w:right w:w="28" w:type="dxa"/>
        </w:tblCellMar>
      </w:tblPr>
      <w:tblGrid>
        <w:gridCol w:w="5476"/>
        <w:gridCol w:w="146"/>
        <w:gridCol w:w="315"/>
        <w:gridCol w:w="825"/>
        <w:gridCol w:w="146"/>
        <w:gridCol w:w="146"/>
        <w:gridCol w:w="315"/>
        <w:gridCol w:w="825"/>
        <w:gridCol w:w="391"/>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5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amounts included in measurement of liabilities: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4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1,674</w:t>
            </w:r>
          </w:p>
        </w:tc>
        <w:tc>
          <w:tcPr>
            <w:tcW w:w="391" w:type="dxa"/>
            <w:tcBorders/>
            <w:shd w:fill="FFFFFF" w:val="clear"/>
            <w:vAlign w:val="center"/>
          </w:tcPr>
          <w:p>
            <w:pPr>
              <w:pStyle w:val="TableContents"/>
              <w:bidi w:val="0"/>
              <w:spacing w:before="0" w:after="283"/>
              <w:jc w:val="left"/>
              <w:rPr/>
            </w:pPr>
            <w:r>
              <w:rPr/>
              <w:t> </w:t>
            </w:r>
          </w:p>
        </w:tc>
      </w:tr>
      <w:tr>
        <w:trPr/>
        <w:tc>
          <w:tcPr>
            <w:tcW w:w="54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assets obtained in a noncash exchange for new lease liabilities: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4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Undiscounted future minimum lease payments (displayed by year and in the aggregate) under noncancelable operating leases with terms of more than one year, as of December 31, 2022 are as follows:</w:t>
      </w:r>
    </w:p>
    <w:tbl>
      <w:tblPr>
        <w:tblW w:w="4503" w:type="dxa"/>
        <w:jc w:val="left"/>
        <w:tblInd w:w="0" w:type="dxa"/>
        <w:tblLayout w:type="fixed"/>
        <w:tblCellMar>
          <w:top w:w="28" w:type="dxa"/>
          <w:left w:w="28" w:type="dxa"/>
          <w:bottom w:w="28" w:type="dxa"/>
          <w:right w:w="28" w:type="dxa"/>
        </w:tblCellMar>
      </w:tblPr>
      <w:tblGrid>
        <w:gridCol w:w="2526"/>
        <w:gridCol w:w="146"/>
        <w:gridCol w:w="352"/>
        <w:gridCol w:w="1088"/>
        <w:gridCol w:w="391"/>
      </w:tblGrid>
      <w:tr>
        <w:trPr/>
        <w:tc>
          <w:tcPr>
            <w:tcW w:w="2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2024</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1,968</w:t>
            </w:r>
          </w:p>
        </w:tc>
        <w:tc>
          <w:tcPr>
            <w:tcW w:w="391" w:type="dxa"/>
            <w:tcBorders/>
            <w:shd w:fill="CFF0FC" w:val="clear"/>
            <w:vAlign w:val="center"/>
          </w:tcPr>
          <w:p>
            <w:pPr>
              <w:pStyle w:val="TableContents"/>
              <w:bidi w:val="0"/>
              <w:spacing w:before="0" w:after="283"/>
              <w:jc w:val="left"/>
              <w:rPr/>
            </w:pPr>
            <w:r>
              <w:rPr/>
              <w:t> </w:t>
            </w:r>
          </w:p>
        </w:tc>
      </w:tr>
      <w:tr>
        <w:trPr/>
        <w:tc>
          <w:tcPr>
            <w:tcW w:w="25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w:t>
            </w:r>
          </w:p>
        </w:tc>
        <w:tc>
          <w:tcPr>
            <w:tcW w:w="391" w:type="dxa"/>
            <w:tcBorders/>
            <w:shd w:fill="FFFFFF" w:val="clear"/>
            <w:vAlign w:val="center"/>
          </w:tcPr>
          <w:p>
            <w:pPr>
              <w:pStyle w:val="TableContents"/>
              <w:bidi w:val="0"/>
              <w:spacing w:before="0" w:after="283"/>
              <w:jc w:val="left"/>
              <w:rPr/>
            </w:pPr>
            <w:r>
              <w:rPr/>
              <w:t> </w:t>
            </w:r>
          </w:p>
        </w:tc>
      </w:tr>
      <w:tr>
        <w:trPr/>
        <w:tc>
          <w:tcPr>
            <w:tcW w:w="25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0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1,488</w:t>
            </w:r>
          </w:p>
        </w:tc>
        <w:tc>
          <w:tcPr>
            <w:tcW w:w="391" w:type="dxa"/>
            <w:tcBorders/>
            <w:shd w:fill="CFF0FC" w:val="clear"/>
            <w:vAlign w:val="center"/>
          </w:tcPr>
          <w:p>
            <w:pPr>
              <w:pStyle w:val="TableContents"/>
              <w:bidi w:val="0"/>
              <w:spacing w:before="0" w:after="283"/>
              <w:jc w:val="left"/>
              <w:rPr/>
            </w:pPr>
            <w:r>
              <w:rPr/>
              <w:t> </w:t>
            </w:r>
          </w:p>
        </w:tc>
      </w:tr>
      <w:tr>
        <w:trPr/>
        <w:tc>
          <w:tcPr>
            <w:tcW w:w="25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1,529</w:t>
            </w:r>
          </w:p>
        </w:tc>
        <w:tc>
          <w:tcPr>
            <w:tcW w:w="391" w:type="dxa"/>
            <w:tcBorders/>
            <w:shd w:fill="FFFFFF" w:val="clear"/>
            <w:vAlign w:val="center"/>
          </w:tcPr>
          <w:p>
            <w:pPr>
              <w:pStyle w:val="TableContents"/>
              <w:bidi w:val="0"/>
              <w:spacing w:before="0" w:after="283"/>
              <w:jc w:val="left"/>
              <w:rPr/>
            </w:pPr>
            <w:r>
              <w:rPr/>
              <w:t> </w:t>
            </w:r>
          </w:p>
        </w:tc>
      </w:tr>
      <w:tr>
        <w:trPr/>
        <w:tc>
          <w:tcPr>
            <w:tcW w:w="25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0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w:t>
            </w:r>
          </w:p>
        </w:tc>
        <w:tc>
          <w:tcPr>
            <w:tcW w:w="391" w:type="dxa"/>
            <w:tcBorders/>
            <w:shd w:fill="CFF0FC" w:val="clear"/>
            <w:vAlign w:val="center"/>
          </w:tcPr>
          <w:p>
            <w:pPr>
              <w:pStyle w:val="TableContents"/>
              <w:bidi w:val="0"/>
              <w:spacing w:before="0" w:after="283"/>
              <w:jc w:val="left"/>
              <w:rPr/>
            </w:pPr>
            <w:r>
              <w:rPr/>
              <w:t> </w:t>
            </w:r>
          </w:p>
        </w:tc>
      </w:tr>
      <w:tr>
        <w:trPr/>
        <w:tc>
          <w:tcPr>
            <w:tcW w:w="25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 and thereafter</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lease payments</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0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15,640</w:t>
            </w:r>
          </w:p>
        </w:tc>
        <w:tc>
          <w:tcPr>
            <w:tcW w:w="391" w:type="dxa"/>
            <w:tcBorders/>
            <w:shd w:fill="CFF0FC" w:val="clear"/>
            <w:vAlign w:val="center"/>
          </w:tcPr>
          <w:p>
            <w:pPr>
              <w:pStyle w:val="TableContents"/>
              <w:bidi w:val="0"/>
              <w:spacing w:before="0" w:after="283"/>
              <w:jc w:val="left"/>
              <w:rPr/>
            </w:pPr>
            <w:r>
              <w:rPr/>
              <w:t> </w:t>
            </w:r>
          </w:p>
        </w:tc>
      </w:tr>
      <w:tr>
        <w:trPr/>
        <w:tc>
          <w:tcPr>
            <w:tcW w:w="25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interest</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b/>
          <w:color w:val="000000"/>
          <w:sz w:val="20"/>
        </w:rPr>
      </w:pPr>
      <w:r>
        <w:rPr>
          <w:rFonts w:ascii="Times New Roman" w:hAnsi="Times New Roman"/>
          <w:b/>
          <w:color w:val="000000"/>
          <w:sz w:val="20"/>
        </w:rPr>
        <w:t>5. Acquisition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25, 2022, the Company acquired RE2, Inc. a Pittsburgh, PA based developer of manipulator arms with human-like performance, intuitive robot interfaces and advanced autonomy capabilities. The aggregate consideration transferred was $90.1 million, of which $30.7 million was paid in cash, $44.0 million was comprised of 1,562,112 shares of common stock and $15.4 million was comprised of assumed options to purchase 646,173 shares of common stock. Additionally, 233,333 shares of common stock were issued with a fair value of $6.6 million that were subject to risk of forfeiture. These shares were excluded from the consideration transferred and have been recorded as stock-based compensation expense.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acquisition was accounted for as a business combination and the total purchase consideration was allocated to the net tangible and intangible assets and liabilities based on their fair values on the acquisition date and the excess was recorded as goodwill. The Company recorded the assets acquired and liabilities assumed at their fair values as of the acquisition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final purchase consideration allocation recorded in the Company’s consolidated balance sheet as of the acquisition date:</w:t>
      </w:r>
    </w:p>
    <w:p>
      <w:pPr>
        <w:pStyle w:val="TextBody"/>
        <w:bidi w:val="0"/>
        <w:jc w:val="both"/>
        <w:rPr/>
      </w:pPr>
      <w:r>
        <w:rPr/>
        <w:t> </w:t>
      </w:r>
    </w:p>
    <w:tbl>
      <w:tblPr>
        <w:tblW w:w="4415" w:type="dxa"/>
        <w:jc w:val="left"/>
        <w:tblInd w:w="0" w:type="dxa"/>
        <w:tblLayout w:type="fixed"/>
        <w:tblCellMar>
          <w:top w:w="28" w:type="dxa"/>
          <w:left w:w="28" w:type="dxa"/>
          <w:bottom w:w="28" w:type="dxa"/>
          <w:right w:w="28" w:type="dxa"/>
        </w:tblCellMar>
      </w:tblPr>
      <w:tblGrid>
        <w:gridCol w:w="3061"/>
        <w:gridCol w:w="146"/>
        <w:gridCol w:w="196"/>
        <w:gridCol w:w="601"/>
        <w:gridCol w:w="4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w:t>
            </w:r>
          </w:p>
        </w:tc>
        <w:tc>
          <w:tcPr>
            <w:tcW w:w="411" w:type="dxa"/>
            <w:tcBorders/>
            <w:shd w:fill="CFF0FC" w:val="clear"/>
            <w:vAlign w:val="center"/>
          </w:tcPr>
          <w:p>
            <w:pPr>
              <w:pStyle w:val="TableContents"/>
              <w:bidi w:val="0"/>
              <w:spacing w:before="0" w:after="283"/>
              <w:jc w:val="lef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w:t>
            </w:r>
          </w:p>
        </w:tc>
        <w:tc>
          <w:tcPr>
            <w:tcW w:w="411" w:type="dxa"/>
            <w:tcBorders/>
            <w:shd w:fill="FFFFFF" w:val="cle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Unbilled receivables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1,968</w:t>
            </w:r>
          </w:p>
        </w:tc>
        <w:tc>
          <w:tcPr>
            <w:tcW w:w="411" w:type="dxa"/>
            <w:tcBorders/>
            <w:shd w:fill="CFF0FC" w:val="clear"/>
            <w:vAlign w:val="center"/>
          </w:tcPr>
          <w:p>
            <w:pPr>
              <w:pStyle w:val="TableContents"/>
              <w:bidi w:val="0"/>
              <w:spacing w:before="0" w:after="283"/>
              <w:jc w:val="lef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w:t>
            </w:r>
          </w:p>
        </w:tc>
        <w:tc>
          <w:tcPr>
            <w:tcW w:w="411" w:type="dxa"/>
            <w:tcBorders/>
            <w:shd w:fill="FFFFFF" w:val="cle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411" w:type="dxa"/>
            <w:tcBorders/>
            <w:shd w:fill="CFF0FC" w:val="clear"/>
            <w:vAlign w:val="center"/>
          </w:tcPr>
          <w:p>
            <w:pPr>
              <w:pStyle w:val="TableContents"/>
              <w:bidi w:val="0"/>
              <w:spacing w:before="0" w:after="283"/>
              <w:jc w:val="lef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w:t>
            </w:r>
          </w:p>
        </w:tc>
        <w:tc>
          <w:tcPr>
            <w:tcW w:w="411" w:type="dxa"/>
            <w:tcBorders/>
            <w:shd w:fill="FFFFFF" w:val="cle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21,300</w:t>
            </w:r>
          </w:p>
        </w:tc>
        <w:tc>
          <w:tcPr>
            <w:tcW w:w="411" w:type="dxa"/>
            <w:tcBorders/>
            <w:shd w:fill="CFF0FC" w:val="clear"/>
            <w:vAlign w:val="center"/>
          </w:tcPr>
          <w:p>
            <w:pPr>
              <w:pStyle w:val="TableContents"/>
              <w:bidi w:val="0"/>
              <w:spacing w:before="0" w:after="283"/>
              <w:jc w:val="lef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70,236</w:t>
            </w:r>
          </w:p>
        </w:tc>
        <w:tc>
          <w:tcPr>
            <w:tcW w:w="411" w:type="dxa"/>
            <w:tcBorders/>
            <w:shd w:fill="FFFFFF" w:val="cle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w:t>
            </w:r>
          </w:p>
        </w:tc>
        <w:tc>
          <w:tcPr>
            <w:tcW w:w="411" w:type="dxa"/>
            <w:tcBorders/>
            <w:shd w:fill="CFF0FC" w:val="clear"/>
            <w:vAlign w:val="center"/>
          </w:tcPr>
          <w:p>
            <w:pPr>
              <w:pStyle w:val="TableContents"/>
              <w:bidi w:val="0"/>
              <w:spacing w:before="0" w:after="283"/>
              <w:jc w:val="left"/>
              <w:rPr/>
            </w:pPr>
            <w:r>
              <w:rPr/>
              <w:t> </w:t>
            </w:r>
          </w:p>
        </w:tc>
      </w:tr>
      <w:tr>
        <w:trPr/>
        <w:tc>
          <w:tcPr>
            <w:tcW w:w="30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411" w:type="dxa"/>
            <w:tcBorders/>
            <w:shd w:fill="FFFFFF" w:val="clear"/>
            <w:vAlign w:val="center"/>
          </w:tcPr>
          <w:p>
            <w:pPr>
              <w:pStyle w:val="TableContents"/>
              <w:bidi w:val="0"/>
              <w:spacing w:before="0" w:after="283"/>
              <w:jc w:val="left"/>
              <w:rPr/>
            </w:pPr>
            <w:r>
              <w:rPr/>
              <w:t> </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w:t>
            </w:r>
          </w:p>
        </w:tc>
        <w:tc>
          <w:tcPr>
            <w:tcW w:w="4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(2,334</w:t>
            </w:r>
          </w:p>
        </w:tc>
        <w:tc>
          <w:tcPr>
            <w:tcW w:w="4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operating lease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w:t>
            </w:r>
          </w:p>
        </w:tc>
        <w:tc>
          <w:tcPr>
            <w:tcW w:w="4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w:t>
            </w:r>
          </w:p>
        </w:tc>
        <w:tc>
          <w:tcPr>
            <w:tcW w:w="4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acquisition consideration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90,078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the components of identifiable intangible assets acquired and their estimated useful lives as of the date of acquisition (in thousands):</w:t>
      </w:r>
    </w:p>
    <w:p>
      <w:pPr>
        <w:pStyle w:val="TextBody"/>
        <w:bidi w:val="0"/>
        <w:jc w:val="both"/>
        <w:rPr/>
      </w:pPr>
      <w:r>
        <w:rPr/>
        <w:t> </w:t>
      </w:r>
    </w:p>
    <w:tbl>
      <w:tblPr>
        <w:tblW w:w="6891" w:type="dxa"/>
        <w:jc w:val="left"/>
        <w:tblInd w:w="0" w:type="dxa"/>
        <w:tblLayout w:type="fixed"/>
        <w:tblCellMar>
          <w:top w:w="28" w:type="dxa"/>
          <w:left w:w="28" w:type="dxa"/>
          <w:bottom w:w="28" w:type="dxa"/>
          <w:right w:w="28" w:type="dxa"/>
        </w:tblCellMar>
      </w:tblPr>
      <w:tblGrid>
        <w:gridCol w:w="2071"/>
        <w:gridCol w:w="146"/>
        <w:gridCol w:w="203"/>
        <w:gridCol w:w="623"/>
        <w:gridCol w:w="146"/>
        <w:gridCol w:w="146"/>
        <w:gridCol w:w="1351"/>
        <w:gridCol w:w="1814"/>
        <w:gridCol w:w="3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Useful Life (in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name and trademarks</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1" w:type="dxa"/>
            <w:tcBorders/>
            <w:shd w:fill="CFF0FC" w:val="clear"/>
            <w:vAlign w:val="center"/>
          </w:tcPr>
          <w:p>
            <w:pPr>
              <w:pStyle w:val="TableContents"/>
              <w:bidi w:val="0"/>
              <w:spacing w:before="0" w:after="283"/>
              <w:jc w:val="left"/>
              <w:rPr/>
            </w:pPr>
            <w:r>
              <w:rPr/>
              <w:t> </w:t>
            </w:r>
          </w:p>
        </w:tc>
        <w:tc>
          <w:tcPr>
            <w:tcW w:w="18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91" w:type="dxa"/>
            <w:tcBorders/>
            <w:shd w:fill="CFF0FC"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Developed technology</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351" w:type="dxa"/>
            <w:tcBorders/>
            <w:shd w:fill="FFFFFF" w:val="clear"/>
            <w:vAlign w:val="center"/>
          </w:tcPr>
          <w:p>
            <w:pPr>
              <w:pStyle w:val="TableContents"/>
              <w:bidi w:val="0"/>
              <w:spacing w:before="0" w:after="283"/>
              <w:jc w:val="left"/>
              <w:rPr/>
            </w:pPr>
            <w:r>
              <w:rPr/>
              <w:t> </w:t>
            </w:r>
          </w:p>
        </w:tc>
        <w:tc>
          <w:tcPr>
            <w:tcW w:w="18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91" w:type="dxa"/>
            <w:tcBorders/>
            <w:shd w:fill="FFFFFF" w:val="clear"/>
            <w:vAlign w:val="center"/>
          </w:tcPr>
          <w:p>
            <w:pPr>
              <w:pStyle w:val="TableContents"/>
              <w:bidi w:val="0"/>
              <w:spacing w:before="0" w:after="283"/>
              <w:jc w:val="left"/>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relationships</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51" w:type="dxa"/>
            <w:tcBorders/>
            <w:shd w:fill="CFF0FC" w:val="clear"/>
            <w:vAlign w:val="center"/>
          </w:tcPr>
          <w:p>
            <w:pPr>
              <w:pStyle w:val="TableContents"/>
              <w:bidi w:val="0"/>
              <w:spacing w:before="0" w:after="283"/>
              <w:jc w:val="left"/>
              <w:rPr/>
            </w:pPr>
            <w:r>
              <w:rPr/>
              <w:t> </w:t>
            </w:r>
          </w:p>
        </w:tc>
        <w:tc>
          <w:tcPr>
            <w:tcW w:w="18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intangible assets</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tcBorders/>
            <w:shd w:fill="FFFFFF" w:val="clear"/>
            <w:vAlign w:val="center"/>
          </w:tcPr>
          <w:p>
            <w:pPr>
              <w:pStyle w:val="TableContents"/>
              <w:bidi w:val="0"/>
              <w:spacing w:before="0" w:after="283"/>
              <w:jc w:val="left"/>
              <w:rPr/>
            </w:pPr>
            <w:r>
              <w:rPr/>
              <w:t> </w:t>
            </w:r>
          </w:p>
        </w:tc>
        <w:tc>
          <w:tcPr>
            <w:tcW w:w="18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Goodwill represents the future economic benefits arising from other assets that could not be individually identified and separately recognized, such as the acquired assembled workforce and synergies expected to be achieved from the integration of RE2. Goodwill is not deductible for tax purposes.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results of operations of RE2 from the date of acquisition have been included in the Company’s consolidated financial statements. Pro forma revenue and results of operations have not been presented because the historical results of RE2 are not material to the Company’s consolidated financial statements in any period presented.</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Goodwill and Intangible Assets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Goodwill</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sustained decreases in the Company’s publicly quoted share price during the fourth quarter of 2022, the Company conducted an analysis of its goodwill as of December 31, 2022, and performed a quantitative goodwill impairment assessment. The Company estimated the reporting unit's fair value under an income approach using a discounted cash flow model. The income approach used the reporting unit's projections of estimated operating results and cash flows that were discounted using a market participant discount rate based on the weighted-average cost of capital. The main assumptions supporting the cash flow projections include, but are not limited to, revenue growth, margins, discount rate, and terminal growth rate. The financial projections reflect management's best estimate of economic and market conditions over the projected period, including forecasted revenue growth, margins, capital expenditures, depreciation and amortization. Based on the Company’s quantitative goodwill impairment assessment, it concluded that the carrying value of its reporting unit exceeded its fair value and that all of its goodwill was fully impaired as of December 31, 2022.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Acquired 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Acquired intangible assets, net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5"/>
        <w:gridCol w:w="146"/>
        <w:gridCol w:w="341"/>
        <w:gridCol w:w="1050"/>
        <w:gridCol w:w="346"/>
        <w:gridCol w:w="346"/>
        <w:gridCol w:w="403"/>
        <w:gridCol w:w="1243"/>
        <w:gridCol w:w="146"/>
        <w:gridCol w:w="146"/>
        <w:gridCol w:w="470"/>
        <w:gridCol w:w="832"/>
        <w:gridCol w:w="346"/>
        <w:gridCol w:w="346"/>
        <w:gridCol w:w="625"/>
        <w:gridCol w:w="1488"/>
        <w:gridCol w:w="396"/>
      </w:tblGrid>
      <w:tr>
        <w:trPr/>
        <w:tc>
          <w:tcPr>
            <w:tcW w:w="1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5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5"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 Amount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 Amount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2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Weighted Average Remaining Useful Life </w:t>
              <w:br/>
              <w:t>(in years)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name and trademarks</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left"/>
              <w:rPr/>
            </w:pPr>
            <w:r>
              <w:rPr/>
              <w:t> </w:t>
            </w:r>
          </w:p>
        </w:tc>
        <w:tc>
          <w:tcPr>
            <w:tcW w:w="1488"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Developed technology</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0"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left"/>
              <w:rPr/>
            </w:pPr>
            <w:r>
              <w:rPr/>
              <w:t> </w:t>
            </w:r>
          </w:p>
        </w:tc>
        <w:tc>
          <w:tcPr>
            <w:tcW w:w="1488"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jc w:val="left"/>
              <w:rPr/>
            </w:pPr>
            <w:r>
              <w:rPr/>
              <w:t> </w:t>
            </w:r>
          </w:p>
        </w:tc>
      </w:tr>
      <w:tr>
        <w:trPr/>
        <w:tc>
          <w:tcPr>
            <w:tcW w:w="153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relationships</w:t>
            </w:r>
          </w:p>
        </w:tc>
        <w:tc>
          <w:tcPr>
            <w:tcW w:w="146" w:type="dxa"/>
            <w:tcBorders/>
            <w:shd w:fill="CFF0FC" w:val="cle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left"/>
              <w:rPr/>
            </w:pPr>
            <w:r>
              <w:rPr/>
              <w:t> </w:t>
            </w:r>
          </w:p>
        </w:tc>
        <w:tc>
          <w:tcPr>
            <w:tcW w:w="1488"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153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3"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5"/>
        <w:gridCol w:w="146"/>
        <w:gridCol w:w="341"/>
        <w:gridCol w:w="1050"/>
        <w:gridCol w:w="346"/>
        <w:gridCol w:w="346"/>
        <w:gridCol w:w="456"/>
        <w:gridCol w:w="1190"/>
        <w:gridCol w:w="146"/>
        <w:gridCol w:w="146"/>
        <w:gridCol w:w="319"/>
        <w:gridCol w:w="983"/>
        <w:gridCol w:w="346"/>
        <w:gridCol w:w="346"/>
        <w:gridCol w:w="900"/>
        <w:gridCol w:w="1213"/>
        <w:gridCol w:w="396"/>
      </w:tblGrid>
      <w:tr>
        <w:trPr/>
        <w:tc>
          <w:tcPr>
            <w:tcW w:w="1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5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5"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 Carrying Amount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Carrying Amount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2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Weighted Average Remaining Useful Life </w:t>
              <w:br/>
              <w:t>(in years)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name and trademarks</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left"/>
              <w:rPr/>
            </w:pPr>
            <w:r>
              <w:rPr/>
              <w:t> </w:t>
            </w:r>
          </w:p>
        </w:tc>
        <w:tc>
          <w:tcPr>
            <w:tcW w:w="12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96" w:type="dxa"/>
            <w:tcBorders/>
            <w:shd w:fill="CFF0FC"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Developed technology</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9"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8,320</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12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96" w:type="dxa"/>
            <w:tcBorders/>
            <w:shd w:fill="FFFFFF" w:val="clear"/>
            <w:vAlign w:val="center"/>
          </w:tcPr>
          <w:p>
            <w:pPr>
              <w:pStyle w:val="TableContents"/>
              <w:bidi w:val="0"/>
              <w:spacing w:before="0" w:after="283"/>
              <w:jc w:val="left"/>
              <w:rPr/>
            </w:pPr>
            <w:r>
              <w:rPr/>
              <w:t> </w:t>
            </w:r>
          </w:p>
        </w:tc>
      </w:tr>
      <w:tr>
        <w:trPr/>
        <w:tc>
          <w:tcPr>
            <w:tcW w:w="153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Customer relationships</w:t>
            </w:r>
          </w:p>
        </w:tc>
        <w:tc>
          <w:tcPr>
            <w:tcW w:w="146" w:type="dxa"/>
            <w:tcBorders/>
            <w:shd w:fill="CFF0FC" w:val="cle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left"/>
              <w:rPr/>
            </w:pPr>
            <w:r>
              <w:rPr/>
              <w:t> </w:t>
            </w:r>
          </w:p>
        </w:tc>
        <w:tc>
          <w:tcPr>
            <w:tcW w:w="12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153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19,116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113"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$2.8 million and $2.2 million of amortization expense during the years ended December 31, 2023 and 2022, respectively, which was recorded as intangible amortization expense in the consolidated statement of operations. As a result of the Company’s product development reprioritization announced in November 2023, the Company reassessed the remaining useful-lives of its intangible assets. The Company recorded $16.3 million of accelerated amortization expense during the year ended December 31, 2023, which is included in asset write-down and restructuring in the consolidated statements of operations.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Earn-Out Shares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result of the Business Combination each holder of Old Sarcos capital stock is entitled to Contingent Merger Consideration following the closing of the Business Combination in the form of earn-outs, up to an aggregate of 4,687,500 shares of Common Stock (the “Earn-Out Shares”). The Earn-Out Shares will become payable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4"/>
        </w:rPr>
      </w:pPr>
      <w:r>
        <w:rPr>
          <w:rFonts w:ascii="Times New Roman" w:hAnsi="Times New Roman"/>
          <w:color w:val="000000"/>
          <w:sz w:val="20"/>
        </w:rPr>
        <w:t>2,343,750</w:t>
      </w:r>
      <w:r>
        <w:rPr>
          <w:rFonts w:ascii="Times New Roman" w:hAnsi="Times New Roman"/>
          <w:color w:val="000000"/>
          <w:sz w:val="24"/>
        </w:rPr>
        <w:t xml:space="preserve"> </w:t>
      </w:r>
      <w:r>
        <w:rPr>
          <w:rFonts w:ascii="Times New Roman" w:hAnsi="Times New Roman"/>
          <w:color w:val="000000"/>
          <w:sz w:val="20"/>
        </w:rPr>
        <w:t>shares of Common Stock of the Company in the aggregate if the closing share price of a share of Common Stock of the Company is equal to or exceeds $90.00</w:t>
      </w:r>
      <w:r>
        <w:rPr>
          <w:rFonts w:ascii="Times New Roman" w:hAnsi="Times New Roman"/>
          <w:color w:val="000000"/>
          <w:sz w:val="24"/>
        </w:rPr>
        <w:t xml:space="preserve"> </w:t>
      </w:r>
      <w:r>
        <w:rPr>
          <w:rFonts w:ascii="Times New Roman" w:hAnsi="Times New Roman"/>
          <w:color w:val="000000"/>
          <w:sz w:val="20"/>
        </w:rPr>
        <w:t>for 20</w:t>
      </w:r>
      <w:r>
        <w:rPr>
          <w:rFonts w:ascii="Times New Roman" w:hAnsi="Times New Roman"/>
          <w:color w:val="000000"/>
          <w:sz w:val="24"/>
        </w:rPr>
        <w:t xml:space="preserve"> </w:t>
      </w:r>
      <w:r>
        <w:rPr>
          <w:rFonts w:ascii="Times New Roman" w:hAnsi="Times New Roman"/>
          <w:color w:val="000000"/>
          <w:sz w:val="20"/>
        </w:rPr>
        <w:t>trading days in any 30</w:t>
      </w:r>
      <w:r>
        <w:rPr>
          <w:rFonts w:ascii="Times New Roman" w:hAnsi="Times New Roman"/>
          <w:color w:val="000000"/>
          <w:sz w:val="24"/>
        </w:rPr>
        <w:t xml:space="preserve"> </w:t>
      </w:r>
      <w:r>
        <w:rPr>
          <w:rFonts w:ascii="Times New Roman" w:hAnsi="Times New Roman"/>
          <w:color w:val="000000"/>
          <w:sz w:val="20"/>
        </w:rPr>
        <w:t>consecutive trading day period at any time during the period beginning on the first anniversary of the Closing Date and ending on the fourth anniversary of the Closing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4"/>
        </w:rPr>
      </w:pPr>
      <w:r>
        <w:rPr>
          <w:rFonts w:ascii="Times New Roman" w:hAnsi="Times New Roman"/>
          <w:color w:val="000000"/>
          <w:sz w:val="20"/>
        </w:rPr>
        <w:t>2,343,750</w:t>
      </w:r>
      <w:r>
        <w:rPr>
          <w:rFonts w:ascii="Times New Roman" w:hAnsi="Times New Roman"/>
          <w:color w:val="000000"/>
          <w:sz w:val="24"/>
        </w:rPr>
        <w:t xml:space="preserve"> </w:t>
      </w:r>
      <w:r>
        <w:rPr>
          <w:rFonts w:ascii="Times New Roman" w:hAnsi="Times New Roman"/>
          <w:color w:val="000000"/>
          <w:sz w:val="20"/>
        </w:rPr>
        <w:t>shares of Common Stock of the Company if the closing share price of a share of Common Stock of the Company is equal to or exceeds $120.00</w:t>
      </w:r>
      <w:r>
        <w:rPr>
          <w:rFonts w:ascii="Times New Roman" w:hAnsi="Times New Roman"/>
          <w:color w:val="000000"/>
          <w:sz w:val="24"/>
        </w:rPr>
        <w:t xml:space="preserve"> </w:t>
      </w:r>
      <w:r>
        <w:rPr>
          <w:rFonts w:ascii="Times New Roman" w:hAnsi="Times New Roman"/>
          <w:color w:val="000000"/>
          <w:sz w:val="20"/>
        </w:rPr>
        <w:t>for 20</w:t>
      </w:r>
      <w:r>
        <w:rPr>
          <w:rFonts w:ascii="Times New Roman" w:hAnsi="Times New Roman"/>
          <w:color w:val="000000"/>
          <w:sz w:val="24"/>
        </w:rPr>
        <w:t xml:space="preserve"> </w:t>
      </w:r>
      <w:r>
        <w:rPr>
          <w:rFonts w:ascii="Times New Roman" w:hAnsi="Times New Roman"/>
          <w:color w:val="000000"/>
          <w:sz w:val="20"/>
        </w:rPr>
        <w:t>trading days in any 30</w:t>
      </w:r>
      <w:r>
        <w:rPr>
          <w:rFonts w:ascii="Times New Roman" w:hAnsi="Times New Roman"/>
          <w:color w:val="000000"/>
          <w:sz w:val="24"/>
        </w:rPr>
        <w:t xml:space="preserve"> </w:t>
      </w:r>
      <w:r>
        <w:rPr>
          <w:rFonts w:ascii="Times New Roman" w:hAnsi="Times New Roman"/>
          <w:color w:val="000000"/>
          <w:sz w:val="20"/>
        </w:rPr>
        <w:t>consecutive trading day period at any time during the period beginning on the first anniversary of the Closing Date and ending on the fifth anniversary of the Closing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Earn-Out Shares are treated as equity-linked instruments as opposed to shares outstanding, and as such are not included in shares outstanding on the Company’s condensed consolidated balance sheets. As of December 31, 2023, there remained 4,687,500 Earn-Out Shares potentially issuable.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8.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January 20, 2021, Rotor consummated the initial public offering (“IPO”) of 27,600,000 units (the “Units”), including the full exercise by the underwriters of their over-allotment option. Each Unit included one sixth of a share of Class A Common Stock and one half of one warrant (the “Public Warrants”). Simultaneously with the closing of the IPO, Rotor consummated the sale of 7,270,000 warrants (the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Public Warrants, that were recorded as equity instruments, and the Private Placement Warrants, that were recorded as warrant liabilities (together the “Warrants”). </w:t>
      </w:r>
    </w:p>
    <w:p>
      <w:pPr>
        <w:pStyle w:val="TextBody"/>
        <w:bidi w:val="0"/>
        <w:jc w:val="both"/>
        <w:rPr>
          <w:rFonts w:ascii="Times New Roman" w:hAnsi="Times New Roman"/>
          <w:color w:val="000000"/>
          <w:sz w:val="20"/>
        </w:rPr>
      </w:pPr>
      <w:r>
        <w:rPr>
          <w:rFonts w:ascii="Times New Roman" w:hAnsi="Times New Roman"/>
          <w:color w:val="000000"/>
          <w:sz w:val="20"/>
        </w:rPr>
        <w:t>Each whole Warrant entitles the registered holder to purchase one sixth of a share of the Company’s Common Stock at a price of $11.50 per warrant,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Warrants and a current prospectus relating to them is available (or the Company permits holders to exercise their Warrants on a cashless basis under the circumstances specified in the warrant agreement (the “Warrant Agreement”) entered into between Continental Stock Transfer &amp; Trust Company and Rotor and such shares are registered, qualified or exempt from registration under the securities laws of the state of residence of the holder. Pursuant to the Warrant Agreement, a Warrant holder may exercise its Warrants only for a whole number of shares of the Company’s Common Stock. The Warrants will expire five years after the completion of the Business Combination, or September 24, 2026, at 5:00 p.m., New York City time, or earlier upon redemption or liquidation. As of December 31, 2023, there were 20,549,453 Warrants outstanding.</w:t>
      </w:r>
    </w:p>
    <w:p>
      <w:pPr>
        <w:pStyle w:val="TextBody"/>
        <w:bidi w:val="0"/>
        <w:jc w:val="both"/>
        <w:rPr>
          <w:rFonts w:ascii="Times New Roman" w:hAnsi="Times New Roman"/>
          <w:color w:val="000000"/>
          <w:sz w:val="20"/>
        </w:rPr>
      </w:pPr>
      <w:r>
        <w:rPr>
          <w:rFonts w:ascii="Times New Roman" w:hAnsi="Times New Roman"/>
          <w:color w:val="000000"/>
          <w:sz w:val="20"/>
        </w:rPr>
        <w:t>The Company will not be obligated to deliver any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the Company satisfying its obligations described below with respect to registration, or a valid exemption from registration is available. No Warrant will be exercisable, and the Company will not be obligated to issue a share of Common Stock upon exercise of a Warrant unless the share of the Company’s Common Stock issuable upon such Warrant exercise has been registered, qualified or deemed to be exempt under the securities laws of the state of residence of the registered holder of the Warrants. If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a registration statement is not effective for the exercised Warrants, the purchaser in the Rotor IPO of a Unit containing such Warrant will have paid the full purchase price for the Unit solely for the share of the Company’s Common Stock underlying such Unit.</w:t>
      </w:r>
    </w:p>
    <w:p>
      <w:pPr>
        <w:pStyle w:val="TextBody"/>
        <w:bidi w:val="0"/>
        <w:jc w:val="both"/>
        <w:rPr>
          <w:rFonts w:ascii="Times New Roman" w:hAnsi="Times New Roman"/>
          <w:color w:val="000000"/>
          <w:sz w:val="20"/>
        </w:rPr>
      </w:pPr>
      <w:r>
        <w:rPr>
          <w:rFonts w:ascii="Times New Roman" w:hAnsi="Times New Roman"/>
          <w:color w:val="000000"/>
          <w:sz w:val="20"/>
        </w:rPr>
        <w:t xml:space="preserve">Except as described herein, the Private Placement Warrants have terms and provisions that are identical to those of the Public Warrants. If the Private Placement Warrants are held by holders other than the initial purchasers or their permitted transferees,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Private Placement Warrants will be redeemable by the Company in all redemption scenarios and exercisable by the holders on the same basis as the Public Warrants. The Private Placement Warrants will not be redeemable by the Company so long as they are held by the initial purchasers or their permitted transferees, subject to certain exceptions. The initial purchasers or their permitted transferees, have the option to exercise the Private Placement Warrants on a cashless basis.</w:t>
      </w:r>
    </w:p>
    <w:p>
      <w:pPr>
        <w:pStyle w:val="TextBody"/>
        <w:bidi w:val="0"/>
        <w:jc w:val="both"/>
        <w:rPr>
          <w:rFonts w:ascii="Times New Roman" w:hAnsi="Times New Roman"/>
          <w:sz w:val="20"/>
        </w:rPr>
      </w:pPr>
      <w:r>
        <w:rPr>
          <w:rFonts w:ascii="Times New Roman" w:hAnsi="Times New Roman"/>
          <w:i/>
          <w:color w:val="000000"/>
          <w:sz w:val="20"/>
        </w:rPr>
        <w:t>Redemption of Warrants When the Price per Share of the Company’s</w:t>
      </w:r>
      <w:r>
        <w:rPr>
          <w:rFonts w:ascii="Times New Roman" w:hAnsi="Times New Roman"/>
          <w:color w:val="000000"/>
          <w:sz w:val="20"/>
        </w:rPr>
        <w:t xml:space="preserve"> </w:t>
      </w:r>
      <w:r>
        <w:rPr>
          <w:rFonts w:ascii="Times New Roman" w:hAnsi="Times New Roman"/>
          <w:i/>
          <w:color w:val="000000"/>
          <w:sz w:val="20"/>
        </w:rPr>
        <w:t xml:space="preserve">Common Stock Equals or Exceeds $108.00. </w:t>
      </w:r>
      <w:r>
        <w:rPr>
          <w:rFonts w:ascii="Times New Roman" w:hAnsi="Times New Roman"/>
          <w:color w:val="000000"/>
          <w:sz w:val="20"/>
        </w:rPr>
        <w:t>Once the Warrants become exercisable, the Company may call the Warrants for redemption: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a price of $0.01 per Warrant;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upon not less than 30 days’ prior written notice of redemption (the “30-day redemption period”) to each Warrant holder;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and only if, the last reported sale price of the shares of the Company’s Common Stock for any 20 trading days within a 30-trading day period commencing after the Warrants become exercisable and ending three business days before the Company sends the notice of redemption to the Warrant holders (which is referred to as the “Reference Value”) equals or exceeds $108.00 per share (as adjusted for stock splits, stock dividends, reorganizations, recapitalizations and the like).</w:t>
      </w:r>
    </w:p>
    <w:p>
      <w:pPr>
        <w:pStyle w:val="TextBody"/>
        <w:bidi w:val="0"/>
        <w:jc w:val="both"/>
        <w:rPr>
          <w:rFonts w:ascii="Times New Roman" w:hAnsi="Times New Roman"/>
          <w:color w:val="000000"/>
          <w:sz w:val="20"/>
        </w:rPr>
      </w:pPr>
      <w:r>
        <w:rPr>
          <w:rFonts w:ascii="Times New Roman" w:hAnsi="Times New Roman"/>
          <w:color w:val="000000"/>
          <w:sz w:val="20"/>
        </w:rPr>
        <w:t>If and when the Warrants become redeemable by the Company, the Company may exercise its redemption right even if it is unable to register or qualify the underlying securities for sale under all applicable state securities laws. However, the Company will not redeem the Warrants unless an effective registration statement under the Securities Act covering the shares of the Company’s Common Stock issuable upon exercise of the Warrants is effective and a current prospectus relating to those shares of the Company’s Common Stock is available throughout the 30-day redemption period.</w:t>
      </w:r>
    </w:p>
    <w:p>
      <w:pPr>
        <w:pStyle w:val="TextBody"/>
        <w:bidi w:val="0"/>
        <w:jc w:val="both"/>
        <w:rPr>
          <w:rFonts w:ascii="Times New Roman" w:hAnsi="Times New Roman"/>
          <w:sz w:val="20"/>
        </w:rPr>
      </w:pPr>
      <w:r>
        <w:rPr>
          <w:rFonts w:ascii="Times New Roman" w:hAnsi="Times New Roman"/>
          <w:i/>
          <w:color w:val="000000"/>
          <w:sz w:val="20"/>
        </w:rPr>
        <w:t xml:space="preserve">Redemption of Warrants When the Price per Share of Our Common Stock Equals or Exceeds $60.00. </w:t>
      </w:r>
      <w:r>
        <w:rPr>
          <w:rFonts w:ascii="Times New Roman" w:hAnsi="Times New Roman"/>
          <w:color w:val="000000"/>
          <w:sz w:val="20"/>
        </w:rPr>
        <w:t>Once the Warrants become exercisable, the Company may redeem the outstanding Warrants (except as described herein with respect to the Private Placement Warrants if the Company does not utilize this redemption provision):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whole and not in part;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the Company’s Common Stock;</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and only if, the Reference Value (as defined above) equals or exceeds $60.00 per share (as adjusted for stock splits, stock dividends, reorganizations, recapitalizations and the like);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Reference Value is less than $108.00 per share (as adjusted for stock splits, stock dividends,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 Stock-based Compensation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2021 Stock Plan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Sarcos Technology and Robotics Corporation 2021 Equity Incentive Plan (the “2021 Plan”) provides stock options, restricted stock units (“RSUs”), restricted stock awards (“RSAs”), stock appreciation rights (“SARS”) and performance awards for issuance to Company employees, officers, directors, non-employee agents and consultants. In general, outstanding awards granted under the 2021 Plan vest over one to four years and, in the case of options, are exercisable up to 10 years from the date of grant. The maximum number of shares of Common Stock that may be issued pursuant to the 2021 Plan is (i) 5.0 million shares of Common Stock of the Company plus (ii)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or repurchased by the Company due to failure to vest, with the maximum number of shares to be added to the 2021 Plan pursuant to clause (ii) equal to 2.1 million shares of Common Stock. As of December 31, 2023, 2.7 million shares were available for grant under the 2021 Plan.</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2015 Stock Plan</w:t>
      </w:r>
    </w:p>
    <w:p>
      <w:pPr>
        <w:pStyle w:val="TextBody"/>
        <w:bidi w:val="0"/>
        <w:jc w:val="both"/>
        <w:rPr>
          <w:rFonts w:ascii="Times New Roman" w:hAnsi="Times New Roman"/>
          <w:color w:val="000000"/>
          <w:sz w:val="20"/>
        </w:rPr>
      </w:pPr>
      <w:r>
        <w:rPr>
          <w:rFonts w:ascii="Times New Roman" w:hAnsi="Times New Roman"/>
          <w:color w:val="000000"/>
          <w:sz w:val="20"/>
        </w:rPr>
        <w:t xml:space="preserve">The Old Sarcos 2015 Equity Incentive Plan (the “2015 Plan”) provided stock options, RSUs, RSAs, SARS and performance awards for issuance to Company employees, officers, directors, non-employee agents and consultants. Outstanding awards under the 2015 Plan generally vest over three to five years and are exercisable up to 10 years from the date of grant. Unvested options are forfeited upon termination. No further awards may be made under the 2015 Plan. Any forfeited awards will be added to the 2021 Plan as described above.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RE2 Stock Plans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acquisition of RE2, the Company assumed the outstanding stock plans and certain outstanding stock options of RE2. These stock options are governed by the plans and agreements under which they were originally issued, but are now exercisable for shares of Common Stock.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Stock Option Activity</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summarizes the Company’s stock option activity for the years ended December 31, 2023 and 2022: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7"/>
        <w:gridCol w:w="146"/>
        <w:gridCol w:w="177"/>
        <w:gridCol w:w="1078"/>
        <w:gridCol w:w="166"/>
        <w:gridCol w:w="146"/>
        <w:gridCol w:w="460"/>
        <w:gridCol w:w="1200"/>
        <w:gridCol w:w="146"/>
        <w:gridCol w:w="146"/>
        <w:gridCol w:w="803"/>
        <w:gridCol w:w="1825"/>
        <w:gridCol w:w="146"/>
        <w:gridCol w:w="146"/>
        <w:gridCol w:w="363"/>
        <w:gridCol w:w="1115"/>
        <w:gridCol w:w="395"/>
      </w:tblGrid>
      <w:tr>
        <w:trPr/>
        <w:tc>
          <w:tcPr>
            <w:tcW w:w="1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4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2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28"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78" w:type="dxa"/>
            <w:gridSpan w:val="2"/>
            <w:tcBorders/>
            <w:shd w:fill="FFFFFF" w:val="clear"/>
            <w:vAlign w:val="center"/>
          </w:tcPr>
          <w:p>
            <w:pPr>
              <w:pStyle w:val="TableContents"/>
              <w:bidi w:val="0"/>
              <w:spacing w:before="0" w:after="283"/>
              <w:jc w:val="center"/>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17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Weighted-Average Remaining Contractual 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Aggregate Intrinsic Value </w:t>
              <w:br/>
              <w:t>(in thousands)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 December 31, 2021</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10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1,671,282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left"/>
              <w:rPr/>
            </w:pPr>
            <w:r>
              <w:rPr/>
              <w:t> </w:t>
            </w:r>
          </w:p>
        </w:tc>
        <w:tc>
          <w:tcPr>
            <w:tcW w:w="18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67,173</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1747" w:type="dxa"/>
            <w:tcBorders/>
            <w:shd w:fill="FFFFFF" w:val="clear"/>
            <w:vAlign w:val="center"/>
          </w:tcPr>
          <w:p>
            <w:pPr>
              <w:pStyle w:val="TableContents"/>
              <w:bidi w:val="0"/>
              <w:spacing w:before="0" w:after="283"/>
              <w:ind w:left="200" w:right="0" w:firstLine="200"/>
              <w:jc w:val="left"/>
              <w:rPr>
                <w:rFonts w:ascii="Times New Roman" w:hAnsi="Times New Roman"/>
                <w:sz w:val="18"/>
              </w:rPr>
            </w:pPr>
            <w:r>
              <w:rPr>
                <w:rFonts w:ascii="Times New Roman" w:hAnsi="Times New Roman"/>
                <w:color w:val="000000"/>
                <w:sz w:val="18"/>
              </w:rPr>
              <w:t>Granted </w:t>
            </w:r>
            <w:r>
              <w:rPr>
                <w:rFonts w:ascii="Times New Roman" w:hAnsi="Times New Roman"/>
                <w:color w:val="000000"/>
                <w:sz w:val="12"/>
              </w:rPr>
              <w:t>(a)</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1,255,904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0"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2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8" w:type="dxa"/>
            <w:gridSpan w:val="2"/>
            <w:tcBorders/>
            <w:shd w:fill="FFFFFF" w:val="cle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395" w:type="dxa"/>
            <w:tcBorders/>
            <w:shd w:fill="FFFFFF" w:val="clear"/>
            <w:vAlign w:val="center"/>
          </w:tcPr>
          <w:p>
            <w:pPr>
              <w:pStyle w:val="TableContents"/>
              <w:bidi w:val="0"/>
              <w:spacing w:before="0" w:after="283"/>
              <w:ind w:left="0" w:right="0" w:firstLine="200"/>
              <w:jc w:val="right"/>
              <w:rPr/>
            </w:pPr>
            <w:r>
              <w:rPr/>
              <w:t> </w:t>
            </w:r>
          </w:p>
        </w:tc>
      </w:tr>
      <w:tr>
        <w:trPr/>
        <w:tc>
          <w:tcPr>
            <w:tcW w:w="17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10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(315,730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660"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2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pPr>
            <w:r>
              <w:rPr/>
              <w:t> </w:t>
            </w:r>
          </w:p>
        </w:tc>
        <w:tc>
          <w:tcPr>
            <w:tcW w:w="111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6,050</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17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Cancelled</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7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 December 31, 2022</w:t>
            </w:r>
          </w:p>
        </w:tc>
        <w:tc>
          <w:tcPr>
            <w:tcW w:w="146"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10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2,377,503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left"/>
              <w:rPr/>
            </w:pPr>
            <w:r>
              <w:rPr/>
              <w:t> </w:t>
            </w:r>
          </w:p>
        </w:tc>
        <w:tc>
          <w:tcPr>
            <w:tcW w:w="182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17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0"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62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8" w:type="dxa"/>
            <w:gridSpan w:val="2"/>
            <w:tcBorders/>
            <w:shd w:fill="FFFFFF" w:val="cle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395" w:type="dxa"/>
            <w:tcBorders/>
            <w:shd w:fill="FFFFFF" w:val="clear"/>
            <w:vAlign w:val="center"/>
          </w:tcPr>
          <w:p>
            <w:pPr>
              <w:pStyle w:val="TableContents"/>
              <w:bidi w:val="0"/>
              <w:spacing w:before="0" w:after="283"/>
              <w:ind w:left="0" w:right="0" w:firstLine="200"/>
              <w:jc w:val="right"/>
              <w:rPr/>
            </w:pPr>
            <w:r>
              <w:rPr/>
              <w:t> </w:t>
            </w:r>
          </w:p>
        </w:tc>
      </w:tr>
      <w:tr>
        <w:trPr/>
        <w:tc>
          <w:tcPr>
            <w:tcW w:w="17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Cancelled</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(1,391,619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6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6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74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 December 31, 2023</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2,845,084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 December 31, 2022</w:t>
            </w:r>
          </w:p>
        </w:tc>
        <w:tc>
          <w:tcPr>
            <w:tcW w:w="146" w:type="dxa"/>
            <w:tcBorders/>
            <w:shd w:fill="CFF0FC" w:val="cle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 December 31, 2023</w:t>
            </w:r>
          </w:p>
        </w:tc>
        <w:tc>
          <w:tcPr>
            <w:tcW w:w="146" w:type="dxa"/>
            <w:tcBorders/>
            <w:shd w:fill="FFFFFF" w:val="cle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(a) In connection with the acquisition of RE2, the Company assumed certain outstanding options to acquire RE2 common stock which, following such assumption, were converted to options to acquire 0.6 million shares of the Company’s Common Stock at a weighted-average exercise price of $6.30 per share.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For options granted during the years ended December 31, 2023 and 2022, the weighted-average grant-date fair value was $1.81 and $5.76 per option,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utilizes the Black-Scholes option pricing model for estimating the fair value of options granted, which requires the input of subjective assumptions. The Company calculates the fair value of each option grant on the grant date using the following assumptions: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Expected Term—Options granted generally vest over a period of 48 months and expire 10 years from date of grant. The Company uses the simplified method when calculating expected term due to insufficient historical information.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Expected Volatility—Due to insufficient historical information the Company uses a blended approach when calculating expected volatility. The Company uses its historic data for the periods it has been publicly-traded and a benchmark of other comparable public companies’ volatility rates.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Expected Dividend Yield—The dividend yield used is zero as the Company does not have a history of paying dividends on its Common Stock and does not anticipate doing so in the foreseeable future.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Risk-Free Interest Rate—The interest rates used are based on the implied yield available on U.S. Treasury zero-coupon issues with an equivalent remaining term equal to the expected life of the award.</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calculated the fair value of options granted under the 2021 Plan on the respective dates of grant using the following weighted average assumptions:</w:t>
      </w:r>
    </w:p>
    <w:p>
      <w:pPr>
        <w:pStyle w:val="TextBody"/>
        <w:bidi w:val="0"/>
        <w:jc w:val="left"/>
        <w:rPr/>
      </w:pPr>
      <w:r>
        <w:rPr/>
        <w:t> </w:t>
      </w:r>
    </w:p>
    <w:tbl>
      <w:tblPr>
        <w:tblW w:w="4975" w:type="dxa"/>
        <w:jc w:val="left"/>
        <w:tblInd w:w="0" w:type="dxa"/>
        <w:tblLayout w:type="fixed"/>
        <w:tblCellMar>
          <w:top w:w="28" w:type="dxa"/>
          <w:left w:w="28" w:type="dxa"/>
          <w:bottom w:w="28" w:type="dxa"/>
          <w:right w:w="28" w:type="dxa"/>
        </w:tblCellMar>
      </w:tblPr>
      <w:tblGrid>
        <w:gridCol w:w="1846"/>
        <w:gridCol w:w="146"/>
        <w:gridCol w:w="252"/>
        <w:gridCol w:w="888"/>
        <w:gridCol w:w="256"/>
        <w:gridCol w:w="146"/>
        <w:gridCol w:w="252"/>
        <w:gridCol w:w="888"/>
        <w:gridCol w:w="30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Options</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(in years)</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2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40"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w:t>
            </w:r>
          </w:p>
        </w:tc>
        <w:tc>
          <w:tcPr>
            <w:tcW w:w="301" w:type="dxa"/>
            <w:tcBorders/>
            <w:shd w:fill="CFF0FC"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color w:val="000000"/>
              </w:rPr>
            </w:pPr>
            <w:r>
              <w:rPr>
                <w:color w:val="000000"/>
              </w:rPr>
              <w:t>—</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color w:val="000000"/>
              </w:rPr>
            </w:pPr>
            <w:r>
              <w:rPr>
                <w:color w:val="000000"/>
              </w:rPr>
              <w:t>—</w:t>
            </w:r>
          </w:p>
        </w:tc>
        <w:tc>
          <w:tcPr>
            <w:tcW w:w="3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69.96</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52" w:type="dxa"/>
            <w:tcBorders/>
            <w:shd w:fill="CFF0FC" w:val="clear"/>
            <w:vAlign w:val="center"/>
          </w:tcPr>
          <w:p>
            <w:pPr>
              <w:pStyle w:val="TableContents"/>
              <w:bidi w:val="0"/>
              <w:spacing w:before="0" w:after="283"/>
              <w:jc w:val="left"/>
              <w:rPr/>
            </w:pPr>
            <w:r>
              <w:rPr/>
              <w:t> </w:t>
            </w:r>
          </w:p>
        </w:tc>
        <w:tc>
          <w:tcPr>
            <w:tcW w:w="8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68.52</w:t>
            </w:r>
          </w:p>
        </w:tc>
        <w:tc>
          <w:tcPr>
            <w:tcW w:w="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summarizes the Company’s employee RSU activity for the years ended December 31, 2023 and 2022:</w:t>
      </w:r>
    </w:p>
    <w:p>
      <w:pPr>
        <w:pStyle w:val="TextBody"/>
        <w:bidi w:val="0"/>
        <w:jc w:val="left"/>
        <w:rPr/>
      </w:pPr>
      <w:r>
        <w:rPr/>
        <w:t> </w:t>
      </w:r>
    </w:p>
    <w:tbl>
      <w:tblPr>
        <w:tblW w:w="8579" w:type="dxa"/>
        <w:jc w:val="left"/>
        <w:tblInd w:w="0" w:type="dxa"/>
        <w:tblLayout w:type="fixed"/>
        <w:tblCellMar>
          <w:top w:w="28" w:type="dxa"/>
          <w:left w:w="28" w:type="dxa"/>
          <w:bottom w:w="28" w:type="dxa"/>
          <w:right w:w="28" w:type="dxa"/>
        </w:tblCellMar>
      </w:tblPr>
      <w:tblGrid>
        <w:gridCol w:w="2566"/>
        <w:gridCol w:w="346"/>
        <w:gridCol w:w="227"/>
        <w:gridCol w:w="1288"/>
        <w:gridCol w:w="237"/>
        <w:gridCol w:w="209"/>
        <w:gridCol w:w="918"/>
        <w:gridCol w:w="2397"/>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center"/>
              <w:rPr/>
            </w:pPr>
            <w:r>
              <w:rPr/>
              <w:t> </w:t>
            </w:r>
          </w:p>
        </w:tc>
        <w:tc>
          <w:tcPr>
            <w:tcW w:w="5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Restricted Stock Units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3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Grant-Date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 December 31, 2021</w:t>
            </w:r>
          </w:p>
        </w:tc>
        <w:tc>
          <w:tcPr>
            <w:tcW w:w="3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299,597</w:t>
            </w:r>
          </w:p>
        </w:tc>
        <w:tc>
          <w:tcPr>
            <w:tcW w:w="237"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91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346"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551,529</w:t>
            </w:r>
          </w:p>
        </w:tc>
        <w:tc>
          <w:tcPr>
            <w:tcW w:w="237"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3315"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19.51</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Released</w:t>
            </w:r>
          </w:p>
        </w:tc>
        <w:tc>
          <w:tcPr>
            <w:tcW w:w="3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(188,067</w:t>
            </w:r>
          </w:p>
        </w:tc>
        <w:tc>
          <w:tcPr>
            <w:tcW w:w="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9" w:type="dxa"/>
            <w:tcBorders/>
            <w:shd w:fill="CFF0FC" w:val="clear"/>
            <w:vAlign w:val="center"/>
          </w:tcPr>
          <w:p>
            <w:pPr>
              <w:pStyle w:val="TableContents"/>
              <w:bidi w:val="0"/>
              <w:spacing w:before="0" w:after="283"/>
              <w:jc w:val="right"/>
              <w:rPr/>
            </w:pPr>
            <w:r>
              <w:rPr/>
              <w:t> </w:t>
            </w:r>
          </w:p>
        </w:tc>
        <w:tc>
          <w:tcPr>
            <w:tcW w:w="918" w:type="dxa"/>
            <w:tcBorders/>
            <w:shd w:fill="CFF0FC" w:val="clear"/>
            <w:vAlign w:val="center"/>
          </w:tcPr>
          <w:p>
            <w:pPr>
              <w:pStyle w:val="TableContents"/>
              <w:bidi w:val="0"/>
              <w:spacing w:before="0" w:after="283"/>
              <w:jc w:val="left"/>
              <w:rPr/>
            </w:pPr>
            <w:r>
              <w:rPr/>
              <w:t> </w:t>
            </w:r>
          </w:p>
        </w:tc>
        <w:tc>
          <w:tcPr>
            <w:tcW w:w="23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Cancelled</w:t>
            </w:r>
          </w:p>
        </w:tc>
        <w:tc>
          <w:tcPr>
            <w:tcW w:w="346" w:type="dxa"/>
            <w:tcBorders/>
            <w:shd w:fill="FFFFFF" w:val="cle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(60,498</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9" w:type="dxa"/>
            <w:tcBorders/>
            <w:shd w:fill="FFFFFF" w:val="clear"/>
            <w:vAlign w:val="center"/>
          </w:tcPr>
          <w:p>
            <w:pPr>
              <w:pStyle w:val="TableContents"/>
              <w:bidi w:val="0"/>
              <w:spacing w:before="0" w:after="283"/>
              <w:jc w:val="right"/>
              <w:rPr/>
            </w:pPr>
            <w:r>
              <w:rPr/>
              <w:t> </w:t>
            </w:r>
          </w:p>
        </w:tc>
        <w:tc>
          <w:tcPr>
            <w:tcW w:w="3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 December 31, 2022</w:t>
            </w:r>
          </w:p>
        </w:tc>
        <w:tc>
          <w:tcPr>
            <w:tcW w:w="346" w:type="dxa"/>
            <w:tcBorders/>
            <w:shd w:fill="CFF0FC" w:val="clear"/>
            <w:vAlign w:val="center"/>
          </w:tcPr>
          <w:p>
            <w:pPr>
              <w:pStyle w:val="TableContents"/>
              <w:bidi w:val="0"/>
              <w:spacing w:before="0" w:after="283"/>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602,561</w:t>
            </w:r>
          </w:p>
        </w:tc>
        <w:tc>
          <w:tcPr>
            <w:tcW w:w="237"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91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66"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1,383,938</w:t>
            </w:r>
          </w:p>
        </w:tc>
        <w:tc>
          <w:tcPr>
            <w:tcW w:w="237"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918" w:type="dxa"/>
            <w:tcBorders/>
            <w:shd w:fill="FFFFFF" w:val="clear"/>
            <w:vAlign w:val="center"/>
          </w:tcPr>
          <w:p>
            <w:pPr>
              <w:pStyle w:val="TableContents"/>
              <w:bidi w:val="0"/>
              <w:spacing w:before="0" w:after="283"/>
              <w:jc w:val="left"/>
              <w:rPr/>
            </w:pPr>
            <w:r>
              <w:rPr/>
              <w:t> </w:t>
            </w:r>
          </w:p>
        </w:tc>
        <w:tc>
          <w:tcPr>
            <w:tcW w:w="239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66"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Released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27" w:type="dxa"/>
            <w:tcBorders/>
            <w:shd w:fill="CFF0FC" w:val="clear"/>
            <w:vAlign w:val="center"/>
          </w:tcPr>
          <w:p>
            <w:pPr>
              <w:pStyle w:val="TableContents"/>
              <w:bidi w:val="0"/>
              <w:spacing w:before="0" w:after="283"/>
              <w:jc w:val="left"/>
              <w:rPr/>
            </w:pPr>
            <w:r>
              <w:rPr/>
              <w:t> </w:t>
            </w:r>
          </w:p>
        </w:tc>
        <w:tc>
          <w:tcPr>
            <w:tcW w:w="12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(219,175</w:t>
            </w:r>
          </w:p>
        </w:tc>
        <w:tc>
          <w:tcPr>
            <w:tcW w:w="2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9" w:type="dxa"/>
            <w:tcBorders/>
            <w:shd w:fill="CFF0FC" w:val="clear"/>
            <w:vAlign w:val="center"/>
          </w:tcPr>
          <w:p>
            <w:pPr>
              <w:pStyle w:val="TableContents"/>
              <w:bidi w:val="0"/>
              <w:spacing w:before="0" w:after="283"/>
              <w:jc w:val="right"/>
              <w:rPr/>
            </w:pPr>
            <w:r>
              <w:rPr/>
              <w:t> </w:t>
            </w:r>
          </w:p>
        </w:tc>
        <w:tc>
          <w:tcPr>
            <w:tcW w:w="918" w:type="dxa"/>
            <w:tcBorders/>
            <w:shd w:fill="CFF0FC" w:val="clear"/>
            <w:vAlign w:val="center"/>
          </w:tcPr>
          <w:p>
            <w:pPr>
              <w:pStyle w:val="TableContents"/>
              <w:bidi w:val="0"/>
              <w:spacing w:before="0" w:after="283"/>
              <w:jc w:val="left"/>
              <w:rPr/>
            </w:pPr>
            <w:r>
              <w:rPr/>
              <w:t> </w:t>
            </w:r>
          </w:p>
        </w:tc>
        <w:tc>
          <w:tcPr>
            <w:tcW w:w="23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66"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Cancelled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(587,209</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9" w:type="dxa"/>
            <w:tcBorders/>
            <w:shd w:fill="FFFFFF" w:val="clear"/>
            <w:vAlign w:val="center"/>
          </w:tcPr>
          <w:p>
            <w:pPr>
              <w:pStyle w:val="TableContents"/>
              <w:bidi w:val="0"/>
              <w:spacing w:before="0" w:after="283"/>
              <w:jc w:val="right"/>
              <w:rPr/>
            </w:pPr>
            <w:r>
              <w:rPr/>
              <w:t> </w:t>
            </w:r>
          </w:p>
        </w:tc>
        <w:tc>
          <w:tcPr>
            <w:tcW w:w="3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 December 31, 2023</w:t>
            </w:r>
          </w:p>
        </w:tc>
        <w:tc>
          <w:tcPr>
            <w:tcW w:w="346" w:type="dxa"/>
            <w:tcBorders/>
            <w:shd w:fill="CFF0FC" w:val="cle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1,180,115</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right"/>
              <w:rPr/>
            </w:pPr>
            <w:r>
              <w:rPr/>
              <w:t> </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RSUs granted generally include service vesting periods of one to four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summarizes the Company’s employee RSA activity for the year ended December 31, 2022:</w:t>
      </w:r>
    </w:p>
    <w:p>
      <w:pPr>
        <w:pStyle w:val="TextBody"/>
        <w:bidi w:val="0"/>
        <w:jc w:val="both"/>
        <w:rPr/>
      </w:pPr>
      <w:r>
        <w:rPr/>
        <w:t> </w:t>
      </w:r>
    </w:p>
    <w:tbl>
      <w:tblPr>
        <w:tblW w:w="8428" w:type="dxa"/>
        <w:jc w:val="left"/>
        <w:tblInd w:w="0" w:type="dxa"/>
        <w:tblLayout w:type="fixed"/>
        <w:tblCellMar>
          <w:top w:w="28" w:type="dxa"/>
          <w:left w:w="28" w:type="dxa"/>
          <w:bottom w:w="28" w:type="dxa"/>
          <w:right w:w="28" w:type="dxa"/>
        </w:tblCellMar>
      </w:tblPr>
      <w:tblGrid>
        <w:gridCol w:w="2566"/>
        <w:gridCol w:w="146"/>
        <w:gridCol w:w="246"/>
        <w:gridCol w:w="1269"/>
        <w:gridCol w:w="263"/>
        <w:gridCol w:w="232"/>
        <w:gridCol w:w="918"/>
        <w:gridCol w:w="2397"/>
        <w:gridCol w:w="3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53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Restricted Stock Awards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shd w:fill="FFFFFF" w:val="clear"/>
            <w:vAlign w:val="center"/>
          </w:tcPr>
          <w:p>
            <w:pPr>
              <w:pStyle w:val="TableContents"/>
              <w:bidi w:val="0"/>
              <w:spacing w:before="0" w:after="283"/>
              <w:jc w:val="center"/>
              <w:rPr/>
            </w:pPr>
            <w:r>
              <w:rPr/>
              <w:t> </w:t>
            </w:r>
          </w:p>
        </w:tc>
        <w:tc>
          <w:tcPr>
            <w:tcW w:w="3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Grant-Date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 December 31, 2021</w:t>
            </w:r>
          </w:p>
        </w:tc>
        <w:tc>
          <w:tcPr>
            <w:tcW w:w="146" w:type="dxa"/>
            <w:tcBorders/>
            <w:shd w:fill="CFF0FC" w:val="cle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246" w:type="dxa"/>
            <w:tcBorders/>
            <w:shd w:fill="CFF0FC" w:val="clear"/>
            <w:vAlign w:val="center"/>
          </w:tcPr>
          <w:p>
            <w:pPr>
              <w:pStyle w:val="TableContents"/>
              <w:bidi w:val="0"/>
              <w:spacing w:before="0" w:after="283"/>
              <w:jc w:val="left"/>
              <w:rPr/>
            </w:pPr>
            <w:r>
              <w:rPr/>
              <w:t> </w:t>
            </w:r>
          </w:p>
        </w:tc>
        <w:tc>
          <w:tcPr>
            <w:tcW w:w="126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854,871</w:t>
            </w:r>
          </w:p>
        </w:tc>
        <w:tc>
          <w:tcPr>
            <w:tcW w:w="263"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right"/>
              <w:rPr/>
            </w:pPr>
            <w:r>
              <w:rPr/>
              <w:t> </w:t>
            </w:r>
          </w:p>
        </w:tc>
        <w:tc>
          <w:tcPr>
            <w:tcW w:w="91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4,479</w:t>
            </w:r>
          </w:p>
        </w:tc>
        <w:tc>
          <w:tcPr>
            <w:tcW w:w="263"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right"/>
              <w:rPr/>
            </w:pPr>
            <w:r>
              <w:rPr/>
              <w:t> </w:t>
            </w:r>
          </w:p>
        </w:tc>
        <w:tc>
          <w:tcPr>
            <w:tcW w:w="918" w:type="dxa"/>
            <w:tcBorders/>
            <w:shd w:fill="FFFFFF" w:val="clear"/>
            <w:vAlign w:val="center"/>
          </w:tcPr>
          <w:p>
            <w:pPr>
              <w:pStyle w:val="TableContents"/>
              <w:bidi w:val="0"/>
              <w:spacing w:before="0" w:after="283"/>
              <w:jc w:val="left"/>
              <w:rPr/>
            </w:pPr>
            <w:r>
              <w:rPr/>
              <w:t> </w:t>
            </w:r>
          </w:p>
        </w:tc>
        <w:tc>
          <w:tcPr>
            <w:tcW w:w="239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Released</w:t>
            </w:r>
          </w:p>
        </w:tc>
        <w:tc>
          <w:tcPr>
            <w:tcW w:w="146" w:type="dxa"/>
            <w:tcBorders/>
            <w:shd w:fill="CFF0FC" w:val="cle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(859,350</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2" w:type="dxa"/>
            <w:tcBorders/>
            <w:shd w:fill="CFF0FC" w:val="clear"/>
            <w:vAlign w:val="center"/>
          </w:tcPr>
          <w:p>
            <w:pPr>
              <w:pStyle w:val="TableContents"/>
              <w:bidi w:val="0"/>
              <w:spacing w:before="0" w:after="283"/>
              <w:jc w:val="righ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 December 31, 2022</w:t>
            </w:r>
          </w:p>
        </w:tc>
        <w:tc>
          <w:tcPr>
            <w:tcW w:w="146" w:type="dxa"/>
            <w:tcBorders/>
            <w:shd w:fill="FFFFFF" w:val="cle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right"/>
              <w:rPr/>
            </w:pPr>
            <w:r>
              <w:rPr/>
              <w:t> </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did not have any RSA activity for the year ended December 31,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recognized stock-based compensation expense in the consolidated statement of operations and comprehensive loss as follows: </w:t>
      </w:r>
    </w:p>
    <w:p>
      <w:pPr>
        <w:pStyle w:val="TextBody"/>
        <w:bidi w:val="0"/>
        <w:jc w:val="both"/>
        <w:rPr/>
      </w:pPr>
      <w:r>
        <w:rPr/>
        <w:t> </w:t>
      </w:r>
    </w:p>
    <w:tbl>
      <w:tblPr>
        <w:tblW w:w="6360" w:type="dxa"/>
        <w:jc w:val="left"/>
        <w:tblInd w:w="0" w:type="dxa"/>
        <w:tblLayout w:type="fixed"/>
        <w:tblCellMar>
          <w:top w:w="28" w:type="dxa"/>
          <w:left w:w="28" w:type="dxa"/>
          <w:bottom w:w="28" w:type="dxa"/>
          <w:right w:w="28" w:type="dxa"/>
        </w:tblCellMar>
      </w:tblPr>
      <w:tblGrid>
        <w:gridCol w:w="3201"/>
        <w:gridCol w:w="146"/>
        <w:gridCol w:w="272"/>
        <w:gridCol w:w="836"/>
        <w:gridCol w:w="203"/>
        <w:gridCol w:w="203"/>
        <w:gridCol w:w="272"/>
        <w:gridCol w:w="836"/>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391" w:type="dxa"/>
            <w:tcBorders/>
            <w:shd w:fill="CFF0FC" w:val="clear"/>
            <w:vAlign w:val="center"/>
          </w:tcPr>
          <w:p>
            <w:pPr>
              <w:pStyle w:val="TableContents"/>
              <w:bidi w:val="0"/>
              <w:spacing w:before="0" w:after="283"/>
              <w:jc w:val="left"/>
              <w:rPr/>
            </w:pPr>
            <w:r>
              <w:rPr/>
              <w:t> </w:t>
            </w:r>
          </w:p>
        </w:tc>
      </w:tr>
      <w:tr>
        <w:trPr/>
        <w:tc>
          <w:tcPr>
            <w:tcW w:w="3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w:t>
            </w:r>
          </w:p>
        </w:tc>
        <w:tc>
          <w:tcPr>
            <w:tcW w:w="203"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w:t>
            </w:r>
          </w:p>
        </w:tc>
        <w:tc>
          <w:tcPr>
            <w:tcW w:w="391" w:type="dxa"/>
            <w:tcBorders/>
            <w:shd w:fill="FFFFFF" w:val="clear"/>
            <w:vAlign w:val="center"/>
          </w:tcPr>
          <w:p>
            <w:pPr>
              <w:pStyle w:val="TableContents"/>
              <w:bidi w:val="0"/>
              <w:spacing w:before="0" w:after="283"/>
              <w:jc w:val="left"/>
              <w:rPr/>
            </w:pPr>
            <w:r>
              <w:rPr/>
              <w:t> </w:t>
            </w:r>
          </w:p>
        </w:tc>
      </w:tr>
      <w:tr>
        <w:trPr/>
        <w:tc>
          <w:tcPr>
            <w:tcW w:w="32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w:t>
            </w:r>
          </w:p>
        </w:tc>
        <w:tc>
          <w:tcPr>
            <w:tcW w:w="391" w:type="dxa"/>
            <w:tcBorders/>
            <w:shd w:fill="CFF0FC" w:val="clear"/>
            <w:vAlign w:val="center"/>
          </w:tcPr>
          <w:p>
            <w:pPr>
              <w:pStyle w:val="TableContents"/>
              <w:bidi w:val="0"/>
              <w:spacing w:before="0" w:after="283"/>
              <w:jc w:val="left"/>
              <w:rPr/>
            </w:pPr>
            <w:r>
              <w:rPr/>
              <w:t> </w:t>
            </w:r>
          </w:p>
        </w:tc>
      </w:tr>
      <w:tr>
        <w:trPr/>
        <w:tc>
          <w:tcPr>
            <w:tcW w:w="3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5,606</w:t>
            </w:r>
          </w:p>
        </w:tc>
        <w:tc>
          <w:tcPr>
            <w:tcW w:w="203"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33,983</w:t>
            </w:r>
          </w:p>
        </w:tc>
        <w:tc>
          <w:tcPr>
            <w:tcW w:w="391" w:type="dxa"/>
            <w:tcBorders/>
            <w:shd w:fill="FFFFFF" w:val="clear"/>
            <w:vAlign w:val="center"/>
          </w:tcPr>
          <w:p>
            <w:pPr>
              <w:pStyle w:val="TableContents"/>
              <w:bidi w:val="0"/>
              <w:spacing w:before="0" w:after="283"/>
              <w:jc w:val="left"/>
              <w:rPr/>
            </w:pPr>
            <w:r>
              <w:rPr/>
              <w:t> </w:t>
            </w:r>
          </w:p>
        </w:tc>
      </w:tr>
      <w:tr>
        <w:trPr/>
        <w:tc>
          <w:tcPr>
            <w:tcW w:w="32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write-down and restructuring</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4,395</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12,043</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there was approximately $10.4 million of unrecognized stock-based compensation cost, which is expected to be recognized over a weighted average period of 2.5 years.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10. Net loss per Share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 sets forth the computation of the basic and diluted net loss per share attributable to common stockholders for the twelve months ended December 31, 2023 and 2022, respectively: </w:t>
      </w:r>
    </w:p>
    <w:p>
      <w:pPr>
        <w:pStyle w:val="TextBody"/>
        <w:bidi w:val="0"/>
        <w:jc w:val="left"/>
        <w:rPr/>
      </w:pPr>
      <w:r>
        <w:rPr/>
        <w:t> </w:t>
      </w:r>
    </w:p>
    <w:tbl>
      <w:tblPr>
        <w:tblW w:w="8162" w:type="dxa"/>
        <w:jc w:val="left"/>
        <w:tblInd w:w="0" w:type="dxa"/>
        <w:tblLayout w:type="fixed"/>
        <w:tblCellMar>
          <w:top w:w="28" w:type="dxa"/>
          <w:left w:w="28" w:type="dxa"/>
          <w:bottom w:w="28" w:type="dxa"/>
          <w:right w:w="28" w:type="dxa"/>
        </w:tblCellMar>
      </w:tblPr>
      <w:tblGrid>
        <w:gridCol w:w="4221"/>
        <w:gridCol w:w="146"/>
        <w:gridCol w:w="263"/>
        <w:gridCol w:w="1230"/>
        <w:gridCol w:w="222"/>
        <w:gridCol w:w="196"/>
        <w:gridCol w:w="263"/>
        <w:gridCol w:w="1230"/>
        <w:gridCol w:w="391"/>
      </w:tblGrid>
      <w:tr>
        <w:trPr/>
        <w:tc>
          <w:tcPr>
            <w:tcW w:w="4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21" w:type="dxa"/>
            <w:tcBorders/>
            <w:shd w:fill="FFFFFF" w:val="clear"/>
            <w:vAlign w:val="center"/>
          </w:tcPr>
          <w:p>
            <w:pPr>
              <w:pStyle w:val="TableContents"/>
              <w:bidi w:val="0"/>
              <w:spacing w:before="0" w:after="283"/>
              <w:jc w:val="left"/>
              <w:rPr>
                <w:rFonts w:cs="Times New Roman"/>
                <w:color w:val="000000"/>
                <w:szCs w:val="18"/>
              </w:rPr>
            </w:pPr>
            <w:r>
              <w:rPr>
                <w:rFonts w:cs="Times New Roman"/>
                <w:color w:val="000000"/>
                <w:szCs w:val="18"/>
              </w:rPr>
              <w:t>﻿</w:t>
            </w:r>
          </w:p>
        </w:tc>
        <w:tc>
          <w:tcPr>
            <w:tcW w:w="146" w:type="dxa"/>
            <w:tcBorders/>
            <w:shd w:fill="FFFFFF" w:val="clear"/>
            <w:vAlign w:val="center"/>
          </w:tcPr>
          <w:p>
            <w:pPr>
              <w:pStyle w:val="TableContents"/>
              <w:bidi w:val="0"/>
              <w:spacing w:before="0" w:after="283"/>
              <w:jc w:val="left"/>
              <w:rPr/>
            </w:pPr>
            <w:r>
              <w:rPr/>
              <w:t> </w:t>
            </w:r>
          </w:p>
        </w:tc>
        <w:tc>
          <w:tcPr>
            <w:tcW w:w="34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twelve months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 except share and per share data)</w:t>
            </w:r>
          </w:p>
        </w:tc>
        <w:tc>
          <w:tcPr>
            <w:tcW w:w="146" w:type="dxa"/>
            <w:tcBorders/>
            <w:shd w:fill="FFFFFF" w:val="clear"/>
            <w:vAlign w:val="center"/>
          </w:tcPr>
          <w:p>
            <w:pPr>
              <w:pStyle w:val="TableContents"/>
              <w:bidi w:val="0"/>
              <w:spacing w:before="0" w:after="283"/>
              <w:jc w:val="left"/>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w:t>
            </w:r>
          </w:p>
        </w:tc>
        <w:tc>
          <w:tcPr>
            <w:tcW w:w="146" w:type="dxa"/>
            <w:tcBorders/>
            <w:shd w:fill="CFF0FC" w:val="clear"/>
            <w:vAlign w:val="center"/>
          </w:tcPr>
          <w:p>
            <w:pPr>
              <w:pStyle w:val="TableContents"/>
              <w:bidi w:val="0"/>
              <w:spacing w:before="0" w:after="283"/>
              <w:jc w:val="left"/>
              <w:rPr/>
            </w:pPr>
            <w:r>
              <w:rPr/>
              <w:t> </w:t>
            </w:r>
          </w:p>
        </w:tc>
        <w:tc>
          <w:tcPr>
            <w:tcW w:w="1493" w:type="dxa"/>
            <w:gridSpan w:val="2"/>
            <w:tcBorders/>
            <w:shd w:fill="CFF0FC" w:val="cle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222"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493" w:type="dxa"/>
            <w:gridSpan w:val="2"/>
            <w:tcBorders/>
            <w:shd w:fill="CFF0FC" w:val="cle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(115,593</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Denominator:</w:t>
            </w:r>
          </w:p>
        </w:tc>
        <w:tc>
          <w:tcPr>
            <w:tcW w:w="146" w:type="dxa"/>
            <w:tcBorders/>
            <w:shd w:fill="CFF0FC" w:val="clear"/>
            <w:vAlign w:val="center"/>
          </w:tcPr>
          <w:p>
            <w:pPr>
              <w:pStyle w:val="TableContents"/>
              <w:bidi w:val="0"/>
              <w:spacing w:before="0" w:after="283"/>
              <w:jc w:val="left"/>
              <w:rPr/>
            </w:pPr>
            <w:r>
              <w:rPr/>
              <w:t> </w:t>
            </w:r>
          </w:p>
        </w:tc>
        <w:tc>
          <w:tcPr>
            <w:tcW w:w="1493" w:type="dxa"/>
            <w:gridSpan w:val="2"/>
            <w:tcBorders/>
            <w:shd w:fill="CFF0FC" w:val="cle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222"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493" w:type="dxa"/>
            <w:gridSpan w:val="2"/>
            <w:tcBorders/>
            <w:shd w:fill="CFF0FC" w:val="clear"/>
            <w:vAlign w:val="center"/>
          </w:tcPr>
          <w:p>
            <w:pPr>
              <w:pStyle w:val="TableContents"/>
              <w:bidi w:val="0"/>
              <w:spacing w:before="0" w:after="283"/>
              <w:jc w:val="right"/>
              <w:rPr>
                <w:rFonts w:cs="Times New Roman"/>
                <w:color w:val="000000"/>
                <w:szCs w:val="18"/>
              </w:rPr>
            </w:pPr>
            <w:r>
              <w:rPr>
                <w:rFonts w:cs="Times New Roman"/>
                <w:color w:val="000000"/>
                <w:szCs w:val="18"/>
              </w:rPr>
              <w:t>﻿</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Weighted average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25,639,270</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24,473,212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 net loss per share</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2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Anti-dilutive securities, excluded</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12,137,608</w:t>
            </w:r>
          </w:p>
        </w:tc>
        <w:tc>
          <w:tcPr>
            <w:tcW w:w="222"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11,325,388</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Basic and diluted net loss per share attributable to common stockholders is the same for the twelve months ended December 31, 2023 and 2022, as the inclusion of potential shares of Common Stock would have been anti</w:t>
        <w:noBreakHyphen/>
        <w:t xml:space="preserve">dilutive for the periods presented.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Loss before provision for income taxes was $115.6 million and $161.0 million for the years ended December 31, 2023 and 2022, respectively, all of which was generated in the United States. The Company’s provision for income taxes consists of the following: </w:t>
      </w:r>
    </w:p>
    <w:tbl>
      <w:tblPr>
        <w:tblW w:w="6710" w:type="dxa"/>
        <w:jc w:val="left"/>
        <w:tblInd w:w="0" w:type="dxa"/>
        <w:tblLayout w:type="fixed"/>
        <w:tblCellMar>
          <w:top w:w="28" w:type="dxa"/>
          <w:left w:w="28" w:type="dxa"/>
          <w:bottom w:w="28" w:type="dxa"/>
          <w:right w:w="28" w:type="dxa"/>
        </w:tblCellMar>
      </w:tblPr>
      <w:tblGrid>
        <w:gridCol w:w="2551"/>
        <w:gridCol w:w="146"/>
        <w:gridCol w:w="344"/>
        <w:gridCol w:w="1162"/>
        <w:gridCol w:w="292"/>
        <w:gridCol w:w="256"/>
        <w:gridCol w:w="344"/>
        <w:gridCol w:w="1004"/>
        <w:gridCol w:w="61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4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twelve months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left"/>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w:t>
            </w:r>
          </w:p>
        </w:tc>
        <w:tc>
          <w:tcPr>
            <w:tcW w:w="146" w:type="dxa"/>
            <w:tcBorders/>
            <w:shd w:fill="CFF0FC" w:val="clear"/>
            <w:vAlign w:val="center"/>
          </w:tcPr>
          <w:p>
            <w:pPr>
              <w:pStyle w:val="TableContents"/>
              <w:bidi w:val="0"/>
              <w:spacing w:before="0" w:after="283"/>
              <w:jc w:val="left"/>
              <w:rPr/>
            </w:pPr>
            <w:r>
              <w:rPr/>
              <w:t> </w:t>
            </w:r>
          </w:p>
        </w:tc>
        <w:tc>
          <w:tcPr>
            <w:tcW w:w="1506" w:type="dxa"/>
            <w:gridSpan w:val="2"/>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1348"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2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Federal</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2" w:type="dxa"/>
            <w:tcBorders/>
            <w:shd w:fill="FFFFFF" w:val="clear"/>
            <w:vAlign w:val="center"/>
          </w:tcPr>
          <w:p>
            <w:pPr>
              <w:pStyle w:val="TableContents"/>
              <w:bidi w:val="0"/>
              <w:spacing w:before="0" w:after="283"/>
              <w:jc w:val="right"/>
              <w:rPr>
                <w:color w:val="000000"/>
              </w:rPr>
            </w:pPr>
            <w:r>
              <w:rPr>
                <w:color w:val="000000"/>
              </w:rPr>
              <w:t>—</w:t>
            </w:r>
          </w:p>
        </w:tc>
        <w:tc>
          <w:tcPr>
            <w:tcW w:w="292"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4"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State</w:t>
            </w:r>
          </w:p>
        </w:tc>
        <w:tc>
          <w:tcPr>
            <w:tcW w:w="146" w:type="dxa"/>
            <w:tcBorders/>
            <w:shd w:fill="CFF0FC" w:val="cle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CFF0FC" w:val="cle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5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9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6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w:t>
            </w:r>
          </w:p>
        </w:tc>
        <w:tc>
          <w:tcPr>
            <w:tcW w:w="146" w:type="dxa"/>
            <w:tcBorders/>
            <w:shd w:fill="CFF0FC" w:val="clear"/>
            <w:vAlign w:val="center"/>
          </w:tcPr>
          <w:p>
            <w:pPr>
              <w:pStyle w:val="TableContents"/>
              <w:bidi w:val="0"/>
              <w:spacing w:before="0" w:after="283"/>
              <w:jc w:val="left"/>
              <w:rPr/>
            </w:pPr>
            <w:r>
              <w:rPr/>
              <w:t> </w:t>
            </w:r>
          </w:p>
        </w:tc>
        <w:tc>
          <w:tcPr>
            <w:tcW w:w="1506" w:type="dxa"/>
            <w:gridSpan w:val="2"/>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1348"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2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Federal</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24,972</w:t>
            </w:r>
          </w:p>
        </w:tc>
        <w:tc>
          <w:tcPr>
            <w:tcW w:w="292"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25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State</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9,109</w:t>
            </w:r>
          </w:p>
        </w:tc>
        <w:tc>
          <w:tcPr>
            <w:tcW w:w="292"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5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 in valuation allowance</w:t>
            </w:r>
          </w:p>
        </w:tc>
        <w:tc>
          <w:tcPr>
            <w:tcW w:w="146" w:type="dxa"/>
            <w:tcBorders/>
            <w:shd w:fill="FFFFFF" w:val="cle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(34,081</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5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deferred</w:t>
            </w:r>
          </w:p>
        </w:tc>
        <w:tc>
          <w:tcPr>
            <w:tcW w:w="146" w:type="dxa"/>
            <w:tcBorders/>
            <w:shd w:fill="CFF0FC" w:val="cle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income tax benefit (expense)</w:t>
            </w:r>
          </w:p>
        </w:tc>
        <w:tc>
          <w:tcPr>
            <w:tcW w:w="146" w:type="dxa"/>
            <w:tcBorders/>
            <w:shd w:fill="FFFFFF" w:val="cle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6" w:type="dxa"/>
            <w:tcBorders/>
            <w:shd w:fill="FFFFFF" w:val="cle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provision for income tax differs from the amount computed by applying the statutory federal income tax rate to income before taxes as follows:</w:t>
      </w:r>
    </w:p>
    <w:tbl>
      <w:tblPr>
        <w:tblW w:w="7156" w:type="dxa"/>
        <w:jc w:val="left"/>
        <w:tblInd w:w="0" w:type="dxa"/>
        <w:tblLayout w:type="fixed"/>
        <w:tblCellMar>
          <w:top w:w="28" w:type="dxa"/>
          <w:left w:w="28" w:type="dxa"/>
          <w:bottom w:w="28" w:type="dxa"/>
          <w:right w:w="28" w:type="dxa"/>
        </w:tblCellMar>
      </w:tblPr>
      <w:tblGrid>
        <w:gridCol w:w="3196"/>
        <w:gridCol w:w="146"/>
        <w:gridCol w:w="311"/>
        <w:gridCol w:w="1026"/>
        <w:gridCol w:w="546"/>
        <w:gridCol w:w="311"/>
        <w:gridCol w:w="311"/>
        <w:gridCol w:w="898"/>
        <w:gridCol w:w="4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4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twelve months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lef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Statutory federal income tax rate</w:t>
            </w:r>
          </w:p>
        </w:tc>
        <w:tc>
          <w:tcPr>
            <w:tcW w:w="146"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5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1"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4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State tax provision</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5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4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valuation allowance</w:t>
            </w:r>
          </w:p>
        </w:tc>
        <w:tc>
          <w:tcPr>
            <w:tcW w:w="146"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5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1"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4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valuation allowance - acquisition</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color w:val="000000"/>
              </w:rPr>
            </w:pPr>
            <w:r>
              <w:rPr>
                <w:color w:val="000000"/>
              </w:rPr>
              <w:t>—</w:t>
            </w:r>
          </w:p>
        </w:tc>
        <w:tc>
          <w:tcPr>
            <w:tcW w:w="5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4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credits</w:t>
            </w:r>
          </w:p>
        </w:tc>
        <w:tc>
          <w:tcPr>
            <w:tcW w:w="146"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5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41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effective tax rate</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5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4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 impairment</w:t>
            </w:r>
          </w:p>
        </w:tc>
        <w:tc>
          <w:tcPr>
            <w:tcW w:w="146"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color w:val="000000"/>
              </w:rPr>
            </w:pPr>
            <w:r>
              <w:rPr>
                <w:color w:val="000000"/>
              </w:rPr>
              <w:t>—</w:t>
            </w:r>
          </w:p>
        </w:tc>
        <w:tc>
          <w:tcPr>
            <w:tcW w:w="5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4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revaluation</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color w:val="000000"/>
              </w:rPr>
            </w:pPr>
            <w:r>
              <w:rPr>
                <w:color w:val="000000"/>
              </w:rPr>
              <w:t>—</w:t>
            </w:r>
          </w:p>
        </w:tc>
        <w:tc>
          <w:tcPr>
            <w:tcW w:w="5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4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Disallowed executive compensation</w:t>
            </w:r>
          </w:p>
        </w:tc>
        <w:tc>
          <w:tcPr>
            <w:tcW w:w="146"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5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1"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4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w:t>
            </w:r>
          </w:p>
        </w:tc>
        <w:tc>
          <w:tcPr>
            <w:tcW w:w="146"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5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1" w:type="dxa"/>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41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Unrecognized tax benefits</w:t>
            </w:r>
          </w:p>
        </w:tc>
        <w:tc>
          <w:tcPr>
            <w:tcW w:w="146"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5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4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righ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provision for income taxes</w:t>
            </w:r>
          </w:p>
        </w:tc>
        <w:tc>
          <w:tcPr>
            <w:tcW w:w="146" w:type="dxa"/>
            <w:tcBorders/>
            <w:shd w:fill="CFF0FC" w:val="clear"/>
            <w:vAlign w:val="center"/>
          </w:tcPr>
          <w:p>
            <w:pPr>
              <w:pStyle w:val="TableContents"/>
              <w:bidi w:val="0"/>
              <w:spacing w:before="0" w:after="283"/>
              <w:jc w:val="righ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1" w:type="dxa"/>
            <w:tcBorders/>
            <w:shd w:fill="CFF0FC" w:val="clear"/>
            <w:vAlign w:val="center"/>
          </w:tcPr>
          <w:p>
            <w:pPr>
              <w:pStyle w:val="TableContents"/>
              <w:bidi w:val="0"/>
              <w:spacing w:before="0" w:after="283"/>
              <w:jc w:val="righ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rFonts w:ascii="Times New Roman" w:hAnsi="Times New Roman"/>
          <w:color w:val="000000"/>
          <w:sz w:val="20"/>
        </w:rPr>
      </w:pPr>
      <w:r>
        <w:rPr>
          <w:rFonts w:ascii="Times New Roman" w:hAnsi="Times New Roman"/>
          <w:color w:val="000000"/>
          <w:sz w:val="20"/>
        </w:rPr>
        <w:t>As of December 31, 2023 and 2022, the net deferred tax assets consisted of the following:</w:t>
      </w:r>
    </w:p>
    <w:tbl>
      <w:tblPr>
        <w:tblW w:w="5754" w:type="dxa"/>
        <w:jc w:val="left"/>
        <w:tblInd w:w="0" w:type="dxa"/>
        <w:tblLayout w:type="fixed"/>
        <w:tblCellMar>
          <w:top w:w="28" w:type="dxa"/>
          <w:left w:w="28" w:type="dxa"/>
          <w:bottom w:w="28" w:type="dxa"/>
          <w:right w:w="28" w:type="dxa"/>
        </w:tblCellMar>
      </w:tblPr>
      <w:tblGrid>
        <w:gridCol w:w="3171"/>
        <w:gridCol w:w="146"/>
        <w:gridCol w:w="196"/>
        <w:gridCol w:w="661"/>
        <w:gridCol w:w="166"/>
        <w:gridCol w:w="146"/>
        <w:gridCol w:w="196"/>
        <w:gridCol w:w="661"/>
        <w:gridCol w:w="411"/>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 compensation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credits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experimental capitalization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Lease liability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Intangibles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operating loss carryforwards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34,205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gross deferred tax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54,990</w:t>
            </w:r>
          </w:p>
        </w:tc>
        <w:tc>
          <w:tcPr>
            <w:tcW w:w="411" w:type="dxa"/>
            <w:tcBorders/>
            <w:shd w:fill="FFFFFF" w:val="clear"/>
            <w:vAlign w:val="center"/>
          </w:tcPr>
          <w:p>
            <w:pPr>
              <w:pStyle w:val="TableContents"/>
              <w:bidi w:val="0"/>
              <w:spacing w:before="0" w:after="283"/>
              <w:jc w:val="left"/>
              <w:rPr/>
            </w:pPr>
            <w:r>
              <w:rPr/>
              <w:t> </w:t>
            </w:r>
          </w:p>
        </w:tc>
      </w:tr>
      <w:tr>
        <w:trPr/>
        <w:tc>
          <w:tcPr>
            <w:tcW w:w="31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valuation allowance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deferred tax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(1,978</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1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Intangibles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Right-of-use-asset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7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7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deferred tax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Valuation allowances are established when necessary to reduce deferred tax assets, including temporary differences and net operating loss carryforwards, to the amount expected to be realized in the future. FASB guidance indicates that forming a conclusion that a valuation allowance is not needed is difficult when there is negative evidence such as cumulative losses in recent years. The Company had cumulative losses from continuing operations for the three-year period ended December 31, 2023, all of which were in the United States. The Company considered this negative evidence along with all other available positive and negative evidence and concluded that, at December 31, 2023, it is more likely than not that the Company’s U.S. deferred tax assets will not be realized. As of December 31, 2023, a valuation allowance has been recorded on the Company’s deferred tax assets to recognize only the portion of the deferred tax asset that is more likely than not to be recognized. The Company’s total valuation allowance was $78.6 million at December 31, 2023 and $44.5 million at December 31, 2022. The Company’s valuation allowance increased $34.1 million and $9.1 million during the fiscal years ended December 31, 2023 and 2022, respectively. A reconciliation of the beginning and ending amount of the valuation allowance is as follows:</w:t>
      </w:r>
    </w:p>
    <w:p>
      <w:pPr>
        <w:pStyle w:val="TextBody"/>
        <w:bidi w:val="0"/>
        <w:jc w:val="both"/>
        <w:rPr/>
      </w:pPr>
      <w:r>
        <w:rPr/>
        <w:t> </w:t>
      </w:r>
    </w:p>
    <w:tbl>
      <w:tblPr>
        <w:tblW w:w="5239" w:type="dxa"/>
        <w:jc w:val="left"/>
        <w:tblInd w:w="0" w:type="dxa"/>
        <w:tblLayout w:type="fixed"/>
        <w:tblCellMar>
          <w:top w:w="28" w:type="dxa"/>
          <w:left w:w="28" w:type="dxa"/>
          <w:bottom w:w="28" w:type="dxa"/>
          <w:right w:w="28" w:type="dxa"/>
        </w:tblCellMar>
      </w:tblPr>
      <w:tblGrid>
        <w:gridCol w:w="3016"/>
        <w:gridCol w:w="146"/>
        <w:gridCol w:w="196"/>
        <w:gridCol w:w="601"/>
        <w:gridCol w:w="146"/>
        <w:gridCol w:w="146"/>
        <w:gridCol w:w="196"/>
        <w:gridCol w:w="60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Valuation allowance at beginning of year</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35,476</w:t>
            </w:r>
          </w:p>
        </w:tc>
        <w:tc>
          <w:tcPr>
            <w:tcW w:w="19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valuation allowance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Valuation allowance at end of year</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the Company had cumulative federal net operating losses of approximately $201.5 million. Of these losses, $7.6 million were generated in 2015 through 2017, prior to the Tax Cuts and Jobs Act enactment, and will expire between 2035 to 2037 if not utilized. The remaining net operating losses have an indefinite carryforward period. As of December 31, 2022, the Company had cumulative federal net operating losses of approximately $141.3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the Company had a $8.4 million deferred tax asset related to a federal research and development credit carryforward. This credit has been offset by a liability for unrecognized tax benefits of $1.8 million. If not utilized, the credits will expire between 2034 through 2043. As of December 31, 2022, the Company had a $6.6 million deferred tax asset related to a federal research and development credit carryforward.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2023, the Company had state net operating losses of approximately $145.5 million. Of the total state net operating losses, approximately $116.2 million is attributable to Utah. Utah law allows unused net operating losses arising in tax years beginning after December 31, 2017 to be carried forward indefinitely. Of the total $116.2 million of Utah net operating losses, $109.9 million are carried forward indefinitely, and the remaining net operating losses will expire beginning in 2035 through 2037. Of the total state net operating losses, approximately $27.0 million is attributable to Pennsylvania. Pennsylvania net operating losses will expire between 2034 through 2043. The remaining state net operating loss carryforwards are attributable to various other states with varying expiration periods. As of December 31, 2022, the Company had cumulative state net operating losses of approximately $107.8 million. Of the total state net operation losses as of December 31, 2022, approximately $96.8 million is attributable to Utah.</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December 31, 2023, the Company had a $3.1 million deferred tax asset related to state research and development credits carryforward. Of the total state research and development credits, approximately $1.8 million is attributable to Utah. This credit has been offset by a liability for unrecognized tax benefits of $0.3 million. If not utilized, the credits will expire between 2029 through 2037. Of the total state research and development credits, approximately $1.3 million is attributable to Pennsylvania. This credit has been offset by a liability for unrecognized tax benefits of $0.3 million. If not utilized, the credits will expire between 2033 through 2036. As of December 31, 2022, the Company had a $2.0 million deferred tax asset related to a Utah research and development credit carryforward. This credit has been offset by a liability for unrecognized tax benefits of $1.0 million.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ASC Topic 740-10-05 requires that the impact of a tax position be recognized in the financial statements if that position is more likely than not of being sustained on audit, based on the technical merits of the position. As of December 31, 2023, the Company had a $2.4 million liability for unrecognized tax benefits, all of which is netted against deferred tax assets for related carryforward credits. As of December 31, 2022, the Company had a $3.9 million liability for unrecognized tax benefits, all of which is netted against deferred tax assets for related carryforward credits. The Company expects no material changes to the liability for unrecognized tax benefits in the next 12 months. Interest and penalties associated with uncertain tax positions are recorded as a component of income tax expense. There would be no impact to the Company’s effective rate if the unrecognized tax benefits were recognized. A reconciliation of the beginning and ending amounts of unrecognized benefits is as follows:</w:t>
      </w:r>
    </w:p>
    <w:p>
      <w:pPr>
        <w:pStyle w:val="TextBody"/>
        <w:bidi w:val="0"/>
        <w:jc w:val="left"/>
        <w:rPr/>
      </w:pPr>
      <w:r>
        <w:rPr/>
        <w:t> </w:t>
      </w:r>
    </w:p>
    <w:tbl>
      <w:tblPr>
        <w:tblW w:w="6157" w:type="dxa"/>
        <w:jc w:val="left"/>
        <w:tblInd w:w="0" w:type="dxa"/>
        <w:tblLayout w:type="fixed"/>
        <w:tblCellMar>
          <w:top w:w="28" w:type="dxa"/>
          <w:left w:w="28" w:type="dxa"/>
          <w:bottom w:w="28" w:type="dxa"/>
          <w:right w:w="28" w:type="dxa"/>
        </w:tblCellMar>
      </w:tblPr>
      <w:tblGrid>
        <w:gridCol w:w="3676"/>
        <w:gridCol w:w="146"/>
        <w:gridCol w:w="235"/>
        <w:gridCol w:w="686"/>
        <w:gridCol w:w="199"/>
        <w:gridCol w:w="175"/>
        <w:gridCol w:w="235"/>
        <w:gridCol w:w="614"/>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lef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Unrecognized tax benefits at the beginning of year</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3,898</w:t>
            </w:r>
          </w:p>
        </w:tc>
        <w:tc>
          <w:tcPr>
            <w:tcW w:w="199"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2,634</w:t>
            </w:r>
          </w:p>
        </w:tc>
        <w:tc>
          <w:tcPr>
            <w:tcW w:w="191" w:type="dxa"/>
            <w:tcBorders/>
            <w:shd w:fill="CFF0FC" w:val="cle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increases – current year tax positions</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w:t>
            </w:r>
          </w:p>
        </w:tc>
        <w:tc>
          <w:tcPr>
            <w:tcW w:w="19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w:t>
            </w:r>
          </w:p>
        </w:tc>
        <w:tc>
          <w:tcPr>
            <w:tcW w:w="191" w:type="dxa"/>
            <w:tcBorders/>
            <w:shd w:fill="FFFFFF" w:val="clear"/>
            <w:vAlign w:val="center"/>
          </w:tcPr>
          <w:p>
            <w:pPr>
              <w:pStyle w:val="TableContents"/>
              <w:bidi w:val="0"/>
              <w:spacing w:before="0" w:after="283"/>
              <w:jc w:val="left"/>
              <w:rPr/>
            </w:pPr>
            <w:r>
              <w:rPr/>
              <w:t> </w:t>
            </w:r>
          </w:p>
        </w:tc>
      </w:tr>
      <w:tr>
        <w:trPr/>
        <w:tc>
          <w:tcPr>
            <w:tcW w:w="36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decreases – prior year tax positions</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Unrecognized tax benefits at end of year</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2,446</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The Company files U.S. and various state tax returns in jurisdictions with various statutes of limitation. As of December 31, 2023, the tax returns for fiscal year 2015 through fiscal year 2022 remain subject to examination. Annual tax provisions include amounts considered necessary to pay assessments that may result from examination of prior year tax returns; however, the amount ultimately paid upon resolution of issues may differ materially from the amount accrued. As of December 31, 2023, there are no income tax returns currently under audit.</w:t>
      </w:r>
    </w:p>
    <w:p>
      <w:pPr>
        <w:pStyle w:val="TextBody"/>
        <w:bidi w:val="0"/>
        <w:jc w:val="both"/>
        <w:rPr>
          <w:rFonts w:ascii="Times New Roman" w:hAnsi="Times New Roman"/>
          <w:color w:val="000000"/>
          <w:sz w:val="20"/>
        </w:rPr>
      </w:pPr>
      <w:r>
        <w:rPr>
          <w:rFonts w:ascii="Times New Roman" w:hAnsi="Times New Roman"/>
          <w:color w:val="000000"/>
          <w:sz w:val="20"/>
        </w:rPr>
        <w:t>On August 16, 2022, the Inflation Reduction Act (“IRA”) was signed into law by President Biden. The IRA includes a corporate minimum tax of 15% on certain large corporations with greater than $1 billion in average adjusted financial statement income and an excise tax on certain stock repurchases executed after December 31, 2022. There are no impacts to the Company in 2023, and the Company does not expect a material impact on its consolidated financial statements in the future for the IRA.</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been and may in the future be involved in various claims, lawsuits, investigations and other proceedings in the normal course of business. The Company accrues a liability when management believes information available prior to the issuance of its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The Company has not recorded any material loss contingency related to legal proceedings in the balance sheets as of December 31, 2023 and 2022.</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Indemnifications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ordinary course of business, the Company provides or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December 31, 2023 and 2022, the Company has not accrued a liability for these indemnification obligations as the likelihood of incurring a material payment obligation in connection with these indemnification obligations is either not probable or not reasonably estimable due to the unique facts and circumstances involved.</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13. Segment information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 reportable segment and operating segment structure. </w:t>
      </w:r>
    </w:p>
    <w:p>
      <w:pPr>
        <w:pStyle w:val="TextBody"/>
        <w:bidi w:val="0"/>
        <w:jc w:val="both"/>
        <w:rPr>
          <w:rFonts w:ascii="Times New Roman" w:hAnsi="Times New Roman"/>
          <w:color w:val="000000"/>
          <w:sz w:val="20"/>
        </w:rPr>
      </w:pPr>
      <w:r>
        <w:rPr>
          <w:rFonts w:ascii="Times New Roman" w:hAnsi="Times New Roman"/>
          <w:color w:val="000000"/>
          <w:sz w:val="20"/>
        </w:rPr>
        <w:t>The Company’s revenue is derived primarily from U.S. customers. During the year ended December 31, 2023, the Company had $1.9 million of revenue earned from customers located outside the United States. During the year ended December 31, 2022, the Company had $2.8 million of revenue earned from customers located outside the United States.</w:t>
      </w:r>
    </w:p>
    <w:p>
      <w:pPr>
        <w:pStyle w:val="TextBody"/>
        <w:bidi w:val="0"/>
        <w:jc w:val="both"/>
        <w:rPr>
          <w:rFonts w:ascii="Times New Roman" w:hAnsi="Times New Roman"/>
          <w:color w:val="000000"/>
          <w:sz w:val="20"/>
        </w:rPr>
      </w:pPr>
      <w:r>
        <w:rPr>
          <w:rFonts w:ascii="Times New Roman" w:hAnsi="Times New Roman"/>
          <w:color w:val="000000"/>
          <w:sz w:val="20"/>
        </w:rPr>
        <w:t>All long-lived assets are maintained in the United States. All losses are attributable to operations within the United States.</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14. Employee Benefits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defined contribution 401(k) plans covering substantially all employees as of December 31, 2023. The plans allow employees to defer up to 100% of their employment income (subject to annual contribution limits imposed by the I.R.S.) after all taxes and applicable benefit deductions. In April 2022 the Company began providing employees with 401(k) matching contributions. The Company recognized $1.5 million and $0.9 million of expense for 401(k) matching contributions during the twelve months ended December 31, 2023 and 2022,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1" w:name="item_9_changes_in_disagreements_with_acc"/>
      <w:bookmarkEnd w:id="31"/>
      <w:r>
        <w:rPr>
          <w:rFonts w:ascii="Times New Roman" w:hAnsi="Times New Roman"/>
          <w:b/>
          <w:color w:val="000000"/>
          <w:sz w:val="20"/>
        </w:rPr>
        <w:t>Item 9. Changes in and Disagreements with Accountants on Accounting and Financial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sz w:val="20"/>
        </w:rPr>
      </w:pPr>
      <w:bookmarkStart w:id="32" w:name="item_9a_controls_procedures"/>
      <w:bookmarkEnd w:id="32"/>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jc w:val="both"/>
        <w:rPr>
          <w:rFonts w:ascii="Times New Roman" w:hAnsi="Times New Roman"/>
          <w:color w:val="000000"/>
          <w:sz w:val="20"/>
        </w:rPr>
      </w:pPr>
      <w:r>
        <w:rPr>
          <w:rFonts w:ascii="Times New Roman" w:hAnsi="Times New Roman"/>
          <w:color w:val="000000"/>
          <w:sz w:val="20"/>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 rules and forms. Disclosure controls and procedures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December 31, 2023, pursuant to Rule 13a-15(b) under the Exchange Act. Based upon that evaluation, our Certifying Officers concluded that our disclosure controls and procedures were effective as of December 31, 2023.</w:t>
      </w:r>
    </w:p>
    <w:p>
      <w:pPr>
        <w:pStyle w:val="TextBody"/>
        <w:bidi w:val="0"/>
        <w:jc w:val="both"/>
        <w:rPr>
          <w:rFonts w:ascii="Times New Roman" w:hAnsi="Times New Roman"/>
          <w:color w:val="000000"/>
          <w:sz w:val="20"/>
        </w:rPr>
      </w:pPr>
      <w:r>
        <w:rPr>
          <w:rFonts w:ascii="Times New Roman" w:hAnsi="Times New Roman"/>
          <w:color w:val="000000"/>
          <w:sz w:val="20"/>
        </w:rPr>
        <w:t xml:space="preserve">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Management’s Report on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such term is defined in Exchange Act Rules 13a-15(f) and 15d-15(f). Under the supervision of our Certifying Officers, management conducted an evaluation of the effectiveness of our internal control over financial reporting as of December 31, 2023, based on the framework set forth by the Committee of Sponsoring Organizations of the Treadway Commission (COSO) in “Internal Control-Integrated Framework.” Based on that evaluation, management has concluded that our internal control over financial reporting was effective as of December 31,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Annual Report on Form 10-K does not include an attestation report of our independent registered public accounting firm as permitted due to our status as an emerging growth company under the JOBS Act. </w:t>
      </w:r>
    </w:p>
    <w:p>
      <w:pPr>
        <w:pStyle w:val="TextBody"/>
        <w:bidi w:val="0"/>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jc w:val="both"/>
        <w:rPr>
          <w:rFonts w:ascii="Times New Roman" w:hAnsi="Times New Roman"/>
          <w:color w:val="000000"/>
          <w:sz w:val="20"/>
        </w:rPr>
      </w:pPr>
      <w:r>
        <w:rPr>
          <w:rFonts w:ascii="Times New Roman" w:hAnsi="Times New Roman"/>
          <w:color w:val="000000"/>
          <w:sz w:val="20"/>
        </w:rPr>
        <w:t xml:space="preserve">There was no change in our internal control over financial reporting that occurred during the fiscal quarter ended December 31, 2023 covered by this Report that has materially affected, or is reasonably likely to materially affect, our internal control over financial reporting. </w:t>
      </w:r>
    </w:p>
    <w:p>
      <w:pPr>
        <w:pStyle w:val="TextBody"/>
        <w:bidi w:val="0"/>
        <w:spacing w:before="360" w:after="283"/>
        <w:jc w:val="both"/>
        <w:rPr>
          <w:rFonts w:ascii="Times New Roman" w:hAnsi="Times New Roman"/>
          <w:sz w:val="20"/>
        </w:rPr>
      </w:pPr>
      <w:bookmarkStart w:id="33" w:name="item_9b_or_information"/>
      <w:bookmarkEnd w:id="33"/>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 of our directors or executive officers adopted or terminated a Rule 10b5-1 trading arrangement or adopted or terminated a non-Rule 10b5-1 trading arrangement (as defined in Item 408(c) of Regulation S-K) during the quarter ended December 31, 2023.</w:t>
      </w:r>
    </w:p>
    <w:p>
      <w:pPr>
        <w:pStyle w:val="TextBody"/>
        <w:bidi w:val="0"/>
        <w:spacing w:before="120" w:after="283"/>
        <w:jc w:val="both"/>
        <w:rPr>
          <w:rFonts w:ascii="Times New Roman" w:hAnsi="Times New Roman"/>
          <w:b/>
          <w:color w:val="000000"/>
          <w:sz w:val="20"/>
        </w:rPr>
      </w:pPr>
      <w:bookmarkStart w:id="34" w:name="item_9c_foreign_jurisdictions"/>
      <w:bookmarkEnd w:id="34"/>
      <w:r>
        <w:rPr>
          <w:rFonts w:ascii="Times New Roman" w:hAnsi="Times New Roman"/>
          <w:b/>
          <w:color w:val="000000"/>
          <w:sz w:val="20"/>
        </w:rPr>
        <w:t>Item 9C. Disclosure Regarding Foreign Jurisdictions that Prevent Inspections.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5" w:name="part_iii"/>
      <w:bookmarkEnd w:id="35"/>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bookmarkStart w:id="36" w:name="item_10_directors_executive_ficers_corpo"/>
      <w:bookmarkEnd w:id="36"/>
      <w:r>
        <w:rPr>
          <w:rFonts w:ascii="Times New Roman" w:hAnsi="Times New Roman"/>
          <w:b/>
          <w:color w:val="000000"/>
          <w:sz w:val="20"/>
        </w:rPr>
        <w:t>ITEM 10. DIRECTORS, EXECTIVE OFFICERS AND CORPORATE GOVERNANCE</w:t>
      </w:r>
    </w:p>
    <w:p>
      <w:pPr>
        <w:pStyle w:val="TextBody"/>
        <w:bidi w:val="0"/>
        <w:spacing w:before="200" w:after="283"/>
        <w:jc w:val="left"/>
        <w:rPr>
          <w:rFonts w:ascii="Times New Roman" w:hAnsi="Times New Roman"/>
          <w:sz w:val="20"/>
        </w:rPr>
      </w:pPr>
      <w:r>
        <w:rPr>
          <w:rFonts w:ascii="Times New Roman" w:hAnsi="Times New Roman"/>
          <w:b/>
          <w:color w:val="000000"/>
          <w:sz w:val="20"/>
        </w:rPr>
        <w:t>Executive Officers and Directors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The information required by this item with respect to our executive officers is set forth in Part I of this Annual Report on Form 10-K under the caption “Information about our Executive Officers,” and information relating to the availability of our code of conduct for executive officers and directors is set forth below. The other information required by this item is incorporated by reference to our definitive proxy statement to be filed in connection with the 2024 Annual Meeting of Stockholders no later than 120 days after December 31, 2023.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Code of Ethics</w:t>
      </w:r>
    </w:p>
    <w:p>
      <w:pPr>
        <w:pStyle w:val="TextBody"/>
        <w:bidi w:val="0"/>
        <w:spacing w:before="200" w:after="283"/>
        <w:jc w:val="both"/>
        <w:rPr>
          <w:rFonts w:ascii="Times New Roman" w:hAnsi="Times New Roman"/>
          <w:sz w:val="20"/>
        </w:rPr>
      </w:pPr>
      <w:r>
        <w:rPr>
          <w:rFonts w:ascii="Times New Roman" w:hAnsi="Times New Roman"/>
          <w:color w:val="000000"/>
          <w:sz w:val="20"/>
        </w:rPr>
        <w:t>We have adopted a Code of Business Conduct and Ethics applicable to our directors, executive officers and employees. The Code of Business Conduct and Ethics codifies the business and ethical principles that govern all aspects of our business. The full text of our code of business conduct and ethics is posted on the investor relations page on our website at https://investor.sarcos.com/governance/documents-charters</w:t>
      </w:r>
      <w:r>
        <w:rPr>
          <w:rFonts w:ascii="Times New Roman" w:hAnsi="Times New Roman"/>
          <w:i/>
          <w:color w:val="000000"/>
          <w:sz w:val="20"/>
        </w:rPr>
        <w:t xml:space="preserve">. </w:t>
      </w:r>
      <w:r>
        <w:rPr>
          <w:rFonts w:ascii="Times New Roman" w:hAnsi="Times New Roman"/>
          <w:color w:val="000000"/>
          <w:sz w:val="20"/>
        </w:rPr>
        <w:t>In addition, a copy of the Code of Ethics will be provided without charge upon request to us in writing at 650 South 500 West, Salt Lake City, Utah 84101 or by telephone at 888-927-7296. Any amendments to or waivers of the Code of Conduct will be disclosed on our website.</w:t>
      </w:r>
    </w:p>
    <w:p>
      <w:pPr>
        <w:pStyle w:val="TextBody"/>
        <w:bidi w:val="0"/>
        <w:spacing w:before="200" w:after="283"/>
        <w:jc w:val="left"/>
        <w:rPr>
          <w:rFonts w:ascii="Times New Roman" w:hAnsi="Times New Roman"/>
          <w:b/>
          <w:color w:val="000000"/>
          <w:sz w:val="20"/>
        </w:rPr>
      </w:pPr>
      <w:bookmarkStart w:id="37" w:name="item_11_executive_compensation"/>
      <w:bookmarkEnd w:id="37"/>
      <w:r>
        <w:rPr>
          <w:rFonts w:ascii="Times New Roman" w:hAnsi="Times New Roman"/>
          <w:b/>
          <w:color w:val="000000"/>
          <w:sz w:val="20"/>
        </w:rPr>
        <w:t>ITEM 11. EXECUTIVE COMPENSATION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in connection with the 2024 Annual Meeting of Stockholders no later than 120 days after December 31, 2023.</w:t>
      </w:r>
    </w:p>
    <w:p>
      <w:pPr>
        <w:pStyle w:val="TextBody"/>
        <w:bidi w:val="0"/>
        <w:spacing w:before="200" w:after="283"/>
        <w:jc w:val="left"/>
        <w:rPr>
          <w:rFonts w:ascii="Times New Roman" w:hAnsi="Times New Roman"/>
          <w:b/>
          <w:color w:val="000000"/>
          <w:sz w:val="20"/>
        </w:rPr>
      </w:pPr>
      <w:bookmarkStart w:id="38" w:name="item_12_security_ownership_of_certain_"/>
      <w:bookmarkEnd w:id="38"/>
      <w:r>
        <w:rPr>
          <w:rFonts w:ascii="Times New Roman" w:hAnsi="Times New Roman"/>
          <w:b/>
          <w:color w:val="000000"/>
          <w:sz w:val="20"/>
        </w:rPr>
        <w:t>ITEM 12. SECURITY OWNERSHIP OF CERTAIN BENEFICIAL OWNERS AND MANAGEMENT AND RELATED STOCKHOLDER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our definitive proxy statement to be filed in connection with the 2024 Annual Meeting of Stockholders no later than 120 days after December 31,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39" w:name="item_13_certain_relationships_related_tr"/>
      <w:bookmarkEnd w:id="39"/>
      <w:r>
        <w:rPr>
          <w:rFonts w:ascii="Times New Roman" w:hAnsi="Times New Roman"/>
          <w:b/>
          <w:color w:val="000000"/>
          <w:sz w:val="20"/>
        </w:rPr>
        <w:t>ITEM 13. CERTAIN RELATIONSHIPS AND RELATED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in connection with the 2024 Annual Meeting of Stockholders no later than 120 days after December 31, 2023.</w:t>
      </w:r>
    </w:p>
    <w:p>
      <w:pPr>
        <w:pStyle w:val="TextBody"/>
        <w:bidi w:val="0"/>
        <w:spacing w:before="200" w:after="283"/>
        <w:jc w:val="left"/>
        <w:rPr/>
      </w:pPr>
      <w:r>
        <w:rPr/>
        <w:t> </w:t>
      </w:r>
    </w:p>
    <w:p>
      <w:pPr>
        <w:pStyle w:val="TextBody"/>
        <w:bidi w:val="0"/>
        <w:spacing w:before="200" w:after="283"/>
        <w:jc w:val="both"/>
        <w:rPr>
          <w:rFonts w:ascii="Times New Roman" w:hAnsi="Times New Roman"/>
          <w:b/>
          <w:color w:val="000000"/>
          <w:sz w:val="20"/>
        </w:rPr>
      </w:pPr>
      <w:bookmarkStart w:id="40" w:name="item_14_principal_accounting_fees_servic"/>
      <w:bookmarkEnd w:id="40"/>
      <w:r>
        <w:rPr>
          <w:rFonts w:ascii="Times New Roman" w:hAnsi="Times New Roman"/>
          <w:b/>
          <w:color w:val="000000"/>
          <w:sz w:val="20"/>
        </w:rPr>
        <w:t>ITEM 14. PRINCIPAL ACCOUNTANT FEES AND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by this item is incorporated by reference to our definitive proxy statement to be filed in connection with the 2024 Annual Meeting of Stockholders no later than 120 days after December 31, 2023.</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1" w:name="part_iv"/>
      <w:bookmarkEnd w:id="41"/>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42" w:name="item_15_exhibits_financial_statement_sch"/>
      <w:bookmarkEnd w:id="42"/>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(1) Financial Statements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 Index to consolidated financial statements in Part II, Item 8 of this Annual Report on Form 10-K. </w:t>
      </w:r>
    </w:p>
    <w:p>
      <w:pPr>
        <w:pStyle w:val="TextBody"/>
        <w:bidi w:val="0"/>
        <w:spacing w:before="120" w:after="283"/>
        <w:jc w:val="left"/>
        <w:rPr>
          <w:rFonts w:ascii="Times New Roman" w:hAnsi="Times New Roman"/>
          <w:sz w:val="20"/>
        </w:rPr>
      </w:pPr>
      <w:r>
        <w:rPr>
          <w:rFonts w:ascii="Times New Roman" w:hAnsi="Times New Roman"/>
          <w:b/>
          <w:color w:val="000000"/>
          <w:sz w:val="20"/>
        </w:rPr>
        <w:t>(2) Financial Statement Schedule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financial statement schedules have been omitted because they are either not applicable or the required information is shown in the consolidated financial statements or notes thereto. </w:t>
      </w:r>
    </w:p>
    <w:p>
      <w:pPr>
        <w:pStyle w:val="TextBody"/>
        <w:bidi w:val="0"/>
        <w:spacing w:before="120" w:after="283"/>
        <w:jc w:val="left"/>
        <w:rPr>
          <w:rFonts w:ascii="Times New Roman" w:hAnsi="Times New Roman"/>
          <w:sz w:val="20"/>
        </w:rPr>
      </w:pPr>
      <w:r>
        <w:rPr>
          <w:rFonts w:ascii="Times New Roman" w:hAnsi="Times New Roman"/>
          <w:b/>
          <w:color w:val="000000"/>
          <w:sz w:val="20"/>
        </w:rPr>
        <w:t>(3)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 the Exhibit Index which precedes the signature page of this Annual Report on Form 10-K.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Exhibits</w:t>
      </w:r>
    </w:p>
    <w:p>
      <w:pPr>
        <w:pStyle w:val="TextBody"/>
        <w:bidi w:val="0"/>
        <w:jc w:val="left"/>
        <w:rPr>
          <w:rFonts w:ascii="Times New Roman" w:hAnsi="Times New Roman"/>
          <w:color w:val="000000"/>
          <w:sz w:val="20"/>
        </w:rPr>
      </w:pPr>
      <w:r>
        <w:rPr>
          <w:rFonts w:ascii="Times New Roman" w:hAnsi="Times New Roman"/>
          <w:color w:val="000000"/>
          <w:sz w:val="20"/>
        </w:rPr>
        <w:t>See Item 15(a)(3) above.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Statement Schedules</w:t>
      </w:r>
    </w:p>
    <w:p>
      <w:pPr>
        <w:pStyle w:val="TextBody"/>
        <w:bidi w:val="0"/>
        <w:jc w:val="left"/>
        <w:rPr>
          <w:rFonts w:ascii="Times New Roman" w:hAnsi="Times New Roman"/>
          <w:color w:val="000000"/>
          <w:sz w:val="20"/>
        </w:rPr>
      </w:pPr>
      <w:r>
        <w:rPr>
          <w:rFonts w:ascii="Times New Roman" w:hAnsi="Times New Roman"/>
          <w:color w:val="000000"/>
          <w:sz w:val="20"/>
        </w:rPr>
        <w:t xml:space="preserve">See Item 15(a)(2) above.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reviewing the agreements included as exhibits to this Annual Report on Form 10-K, please remember that they are included to provide you with information regarding their terms and are not intended to provide any other factual or disclosure information about the Company or the other parties to the agreement. The agreements may contain representations and warranties that the parties made to each other as of specific dates. The assertions embodied in those representations and warranties were made solely for purposes of the applicable agreement and may be subject to important qualifications and limitations agreed to by the parties in connection with negotiating the terms of such agreement. In addition, such representations and warranties: (i) may not be accurate or complete as of any specified date; (ii) are modified and qualified in important part by the underlying disclosure schedules; (iii) may be subject to a contractual standard of materiality different from those generally applicable to investors; or (iv) may have been used for the purpose of allocating risk among the parties to the applicable agreement, rather than establishing matters as facts. Moreover, information concerning the subject matter of the representations and warranties may change after the date of the applicable agreement, which subsequent information may or may not be fully reflected in Company’s public disclosures. For the foregoing reasons, the representations and warranties should not be relied upon as statements of factual information.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Plan of Merger, dated as of April 5, 2021, by and among the Company, Rotor Merger Sub Corp. and Old Sarcos (incorporated by reference to the Company’s Current Report on Form 8-K filed with the SEC on April 6,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Amendment No. 1 to Merger Agreement, dated as of August 28, 2021, by and among the Company, Rotor Merger Sub Corp. and Old Sarcos (incorporated by reference to the Company’s Current Report on Form 8-K filed with the SEC on August 30,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Merger Agreement, dated March 27, 2022, by and among the Company, Spiral Merger Sub I, Inc., Spiral Merger Sub II, LLC, RE2, Inc. and Draper Triangle Ventures III, LP, solely in its capacity as the agent for and on behalf of the shareholders of RE2 (incorporated by reference to the Company’s Current Report on Form 8-K filed with the SEC on March 29,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Second Amended and Restated Certificate of Incorporation of Sarcos Technology and Robotics Corporation (incorporated by reference to the Company’s Current Report on Form 8-K filed on September 30,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of Sarcos Technology and Robotics Corporation (incorporated by reference to the Company’s Current Report on Form 8-K filed on November 8, 2022).</w:t>
              </w:r>
            </w:hyperlink>
          </w:p>
        </w:tc>
      </w:tr>
      <w:tr>
        <w:trPr/>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Certificate of Amendment of Amended and Restated Certificate of Incorporation of Sarcos Technology and Robotics Corporation (incorporated by reference to Exhibit 3.1 to the Company’s Current Report on Form 8-K filed with the SEC on June 20, 2023).</w:t>
              </w:r>
            </w:hyperlink>
          </w:p>
        </w:tc>
      </w:tr>
      <w:tr>
        <w:trPr/>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Warrant Agreement between Continental Transfer &amp; Trust Company and the Registrant (incorporated by reference to the Company’s Form S-1/A filed with the SEC on December 30, 2020).</w:t>
              </w:r>
            </w:hyperlink>
          </w:p>
        </w:tc>
      </w:tr>
      <w:tr>
        <w:trPr/>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Specimen Warrant Certificate (incorporated by reference to the Company’s Form S-1/A filed with the SEC on December 30, 2020).</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
        <w:gridCol w:w="9490"/>
      </w:tblGrid>
      <w:tr>
        <w:trPr/>
        <w:tc>
          <w:tcPr>
            <w:tcW w:w="715" w:type="dxa"/>
            <w:tcBorders/>
            <w:vAlign w:val="center"/>
          </w:tcPr>
          <w:p>
            <w:pPr>
              <w:pStyle w:val="TableContents"/>
              <w:bidi w:val="0"/>
              <w:spacing w:before="0" w:after="283"/>
              <w:jc w:val="left"/>
              <w:rPr>
                <w:sz w:val="4"/>
                <w:szCs w:val="4"/>
              </w:rPr>
            </w:pPr>
            <w:r>
              <w:rPr>
                <w:sz w:val="4"/>
                <w:szCs w:val="4"/>
              </w:rPr>
            </w:r>
          </w:p>
        </w:tc>
        <w:tc>
          <w:tcPr>
            <w:tcW w:w="9490" w:type="dxa"/>
            <w:tcBorders/>
            <w:vAlign w:val="center"/>
          </w:tcPr>
          <w:p>
            <w:pPr>
              <w:pStyle w:val="TableContents"/>
              <w:bidi w:val="0"/>
              <w:spacing w:before="0" w:after="283"/>
              <w:jc w:val="left"/>
              <w:rPr>
                <w:sz w:val="4"/>
                <w:szCs w:val="4"/>
              </w:rPr>
            </w:pPr>
            <w:r>
              <w:rPr>
                <w:sz w:val="4"/>
                <w:szCs w:val="4"/>
              </w:rPr>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Specimen Stock Certificate (incorporated by reference to the Company’s Current Report on Form 8-K filed on September 30, 2021).</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rc-ex4_4.htm">
              <w:r>
                <w:rPr>
                  <w:rStyle w:val="InternetLink"/>
                  <w:rFonts w:ascii="Times New Roman" w:hAnsi="Times New Roman"/>
                  <w:color w:val="0000FF"/>
                  <w:sz w:val="20"/>
                  <w:u w:val="single"/>
                </w:rPr>
                <w:t>Description of Company’s Securities.</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Letter Agreement between Rotor, Rotor Sponsor LLC, and Riverview LLC (incorporated by reference to the Company’s Form 8-K filed January 20, 2021).</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Letter Agreement between the Company, Rotor Sponsor LLC and Black Rock Funds (incorporated by reference to the Company’s Form 8-K filed on January 20, 2021).</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Subscription Agreement (incorporated by reference to the Company’s Current Report on Form 8-K filed with the SEC on April 6, 2021).</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Waiver Agreement (incorporated by reference to the Company’s Current Report on Form 8-K filed with the SEC on April 6, 2021).</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Registration Rights Agreement, by and among the Company, Rotor Sponsor LLC, and certain stockholders of Sarcos (incorporated by reference to the Company’s Current Report on Form 8-K filed on April 6, 2021).</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Sarcos Technology and Robotics Corporation 2021 Equity Incentive Plan, forms of agreement (incorporated by reference to the Company’s Current Report on Form 8-K filed on September 30, 2021).</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Sarcos Technology and Robotics Corporation 2021 Employee Stock Purchase Plan (incorporated by reference to the Company’s Current Report on Form 8-K filed on September 30, 2021).</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Sarcos Technology and Robotics Corporation Outside Director Compensation Policy (incorporated by reference to the Company’s registration statement on Form S-1 filed with the SEC on October 15, 2021).</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Employment Agreement, dated January 17, 2024, among Benjamin G. Wolff, Sarcos Corp., and the Company (incorporated by reference to the Company’s Current Report on Form 8-K filed on January 19, 2024).</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Employment Agreement, dated October 9, 2022, among Andrew Hamer, Sarcos Corp., and the Company (incorporated by reference to the Company’s Current Report on Form 8-K filed on October 11, 2022).</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Employment Agreement, dated June 12, 2023, among Denis Garagic, Sarcos Corp., and the Company (incorporated by reference to the Company’s Current Report on Form 8-K filed on June 16, 2023).</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rc-ex10_12.htm">
              <w:r>
                <w:rPr>
                  <w:rStyle w:val="InternetLink"/>
                  <w:rFonts w:ascii="Times New Roman" w:hAnsi="Times New Roman"/>
                  <w:color w:val="0000FF"/>
                  <w:sz w:val="20"/>
                  <w:u w:val="single"/>
                </w:rPr>
                <w:t>Employment Agreement, dated January 11, 2024, among Matthew L. Vogt, Sarcos Corp., and the Company.</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rc-ex10_13.htm">
              <w:r>
                <w:rPr>
                  <w:rStyle w:val="InternetLink"/>
                  <w:rFonts w:ascii="Times New Roman" w:hAnsi="Times New Roman"/>
                  <w:color w:val="0000FF"/>
                  <w:sz w:val="20"/>
                  <w:u w:val="single"/>
                </w:rPr>
                <w:t>Employment Agreement, dated January 30, 2023, among Stephen Sonne, Sarcos Corp., and the Company.</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Separation Agreement, dated June 7, 2023, among Kiva Allgood, Sarcos Corp., and the Company (incorporated by reference to the Company’s Current Report on Form 8-K filed on June 16, 2023).</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Separation Agreement, dated August 23, 2023, among Jorgen Pedersen, Sarcos Corp., and the Company (incorporated by reference to the Company’s Current Report on Form 8-K filed on September 1, 2023).</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Separation Agreement, dated September 25, 2023, among Kristi Martindale, Sarcos Corp., and the Company (incorporated by reference to the Company’s Current Report on Form 8-K filed on October 4, 2023).</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Indemnification Agreement (incorporated by reference to the Company’s Current Report on Form 8-K filed on September 30, 2021).</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Sarcos 2015 Equity Incentive Plan (incorporated by reference to the Company’s Current Report on Form 8-K filed on September 30, 2021).</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rc-ex10_19.htm">
              <w:r>
                <w:rPr>
                  <w:rStyle w:val="InternetLink"/>
                  <w:rFonts w:ascii="Times New Roman" w:hAnsi="Times New Roman"/>
                  <w:color w:val="0000FF"/>
                  <w:sz w:val="20"/>
                  <w:u w:val="single"/>
                </w:rPr>
                <w:t>Form of Restricted Stock Agreement under the 2021 Equity Incentive Plan</w:t>
              </w:r>
            </w:hyperlink>
            <w:hyperlink w:anchor="strc-ex10_19.htm">
              <w:r>
                <w:rPr>
                  <w:rStyle w:val="InternetLink"/>
                  <w:rFonts w:ascii="Times New Roman" w:hAnsi="Times New Roman"/>
                  <w:color w:val="0000FF"/>
                  <w:sz w:val="20"/>
                </w:rPr>
                <w:t xml:space="preserve"> </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rc-ex21.htm">
              <w:r>
                <w:rPr>
                  <w:rStyle w:val="InternetLink"/>
                  <w:rFonts w:ascii="Times New Roman" w:hAnsi="Times New Roman"/>
                  <w:color w:val="0000FF"/>
                  <w:sz w:val="20"/>
                  <w:u w:val="single"/>
                </w:rPr>
                <w:t>List of Subsidiaries.</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rc-ex23.htm">
              <w:r>
                <w:rPr>
                  <w:rStyle w:val="InternetLink"/>
                  <w:rFonts w:ascii="Times New Roman" w:hAnsi="Times New Roman"/>
                  <w:color w:val="0000FF"/>
                  <w:sz w:val="20"/>
                  <w:u w:val="single"/>
                </w:rPr>
                <w:t>Consent of Independent Registered Public Accounting Firm</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Power of Attorney (included on the signature page)</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rc-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rc-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rc-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rc-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rc-ex97.htm">
              <w:r>
                <w:rPr>
                  <w:rStyle w:val="InternetLink"/>
                  <w:rFonts w:ascii="Times New Roman" w:hAnsi="Times New Roman"/>
                  <w:color w:val="0000FF"/>
                  <w:sz w:val="20"/>
                  <w:u w:val="single"/>
                </w:rPr>
                <w:t>Compensation Recovery Policy</w:t>
              </w:r>
            </w:hyperlink>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4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037" w:type="dxa"/>
        <w:jc w:val="left"/>
        <w:tblInd w:w="0" w:type="dxa"/>
        <w:tblLayout w:type="fixed"/>
        <w:tblCellMar>
          <w:top w:w="28" w:type="dxa"/>
          <w:left w:w="28" w:type="dxa"/>
          <w:bottom w:w="28" w:type="dxa"/>
          <w:right w:w="28" w:type="dxa"/>
        </w:tblCellMar>
      </w:tblPr>
      <w:tblGrid>
        <w:gridCol w:w="436"/>
        <w:gridCol w:w="6601"/>
      </w:tblGrid>
      <w:tr>
        <w:trPr/>
        <w:tc>
          <w:tcPr>
            <w:tcW w:w="43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Schedules and exhibits to this Exhibit omitted pursuant to Regulation S-K Item 601(b)(2). The Registrant agrees to furnish supplementally a copy of any omitted schedule or exhibit to the SEC upon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43" w:name="item_16_form_10k_summary"/>
      <w:bookmarkEnd w:id="43"/>
      <w:r>
        <w:rPr>
          <w:rFonts w:ascii="Times New Roman" w:hAnsi="Times New Roman"/>
          <w:b/>
          <w:color w:val="000000"/>
          <w:sz w:val="20"/>
        </w:rPr>
        <w:t>Item 16. Form 10-K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44" w:name="signatures"/>
      <w:bookmarkEnd w:id="44"/>
      <w:r>
        <w:rPr>
          <w:rFonts w:ascii="Times New Roman" w:hAnsi="Times New Roman"/>
          <w:b/>
          <w:color w:val="000000"/>
          <w:sz w:val="18"/>
        </w:rPr>
        <w:t>SIGNATURES</w:t>
      </w:r>
    </w:p>
    <w:p>
      <w:pPr>
        <w:pStyle w:val="TextBody"/>
        <w:bidi w:val="0"/>
        <w:spacing w:before="240" w:after="283"/>
        <w:jc w:val="both"/>
        <w:rPr>
          <w:rFonts w:ascii="Times New Roman" w:hAnsi="Times New Roman"/>
          <w:sz w:val="20"/>
        </w:rPr>
      </w:pPr>
      <w:r>
        <w:rPr>
          <w:rFonts w:ascii="Times New Roman" w:hAnsi="Times New Roman"/>
          <w:color w:val="000000"/>
          <w:sz w:val="18"/>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18"/>
        </w:rPr>
        <w:t>.</w:t>
      </w:r>
    </w:p>
    <w:p>
      <w:pPr>
        <w:pStyle w:val="TextBody"/>
        <w:bidi w:val="0"/>
        <w:jc w:val="both"/>
        <w:rPr/>
      </w:pPr>
      <w:r>
        <w:rPr/>
        <w:t> </w:t>
      </w:r>
    </w:p>
    <w:tbl>
      <w:tblPr>
        <w:tblW w:w="7394" w:type="dxa"/>
        <w:jc w:val="left"/>
        <w:tblInd w:w="0" w:type="dxa"/>
        <w:tblLayout w:type="fixed"/>
        <w:tblCellMar>
          <w:top w:w="28" w:type="dxa"/>
          <w:left w:w="28" w:type="dxa"/>
          <w:bottom w:w="28" w:type="dxa"/>
          <w:right w:w="28" w:type="dxa"/>
        </w:tblCellMar>
      </w:tblPr>
      <w:tblGrid>
        <w:gridCol w:w="1861"/>
        <w:gridCol w:w="146"/>
        <w:gridCol w:w="361"/>
        <w:gridCol w:w="5026"/>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18"/>
              </w:rPr>
            </w:pPr>
            <w:r>
              <w:rPr>
                <w:rFonts w:ascii="Times New Roman" w:hAnsi="Times New Roman"/>
                <w:b/>
                <w:caps/>
                <w:color w:val="000000"/>
                <w:sz w:val="18"/>
              </w:rPr>
              <w:t>Sarcos Technology and Robotics Corporation</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February 28, 2024</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502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Benjamin G. Wolff</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Benjamin G. Wolff</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President and Chief Executive Officer (</w:t>
            </w:r>
            <w:r>
              <w:rPr>
                <w:rFonts w:ascii="Times New Roman" w:hAnsi="Times New Roman"/>
                <w:i/>
                <w:color w:val="000000"/>
                <w:sz w:val="18"/>
              </w:rPr>
              <w:t>Principal Executive Officer</w:t>
            </w:r>
            <w:r>
              <w:rPr>
                <w:rFonts w:ascii="Times New Roman" w:hAnsi="Times New Roman"/>
                <w:color w:val="000000"/>
                <w:sz w:val="18"/>
              </w:rPr>
              <w:t>)</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February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5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Andrew Hamer</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Andrew Hamer</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Chief Financial Officer (</w:t>
            </w:r>
            <w:r>
              <w:rPr>
                <w:rFonts w:ascii="Times New Roman" w:hAnsi="Times New Roman"/>
                <w:i/>
                <w:color w:val="000000"/>
                <w:sz w:val="18"/>
              </w:rPr>
              <w:t>Principal Financial and Accounting Officer</w:t>
            </w:r>
            <w:r>
              <w:rPr>
                <w:rFonts w:ascii="Times New Roman" w:hAnsi="Times New Roman"/>
                <w:color w:val="000000"/>
                <w:sz w:val="18"/>
              </w:rPr>
              <w:t>)</w:t>
            </w:r>
          </w:p>
        </w:tc>
      </w:tr>
    </w:tbl>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POWER OF ATTORNEY</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KNOW ALL PERSONS BY THESE PRESENTS, that each person whose signature appears below constitutes and appoints Benjamin G. Wolff and Andrew Hamer, and each one of them, as his or her true and lawful attorneys-in-fact and agents, with full power of substitution and resubstitution, for him or her and in their name, place and stead,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Pursuant to the requirements of the Securities Exchange Act of 1934, as amended, this Annual Report on Form 10-K has been signed below by the following persons on behalf of the Registrant in the capacities and on the dates indicated.</w:t>
      </w:r>
    </w:p>
    <w:p>
      <w:pPr>
        <w:pStyle w:val="TextBody"/>
        <w:bidi w:val="0"/>
        <w:spacing w:before="240" w:after="283"/>
        <w:jc w:val="both"/>
        <w:rPr/>
      </w:pPr>
      <w:r>
        <w:rPr/>
        <w:t> </w:t>
      </w:r>
    </w:p>
    <w:tbl>
      <w:tblPr>
        <w:tblW w:w="7420" w:type="dxa"/>
        <w:jc w:val="left"/>
        <w:tblInd w:w="0" w:type="dxa"/>
        <w:tblLayout w:type="fixed"/>
        <w:tblCellMar>
          <w:top w:w="28" w:type="dxa"/>
          <w:left w:w="28" w:type="dxa"/>
          <w:bottom w:w="28" w:type="dxa"/>
          <w:right w:w="28" w:type="dxa"/>
        </w:tblCellMar>
      </w:tblPr>
      <w:tblGrid>
        <w:gridCol w:w="2191"/>
        <w:gridCol w:w="146"/>
        <w:gridCol w:w="3466"/>
        <w:gridCol w:w="146"/>
        <w:gridCol w:w="147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Signature</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Date</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/s/Benjamin G. Wolff</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President, Chief Executive Officer and Director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28, 2024</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Benjamin G. Wolff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w:t>
            </w:r>
            <w:r>
              <w:rPr>
                <w:rFonts w:ascii="Times New Roman" w:hAnsi="Times New Roman"/>
                <w:i/>
                <w:color w:val="000000"/>
                <w:sz w:val="18"/>
              </w:rPr>
              <w:t>Principal Executive Officer</w:t>
            </w: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Andrew Hamer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28, 2024</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Andrew Hamer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w:t>
            </w:r>
            <w:r>
              <w:rPr>
                <w:rFonts w:ascii="Times New Roman" w:hAnsi="Times New Roman"/>
                <w:i/>
                <w:color w:val="000000"/>
                <w:sz w:val="18"/>
              </w:rPr>
              <w:t>Principal Financial and Accounting Officer</w:t>
            </w: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Dennis Weibling</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Chairman of the Board</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28, 2024</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Dennis Weibling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Brian D. Finn</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47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28, 2024</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Brian D. Finn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Matthew Shigenobu Muta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28, 2024</w:t>
            </w:r>
          </w:p>
        </w:tc>
      </w:tr>
      <w:tr>
        <w:trPr/>
        <w:tc>
          <w:tcPr>
            <w:tcW w:w="2191"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Matthew Shigenobu Muta</w:t>
            </w:r>
          </w:p>
        </w:tc>
        <w:tc>
          <w:tcPr>
            <w:tcW w:w="14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Eric T. Olson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28, 2024</w:t>
            </w:r>
          </w:p>
        </w:tc>
      </w:tr>
      <w:tr>
        <w:trPr/>
        <w:tc>
          <w:tcPr>
            <w:tcW w:w="2191"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Eric T. Olson</w:t>
            </w:r>
          </w:p>
        </w:tc>
        <w:tc>
          <w:tcPr>
            <w:tcW w:w="146" w:type="dxa"/>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Laura J. Peterson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28, 2024</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Laura J. Peterson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spacing w:before="200" w:after="283"/>
        <w:jc w:val="right"/>
        <w:rPr>
          <w:rFonts w:ascii="Times New Roman" w:hAnsi="Times New Roman"/>
          <w:b/>
          <w:color w:val="000000"/>
          <w:sz w:val="20"/>
        </w:rPr>
      </w:pPr>
      <w:bookmarkStart w:id="45" w:name="description_securities"/>
      <w:bookmarkStart w:id="46" w:name="strc-ex4_4.htm"/>
      <w:bookmarkStart w:id="47" w:name="ksstrcex4_4"/>
      <w:bookmarkEnd w:id="45"/>
      <w:bookmarkEnd w:id="46"/>
      <w:bookmarkEnd w:id="47"/>
      <w:r>
        <w:rPr>
          <w:rFonts w:ascii="Times New Roman" w:hAnsi="Times New Roman"/>
          <w:b/>
          <w:color w:val="000000"/>
          <w:sz w:val="20"/>
        </w:rPr>
        <w:t>Exhibit 4.4</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DESCRIPTION OF SECURITIES</w:t>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February 14, 2024, Sarcos Technology &amp; Robotics Corporation (“we,” “our,” “us” or the “Company”) had the following two classes of securities registered under Section 12 of the Securities Exchange Act of 1934, as amended (the “Exchange Act”): (i) Common Stock, par value $0.0001 per share, and (ii) redeemable warrants, each warrant exercisable for one Common Stock share at an exercise price of $11.50 (to be adjusted upon exercise by the same ratio as the reverse stock split that was effective as of July 5, 2023, or 1-for-6).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sets forth a summary of the material terms of our securities, including certain provisions of Delaware law and the material provisions of the Second Amended and Restated Certificate of Incorporation (the “Charter) and the Amended and Restated Bylaws (the “Bylaws”). This summary is not intended to be a complete summary of the rights and preferences of such securities. The full texts of the Charter and Bylaws are attached as exhibits to our Annual Report on Form 10-K. We urge you to read our Charter and Bylaws in their entirety, as well as the applicable provisions of Delaware law, for a complete description of the rights and preferences of the Company’s securities.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Authorized Capitalization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Charter authorizes the issuance of 175,000,000 shares of capital stock, of which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165,000,000 shares are designated as the shares of common stock, par value $0.0001 per share, of the Company (“Common Stock”), par value $0.0001 per share, and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10,000,000 shares are designated as preferred stock, par value $0.0001 per share.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February 23, 2024, there were approximately 25,877,954 shares of Common Stock outstanding, held of record by approximately 429 holders of Common Stock, no shares of preferred stock outstanding and approximately 20,549,453 warrants outstanding held of record by approximately 29 holders of warrants. Such numbers do not include DTC participants or beneficial owners holding shares through nominee names.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Common Stock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Dividend rights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Subject to preferences that may be applicable to then-outstanding preferred stock, holders of Common Stock are entitled to receive dividends, if any, as may be declared from time to time by our board out of legally available funds. See “</w:t>
      </w:r>
      <w:r>
        <w:rPr>
          <w:rFonts w:ascii="Times New Roman" w:hAnsi="Times New Roman"/>
          <w:i/>
          <w:color w:val="000000"/>
          <w:sz w:val="20"/>
        </w:rPr>
        <w:t>Item 5. Market for Registrant’s Common Equity, Related Stockholder Matters and Issuer Purchasers of Equity Securities</w:t>
      </w:r>
      <w:r>
        <w:rPr>
          <w:rFonts w:ascii="Times New Roman" w:hAnsi="Times New Roman"/>
          <w:color w:val="000000"/>
          <w:sz w:val="20"/>
        </w:rPr>
        <w:t xml:space="preserve">” of our Annual Report on Form 10-K for more information.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On January 14, 2021, Rotor Acquisition Corp. (“Rotor”), our predecessor company prior to the closing of the business combination (the “Closing”),effected a stock dividend of 0.2 shares for each outstanding share of Class B common stock (the “Founder Shares”, which, for the avoidance of doubt, were converted into Common Stock of the Company at Closing), resulting in an aggregate of 6,900,000 Founder Shares outstanding, in order to maintain the number of Founder Shares at 20% of the issued and outstanding shares of our Common Stock upon the consummation of Rotor’s initial public offering (the “IPO”).</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No Preemptive or Other Rights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Holders of Common Stock are not entitled to preemptive rights and are not subject to redemption or sinking fund provisions.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i/>
          <w:color w:val="000000"/>
          <w:sz w:val="20"/>
        </w:rPr>
      </w:pPr>
      <w:r>
        <w:rPr>
          <w:rFonts w:ascii="Times New Roman" w:hAnsi="Times New Roman"/>
          <w:b/>
          <w:i/>
          <w:color w:val="000000"/>
          <w:sz w:val="20"/>
        </w:rPr>
        <w:t>Voting Rights</w:t>
      </w:r>
    </w:p>
    <w:p>
      <w:pPr>
        <w:pStyle w:val="TextBody"/>
        <w:bidi w:val="0"/>
        <w:jc w:val="both"/>
        <w:rPr>
          <w:rFonts w:ascii="Times New Roman" w:hAnsi="Times New Roman"/>
          <w:color w:val="000000"/>
          <w:sz w:val="20"/>
        </w:rPr>
      </w:pPr>
      <w:r>
        <w:rPr>
          <w:rFonts w:ascii="Times New Roman" w:hAnsi="Times New Roman"/>
          <w:color w:val="000000"/>
          <w:sz w:val="20"/>
        </w:rPr>
        <w:t>Except as otherwise required by law or as otherwise provided in any certificate of designation for any series of preferred stock, the holders of Common Stock possess or will possess, as applicable, all voting power for the election of our directors and all other matters requiring stockholder action and are entitled or will be entitled, as applicable, to one vote per share on matters to be voted on by stockholders. Subject to certain limited exceptions, the holders of Common Stock shall at all times vote together as one class on all matters submitted to a vote of the holders of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the meeting and entitled to vote on the subject matter shall be the act of the stockholders, except as otherwise required by law, the Charter, the Bylaws, or the rules of the stock exchange on which the Company’s securities are listed. The holders of a majority of the voting power of the capital stock of the Company issued and outstanding and entitled to vote, present in person or represented by proxy, shall constitute a quorum for the transaction of business at all meetings of the stockholders.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Liquidation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Preferred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Board has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in control of the Company or other corporate action. As of February 15, 2023, there are no shares of preferred stock outstanding, and we have no present plan to issue any shares of preferred stock.</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Warrants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Public Stockholders’ Warrants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Each whole warrant entitles the registered holder to purchase one share of our Common Stock at a price of $11.50 per share (to be adjusted upon exercise by the same ratio as the reverse stock split that was effective as of July 5, 2023, or 1-for-6), subject to adjustment as discussed below, at any time commencing on January 20, 2022, provided that we have an effective registration statement under the Securities Act of 1933, as amended (the “Securities Act”) covering the shares of the Common Stock issuable upon exercise of the warrants and a current prospectus relating to them is available (or we permit holders to exercise their warrants on a cashless basis under the circumstances specified in the warrant agreement entered into between Continental Stock Transfer &amp; Trust Company and Rotor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our Common Stock. This means only a whole warrant may be exercised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at a given time by a warrant holder. The warrants will expire five years after the Closing, or September 24, 2026, at 5:00 p.m., New York City time, or earlier upon redemption or liquidation.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will not be obligated to deliver any Common Stock pursuant to the exercise of a warrant and will have no obligation to settle such warrant exercise unless a registration statement under the Securities Act with respect to the shares of our Common Stock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share of our Common Stock upon exercise of a warrant unless the share of our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in the IPO of a unit containing such warrant will have paid the full purchase price for the unit solely for the share of our Common Stock underlying such unit.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agreed that as soon as practicable, but in no event later than twenty business days after the Closing, we will use our commercially reasonable efforts to file with the SEC a registration statement for the registration, under the Securities Act, of the shares of our Common Stock issuable upon exercise of the warrants. We will use our commercially reasonable efforts to cause the same to become effective and to maintain the effectiveness of such registration statement, and a current prospectus relating thereto, until the expiration or redemption of the warrants in accordance with the provisions of the Warrant Agreement. If a registration statement covering the issuance of the shares of our Common Stock issuable upon exercise of the warrants is not effective by the 60th business day after the Closing,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In addition, if our Common Stock is at the time of any exercise of a warrant not listed on a national securities exchange such that they satisfy the definition of a “covered security” under Section 18(b)(1) of the Securities Act, we may, at our option, require holders of our warrants included in the units issued in the IPO each of which is exercisable for one share of Common Stock, in accordance with its terms following the Closing (the “Public Warrants”) who exercise their warrants to do so on a “cashless basis” in accordance with Section 3(a)(9) of the Securities Act and, in the event we elect to do so, we will not be required to file or maintain in effect a registration statement, but we will use our commercially reasonable efforts to register or qualify the shares under applicable blue sky laws to the extent an exemption is not available. In such event, each holder would pay the exercise price by surrendering each such warrant for that number of shares of our Common Stock equal to the lesser of (A) the quotient obtained by dividing (x) the product of the number of shares of our Common Stock underlying the warrants, multiplied the excess of the “fair market value” less the exercise price of the warrants by (y) the fair market value and (B) 0.361. The “fair market value” shall mean the volume weighted average price of the shares of our Common Stock for the 10 trading days ending on the trading day prior to the date on which the notice of exercise is received by Continental Stock Transfer &amp; Trust Company (the “Warrant Agent”).</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Redemption of Warrants When the Price per Share of Our Common Stock Equals or Exceeds $108.00 (as adjusted)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Once the Warrants become exercisable, we may call the Warrants for redemption:</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 whole and not in part;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 a price of  $0.01 per Warrant;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upon not less than 30 days’ prior written notice of redemption (the “</w:t>
            </w:r>
            <w:r>
              <w:rPr>
                <w:rFonts w:ascii="Times New Roman" w:hAnsi="Times New Roman"/>
                <w:i/>
                <w:color w:val="000000"/>
                <w:sz w:val="20"/>
              </w:rPr>
              <w:t>30-day redemption period</w:t>
            </w:r>
            <w:r>
              <w:rPr>
                <w:rFonts w:ascii="Times New Roman" w:hAnsi="Times New Roman"/>
                <w:color w:val="000000"/>
                <w:sz w:val="20"/>
              </w:rPr>
              <w:t>”) to each Warrant holder; 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if, and only if, the last reported sale price of the shares of our Common Stock for any 20 trading days within a 30-trading day period commencing after the Warrants become exercisable and ending three business days before we send the notice of redemption to the Warrant holders (which we refer to as the “</w:t>
            </w:r>
            <w:r>
              <w:rPr>
                <w:rFonts w:ascii="Times New Roman" w:hAnsi="Times New Roman"/>
                <w:i/>
                <w:color w:val="000000"/>
                <w:sz w:val="20"/>
              </w:rPr>
              <w:t>Reference Value</w:t>
            </w:r>
            <w:r>
              <w:rPr>
                <w:rFonts w:ascii="Times New Roman" w:hAnsi="Times New Roman"/>
                <w:color w:val="000000"/>
                <w:sz w:val="20"/>
              </w:rPr>
              <w:t>”) equals or exceeds $108.00 per share (as adjusted by the same ratio as the reverse stock split that was effective as of July 5, 2023, or 1-for-6, and subject to further adjustment for stock splits, stock dividends, reorganizations, recapitalizations and the like).</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If and when the warrants become redeemable by us, we may exercise our redemption right even if we are unable to register or qualify the underlying securities for sale under all applicable state securities laws. However, we will not redeem the warrants unless an effective registration statement under the Securities Act covering the shares of our Common Stock issuable upon exercise of the warrants is effective and a current prospectus relating to those shares of our Common Stock is available throughout the 30-day redemption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established the last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shares of our Common Stock may fall below the $108.00 redemption trigger price (as adjusted by the same ratio as the reverse stock split that was effective as of July 5, 2023, or 1-for-6, and subject to further adjustment for stock splits, stock dividends, reorganizations, recapitalizations and the like) as well as the $11.50 (for whole shares) warrant exercise price after the redemption notice is issued.</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Redemption of Warrants When the Price per Share of Our Common Stock Equals or Exceeds $60.00 (as adjusted)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Once the warrants become exercisable, we may redeem the outstanding warrants (except as described herein with respect to the warrants issued to Rotor Sponsor, LLC, a Delaware limited liability company (the “Sponsor”) and the certain funds managed by BlackRock and Riverview Group LLC and its affiliates that subscribed for warrants in a private placement concurrent with the IPO (the “Private Placement Warrants”) if we do not utilize this redemption provision):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 whole and not in part;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of our Common Stock (as defined below);</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and only if, the Reference Value (as defined above) equals or exceeds $60.00 per share (as adjusted by the same ratio as the reverse stock split that was effective as of July 5, 2023, or 1-for-6, and subject to further adjustment for stock splits, stock dividends, reorganizations, recapitalizations and the like); 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if the Reference Value is less than $108.00 per share (as adjusted by the same ratio as the reverse stock split that was effective as of July 5, 2023, or 1-for-6, and subject to further adjustment for stock splits, stock dividends, reorganizations, recapitalizations and the like) the Private Placement Warrants must also be concurrently called for redemption on the same terms (except as described above with respect to a holder’s ability to cashless exercise its warrants) as the outstanding Public Warrants, as described above.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numbers in the table below represent the number of shares of our Common Stock that a warrant holder will receive upon exercise in connection with a redemption by us pursuant to this redemption feature, based on the “fair market value” of our Common Stock on the corresponding redemption date (assuming holders elect to exercise their warrants and such warrants are not redeemed for $0.10 per warrant), determined based on the volume-weighted average price of our Common Stock as reported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stock prices set forth in the column headings of the table below will be adjusted for the reverse stock split that was effective as of July 5, 2023, and will be further adjusted as of any date on which the number of shares issuable upon exercise of a warrant or the exercise price of the warrant is adjusted as set forth under the heading “</w:t>
      </w:r>
      <w:r>
        <w:rPr>
          <w:rFonts w:ascii="Times New Roman" w:hAnsi="Times New Roman"/>
          <w:i/>
          <w:color w:val="000000"/>
          <w:sz w:val="20"/>
        </w:rPr>
        <w:t>-Anti-dilution Adjustments</w:t>
      </w:r>
      <w:r>
        <w:rPr>
          <w:rFonts w:ascii="Times New Roman" w:hAnsi="Times New Roman"/>
          <w:color w:val="000000"/>
          <w:sz w:val="20"/>
        </w:rPr>
        <w:t xml:space="preserve">” below. If the number of shares issuable upon exercise of a warrant is adjusted, including as a result of the reverse stock split that was effective as of July 5, 2023, the adjusted stock prices in the column headings will equal the stock prices immediately prior to such adjustment, multiplied by a fraction, the numerator of which is the exercise price of the warrant after such adjustment and the denominator of which is the exercise price of the warrant immediately after to such adjustment. In such an event, the number of shares in the table below shall be adjusted by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 xml:space="preserve">multiplying such share amounts by a fraction, the numerator of which is the number of shares deliverable upon exercise of a warrant immediately prior to such adjustment and the denominator of which is the number of shares deliverable upon exercise of a warrant as so adjusted. </w:t>
      </w:r>
    </w:p>
    <w:p>
      <w:pPr>
        <w:pStyle w:val="TextBody"/>
        <w:bidi w:val="0"/>
        <w:jc w:val="both"/>
        <w:rPr/>
      </w:pPr>
      <w:r>
        <w:rPr/>
        <w:t> </w:t>
      </w:r>
    </w:p>
    <w:tbl>
      <w:tblPr>
        <w:tblW w:w="9357" w:type="dxa"/>
        <w:jc w:val="left"/>
        <w:tblInd w:w="0" w:type="dxa"/>
        <w:tblLayout w:type="fixed"/>
        <w:tblCellMar>
          <w:top w:w="28" w:type="dxa"/>
          <w:left w:w="28" w:type="dxa"/>
          <w:bottom w:w="28" w:type="dxa"/>
          <w:right w:w="28" w:type="dxa"/>
        </w:tblCellMar>
      </w:tblPr>
      <w:tblGrid>
        <w:gridCol w:w="1741"/>
        <w:gridCol w:w="109"/>
        <w:gridCol w:w="129"/>
        <w:gridCol w:w="516"/>
        <w:gridCol w:w="109"/>
        <w:gridCol w:w="109"/>
        <w:gridCol w:w="181"/>
        <w:gridCol w:w="436"/>
        <w:gridCol w:w="109"/>
        <w:gridCol w:w="109"/>
        <w:gridCol w:w="181"/>
        <w:gridCol w:w="436"/>
        <w:gridCol w:w="109"/>
        <w:gridCol w:w="109"/>
        <w:gridCol w:w="181"/>
        <w:gridCol w:w="436"/>
        <w:gridCol w:w="109"/>
        <w:gridCol w:w="109"/>
        <w:gridCol w:w="181"/>
        <w:gridCol w:w="436"/>
        <w:gridCol w:w="109"/>
        <w:gridCol w:w="109"/>
        <w:gridCol w:w="181"/>
        <w:gridCol w:w="436"/>
        <w:gridCol w:w="109"/>
        <w:gridCol w:w="109"/>
        <w:gridCol w:w="181"/>
        <w:gridCol w:w="436"/>
        <w:gridCol w:w="109"/>
        <w:gridCol w:w="109"/>
        <w:gridCol w:w="181"/>
        <w:gridCol w:w="436"/>
        <w:gridCol w:w="109"/>
        <w:gridCol w:w="109"/>
        <w:gridCol w:w="129"/>
        <w:gridCol w:w="516"/>
        <w:gridCol w:w="154"/>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34"/>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Market Value of Our Common stock</w:t>
            </w:r>
          </w:p>
        </w:tc>
        <w:tc>
          <w:tcPr>
            <w:tcW w:w="154"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bottom w:val="single" w:sz="6"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14"/>
              </w:rPr>
            </w:pPr>
            <w:r>
              <w:rPr>
                <w:rFonts w:ascii="Times New Roman" w:hAnsi="Times New Roman"/>
                <w:b/>
                <w:color w:val="000000"/>
                <w:sz w:val="14"/>
              </w:rPr>
              <w:t>Redemption Date (period to</w:t>
            </w:r>
          </w:p>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expiration of warrants)</w:t>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14"/>
              </w:rPr>
              <w:t>$10.00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11.00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12.00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13.00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14.00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15.00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16.00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3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17.00</w:t>
            </w:r>
          </w:p>
        </w:tc>
        <w:tc>
          <w:tcPr>
            <w:tcW w:w="109"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r>
              <w:rPr>
                <w:rFonts w:ascii="Times New Roman" w:hAnsi="Times New Roman"/>
                <w:b/>
                <w:color w:val="000000"/>
                <w:sz w:val="14"/>
              </w:rPr>
              <w:t>$18.00</w:t>
            </w:r>
          </w:p>
        </w:tc>
        <w:tc>
          <w:tcPr>
            <w:tcW w:w="154"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60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57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54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51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48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0.241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45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42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0.228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39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36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0.213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33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30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27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24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0.204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21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18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0.146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0.179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0.211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15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12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0.111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0.146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0.181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9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6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0.065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0.099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0.137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0.178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0.259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0.296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0.331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3 months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0 months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0.115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0.179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0.233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0.281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0.361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exact fair market value and redemption date may not be set forth in the table above, in which case, if the fair market value is between two values in the table or the redemption date is between two redemption dates in the table, the number of shares of our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volume-weighted average price of our Common Stock as reported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Common Stock for each whole warrant. For an example where the exact fair market value and redemption date are not as set forth in the table above, if the volume-weighted average price of our Common Stock as reported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Common Stock for each whole warrant. The foregoing example is subject to adjustment for the reverse stock split that was effective as of July 5, 2023, and subject to further adjustment as described above. In no event will the warrants be exercisable in connection with this redemption feature for more than 0.361 Common Stock per warrant (subject to adjustment for the reverse stock split that was effective as of July 5, 2023, and subject to further adjustment as described above).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This redemption feature differs from the typical warrant redemption features used in many other blank check offerings, which typically only provide for a redemption of warrants (other than the Private Placement Warrants) when the trading price for the shares of Common Stock exceeds $108.00 per share (as adjusted by the same ratio as the reverse stock split that was effective as of July 5, 2023, or 1-for-6, and subject to further adjustment) for a specified period of time. This redemption feature is structured to allow for all of the outstanding warrants to be redeemed when the shares of our Common Stock are trading at or above $60.00 per share (as adjusted by the same ratio as the reverse stock split that was effective as of July 5, 2023, or 1-for-6, and subject to further adjustment), which may be at a time when the trading price of our shares of Common Stock is below the exercise price of the warrants. We have established this redemption feature to provide us with the flexibility to redeem the warrants without the warrants having to reach the $108.00 per share threshold (as adjusted by the same ratio as the reverse stock split that was effective as of July 5, 2023, or 1-for-6, and subject to further adjustment) set forth above under “</w:t>
      </w:r>
      <w:r>
        <w:rPr>
          <w:rFonts w:ascii="Times New Roman" w:hAnsi="Times New Roman"/>
          <w:i/>
          <w:color w:val="000000"/>
          <w:sz w:val="20"/>
        </w:rPr>
        <w:t>-Redemption of Warrants When the Price per Share of Our Common Stock Equals or Exceeds $108.00 (as adjusted)</w:t>
      </w:r>
      <w:r>
        <w:rPr>
          <w:rFonts w:ascii="Times New Roman" w:hAnsi="Times New Roman"/>
          <w:color w:val="000000"/>
          <w:sz w:val="20"/>
        </w:rPr>
        <w:t xml:space="preserve">.” Holders choosing to exercise their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warrants in connection with a redemption pursuant to this feature will, in effect, receive a number of shares for their warrants based on an option pricing model with a fixed volatility input as of January 14, 2021. This redemption right provides us with an additional mechanism by which to redeem all of the outstanding warrants, and therefore have certainty as to our capital structure.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stated above, we can redeem the warrants when the shares of our Common Stock are trading at a price starting at $60.00 (as adjusted by the same ratio as the reverse stock split that was effective as of July 5, 2023, or 1-for-6, and subject to further adjustment), which is below the exercise price of $69.00 (as adjusted upon exercise by the same ratio as the reverse stock split that was effective as of July 5, 2023, or 1-for-6, and subject to further adjustment),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our Common Stock are trading at a price below the exercise price of the warrants, this could result in the warrant holders receiving fewer shares of Common Stock than they would have received if they had chosen to wait to exercise their warrants for Common Stock if and when such shares of Common Stock were trading at a price higher than the exercise price of $69.00 (as adjusted upon exercise by the same ratio as the reverse stock split that was effective as of July 5, 2023, or 1-for-6, and subject to further adjustment).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fractional shares of our Common Stock will be issued upon exercise. If, upon exercise, a holder would be entitled to receive a fractional interest in a share, we will round down to the nearest whole number of the number of shares of our Common Stock to be issued to the holder. If, at the time of redemption, the warrants are exercisable for a security other than the shares of our Common Stock pursuant to the Warrant Agreement, the warrants may be exercised for such security. At such time as the warrants become exercisable for a security other than the shares of our Common Stock, the Company will use its commercially reasonable efforts to register under the Securities Act the security issuable upon the exercise of the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Maximum Percentage</w:t>
      </w:r>
      <w:r>
        <w:rPr>
          <w:rFonts w:ascii="Times New Roman" w:hAnsi="Times New Roman"/>
          <w:color w:val="000000"/>
          <w:sz w:val="20"/>
        </w:rPr>
        <w:t>. 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our Common Stock issued and outstanding immediately after giving effect to such exercise.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Anti-dilution Adjustments</w:t>
      </w:r>
      <w:r>
        <w:rPr>
          <w:rFonts w:ascii="Times New Roman" w:hAnsi="Times New Roman"/>
          <w:color w:val="000000"/>
          <w:sz w:val="20"/>
        </w:rPr>
        <w:t>. If the number of outstanding shares of our Common Stock is increased by a stock capitalization or stock dividend payable in shares of our Common Stock, or by a split-up of common stock or other similar event, then, on the effective date of such stock capitalization or stock dividend, split-up or similar event, the number of shares of our Common Stock issuable on exercise of each warrant will be increased in proportion to such increase in the outstanding shares of common stock. A rights offering to holders of common stock entitling holders to purchase Common Stock at a price less than the “historical fair market value” (as defined below) will be deemed a stock dividend of a number of shares of our Common Stock equal to the product of (i) the number of shares of our Common Stock actually sold in such rights offering (or issuable under any other equity securities sold in such rights offering that are convertible into or exercisable for Common Stock) and (ii) one minus the quotient of (x) the price per share of our Common Stock paid in such rights offering and (y) the historical fair market value. For these purposes, (i) if the rights offering is for securities convertible into or exercisable for shares of our Common Stock, in determining the price payable for Common Stock, there will be taken into account any consideration received for such rights, as well as any additional amount payable upon exercise or conversion and (ii) “historical fair market value” means the volume-weighted average price of shares of our Common Stock as reported during the 10 trading day period ending on the trading day prior to the first date on which the shares of our Common Stock trade on the applicable exchange or in the applicable market, regular way, without the right to receive such rights.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if we, at any time while the warrants are outstanding and unexpired, pay a dividend or make a distribution in cash, securities or other assets to the holders of shares of our Common Stock on account of such Common Stock (or other securities into which the warrants are convertible), other than (a) as described above and (b) any cash dividends or cash distributions which, when combined on a per share basis with all other cash dividends and cash distributions paid on the shares of our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our Common Stock issuable on exercise of each warrant) but only with respect to the amount of the aggregate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cash dividends or cash distributions equal to or less than $0.50 per share, then the warrant exercise price will be decreased, effective immediately after the effective date of such event, by the amount of cash and/or the fair market value of any securities or other assets paid on each share of our Common Stock in respect of such event.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number of outstanding shares of our Common Stock is decreased by a consolidation, combination, reverse stock split or reclassification of our Common Stock or other similar event, then, on the effective date of such consolidation, combination, reverse stock split, reclassification or similar event, the number of shares of our Common Stock issuable on exercise of each warrant will be decreased in proportion to such decrease in outstanding shares of our Common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Whenever the number of shares of our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our Common Stock purchasable upon the exercise of the warrants immediately prior to such adjustment and (y) the denominator of which will be the number of shares of our Common Stock so purchasable immediately thereafter.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case of any reclassification or reorganization of the outstanding Common Stock (other than those described above or that solely affects the par value of such Common Stock), or in the case of any merger or consolidation of us with or into another corporation (other than a consolidation or merger in which we are the continuing corporation and that does not result in any reclassification or reorganization of our outstanding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our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our Common Stock in such a transaction is payable in the form of our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warrants were issued in registered form under a warrant agreement between Continental Stock Transfer &amp; Trust Company, as Warrant Agent, and Rotor. The Warrant Agreement provides that the terms of the warrants may be amended without the consent of any holder to cure any ambiguity or correct any defective provision or mistake, including to conform the provisions of the Warrant Agreement to the description of the terms of the warrants and the Warrant Agreement, but requires the approval by the holders of at least 65% of the then-outstanding Public Warrants to make any change that adversely affects the interests of the registered holders.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Common Stock. After the issuance of our Common Stock upon exercise of the warrants, each holder will be entitled to one vote for each share held of record on all matters to be voted on by stockholders.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fractional shares will be issued upon exercise of the warrants. If, upon exercise of the warrants, a holder would be entitled to receive a fractional interest in a share, we will, upon exercise, round down to the nearest whole number, the number of shares of our Common Stock to be issued to the warrant holder.</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i/>
          <w:color w:val="000000"/>
          <w:sz w:val="20"/>
        </w:rPr>
      </w:pPr>
      <w:r>
        <w:rPr>
          <w:rFonts w:ascii="Times New Roman" w:hAnsi="Times New Roman"/>
          <w:b/>
          <w:i/>
          <w:color w:val="000000"/>
          <w:sz w:val="20"/>
        </w:rPr>
        <w:t>Private Placement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Private Placement Warrants (including the shares of our Common Stock issuable upon exercise of the Private Placement Warrants) will not be transferable, assignable or salable until 30 days after the Closing (except pursuant to limited exceptions as described under “</w:t>
      </w:r>
      <w:r>
        <w:rPr>
          <w:rFonts w:ascii="Times New Roman" w:hAnsi="Times New Roman"/>
          <w:i/>
          <w:color w:val="000000"/>
          <w:sz w:val="20"/>
        </w:rPr>
        <w:t>-Restrictions on Transfers of Founder Shares and Private Placement Warrants</w:t>
      </w:r>
      <w:r>
        <w:rPr>
          <w:rFonts w:ascii="Times New Roman" w:hAnsi="Times New Roman"/>
          <w:color w:val="000000"/>
          <w:sz w:val="20"/>
        </w:rPr>
        <w:t>,” to our officers and directors and other persons or entities affiliated with the initial purchasers of the Private Placement Warrants) and they will not be redeemable by us so long as they are held by the Sponsor or its permitted transferees (except as otherwise set forth herein). The initial purchasers or their permitted transferees have the option to exercise the Private Placement Warrants on a cashless basis. Except as described herein, the Private Placement Warrants have terms and provisions that are identical to those of the Public Warrants. If the Private Placement Warrants are held by holders other than the initial purchasers or their permitted transferees, the Private Placement Warrants will be redeemable by us in all redemption scenarios and exercisable by the holders on the same basis as the Public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redemption rights described under “</w:t>
      </w:r>
      <w:r>
        <w:rPr>
          <w:rFonts w:ascii="Times New Roman" w:hAnsi="Times New Roman"/>
          <w:i/>
          <w:color w:val="000000"/>
          <w:sz w:val="20"/>
        </w:rPr>
        <w:t>-Redemption of Warrants When the Price per Share of Our Common Stock Equals or Exceeds $60.00 (as adjusted)</w:t>
      </w:r>
      <w:r>
        <w:rPr>
          <w:rFonts w:ascii="Times New Roman" w:hAnsi="Times New Roman"/>
          <w:color w:val="000000"/>
          <w:sz w:val="20"/>
        </w:rPr>
        <w:t xml:space="preserve">,” will not apply to the Private Placement Warrants if at the time of redemption the Private Placement Warrants continue to be held by the initial purchasers or their permitted transferees under the Warrant Agreement. If holders of the Private Placement Warrants elect to exercise them on a cashless basis, they would pay the exercise price by surrendering his, her or its warrants for that number of shares of our Common Stock equal to the quotient obtained by dividing (x) the product of the number of shares of our Common Stock underlying the warrants, multiplied by the excess of the “historical fair market value” (defined below) over the exercise price of the warrants by (y) the historical fair market value. For these purposes, the “historical fair market value” shall mean the volume-weighted average sale price of the shares of our Common Stock for the 10 trading days ending on the third trading day prior to the date on which the notice of warrant exercise is received by the Warrant Agent.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Transfer Agent and Warrant Agent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such claims and losses that may arise out of acts performed or omitted for its activities in that capacity, except for any claims and losses due to any gross negligence or intentional misconduct of the indemnified person or entity.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Certain Anti-Takeover Provisions of Delaware Law, the Company’s Certificate of Incorporation and Bylaws</w:t>
      </w:r>
    </w:p>
    <w:p>
      <w:pPr>
        <w:pStyle w:val="TextBody"/>
        <w:bidi w:val="0"/>
        <w:jc w:val="both"/>
        <w:rPr>
          <w:rFonts w:ascii="Times New Roman" w:hAnsi="Times New Roman"/>
          <w:color w:val="000000"/>
          <w:sz w:val="20"/>
        </w:rPr>
      </w:pPr>
      <w:r>
        <w:rPr>
          <w:rFonts w:ascii="Times New Roman" w:hAnsi="Times New Roman"/>
          <w:color w:val="000000"/>
          <w:sz w:val="20"/>
        </w:rPr>
        <w:t xml:space="preserve">Certain provisions of our Charter and Bylaws which are summarized below may have the effect of delaying, deferring or discouraging another person from acquiring control of us. They are also designed, in part, to encourage persons seeking to acquire control of the Company to negotiate first with our board of directors (the “Board”). We believe that the benefits of increased protection of our ability to negotiate with an unfriendly or unsolicited acquirer will outweigh the disadvantages of discouraging a proposal to acquire the post-combination company because negotiation of these proposals could result in an improvement of their terms.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Delaware Law</w:t>
      </w:r>
    </w:p>
    <w:p>
      <w:pPr>
        <w:pStyle w:val="TextBody"/>
        <w:bidi w:val="0"/>
        <w:jc w:val="both"/>
        <w:rPr>
          <w:rFonts w:ascii="Times New Roman" w:hAnsi="Times New Roman"/>
          <w:color w:val="000000"/>
          <w:sz w:val="20"/>
        </w:rPr>
      </w:pPr>
      <w:r>
        <w:rPr>
          <w:rFonts w:ascii="Times New Roman" w:hAnsi="Times New Roman"/>
          <w:color w:val="000000"/>
          <w:sz w:val="20"/>
        </w:rPr>
        <w:t>We are governed by the provisions of Section 203 of the Delaware General Corporation Law (the “DGCL”).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business combination or transaction which resulted in the stockholder becoming an interested stockholder was approved by the Board prior to the time that the stockholder became an interested stockholder;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89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tc>
      </w:tr>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898"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Section 203 defines a business combination to include:</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mergers or consolidations involving the corporation, or any direct or indirect majority-owned subsidiary of the corporation, and the interested stockholder or any other entity if the merger or consolidation is caused by the interested stockholder;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any sale, transfer, pledge or other disposition involving the interested stockholder of 10% or more of the assets of the corporation or any direct or indirect majority-owned subsidiary of the corporation;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subject to exceptions, any transaction that results in the issuance or transfer by the corporation, or any direct or indirect majority-owned subsidiary of the corporation, of any stock of the corporation or such subsidiary to the interested stockholder;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any transaction involving the corporation, or any direct or indirect majority-owned subsidiary of the corporation, that has the effect of increasing the proportionate share of the stock or any class or series of the corporation or such subsidiary beneficially owned by the interested stockholder; 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receipt by the interested stockholder of the benefit of any loans, advances, guarantees, pledges or other financial benefits provided by or through the corporation.</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provisions may have the effect of delaying, deferring or preventing changes in control of the Company.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Certificate of Incorporation and Bylaws Provisions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Provisions of the Charter and the Bylaws include a number of provisions that could deter hostile takeovers or delay or prevent changes in control of our Board or management. Among other things, the Charter and the Bylaws:</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permit our Board to issue shares of preferred stock, with any powers, rights, preferences and privileges as they may designate;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 that the authorized number of directors may be changed only by resolution of the Board;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 that all vacancies and newly created directorships resulting from any increase in the authorized number of directors, may, except as otherwise required by law, our governing documents or resolution of our Board, and subject to the rights of holders of our preferred stock, only be filled by the affirmative vote of a majority of directors then in office, even if less than a quorum, or by a sole remaining director;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divide our Board into three classes, each of which stands for election once every three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 so long as our Board is classified, and subject to the rights of holders of our preferred stock, provide that a director may only be removed from the Board by the stockholders for cause, and only by the affirmative vote of the holders of at least a 66⅔% of the voting power of the issued and outstanding capital stock of the Company entitled to vote in the election of directors;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require that any action to be taken by our stockholders must be effected at a duly called annual or special meeting of stockholders and not be taken by written consent;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do not provide for cumulative voting rights (therefore allowing the holders of a plurality of the shares of Common Stock entitled to vote in any election of directors to elect all of the directors standing for election, if they should so choose);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provide that special meetings of our stockholders may be called only by a majority of our Board, the chairperson of our Board, our chief executive officer or our secretary;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provide that stockholders will be permitted to amend certain provisions of the Charter and the Bylaws only upon receiving the affirmative vote of at least two-thirds of the voting power of the then outstanding voting securities, voting together as a single class; and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designate the Court of Chancery of the State of Delaware (or, if the Court of Chancery does not have jurisdiction, another State court in Delaware or the federal district court for the District of Delaware) as the exclusive forums for certain disputes.</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Forum Selection Clause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Bylaws provide that, unless we consent in writing to the selection of an alternative forum, the sole and exclusive forum, to the fullest extent permitted by law, for (1) any derivative action or proceeding brought on our behalf, (2) any action asserting a breach of a fiduciary duty owed by any director, stockholder, officer or other employee to us or our stockholders, (3) any action arising pursuant to any provision of the DGCL or our Charter and Bylaws (as either may be amended from time to time), or (4)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In addition, our Bylaws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 Any person or entity purchasing or otherwise acquiring or holding or owning (or continuing to hold or own)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Advance Notice of Director Nominations and New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Bylaws include advance notice procedures with respect to stockholder proposals and the nomination of candidates for election as director. In order for any matter to be “properly brought” before a meeting, a stockholder will have to comply with such advance notice procedures and provide us with certain information in certain form. Our Bylaws allow the presiding officer at a meeting of stockholders to adopt rules and regulations for the conduct of meetings which may have the effect of precluding the conduct of certain business at a meeting if such rules and regulations are not followed.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Dissenters’ Rights of Appraisal and Payment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DGCL, with certain exceptions, our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Stockholders’ Derivative Actions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Under the DGCL, any of our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Registration Rights</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Founder Registration Rights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entered into a registration rights agreement with respect to the shares issued in the business combination in exchange for Founder Shares, the Private Placement Warrants and the shares of Common Stock issuable upon exercise of the Private Placement Warrants. Pursuant to this registration rights agreement, those persons who held Founder Shares prior to the Closing (“Rotor Restricted Stockholders”) and their permitted transferees are entitled to make up to three demands, excluding short form demands, that we register such securities. In addition, the holders have certain “piggy-back” registration rights with respect to registration statements filed subsequent to the Closing. We will bear the expenses incurred in connection with the filing of any such registration statements.</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PIPE Financing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provided the certain institutional investors (the “PIPE Investors”) that invested in the private placement pursuant to which the PIPE Investors collectively subscribed for 22,000,000 shares of Common Stock at $10.00 per share (the “PIPE Financing”) with certain customary registration rights with respect to the Common Stock issued pursuant to the PIPE Financing. Pursuant to the subscription agreements dated April 5, 2021, each entered into by Rotor and the PIPE Investors (the “Subscription Agreements”), we are obligated, at our sole expense, to register with the SEC such Common Stock for resale no later than 30 days following the Closing and to use commercially reasonable efforts to have such registration statement declared effective as soon as practicable after the filing thereof.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Old Sarcos Registration Rights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Prior to the Closing, Rotor, Old Sarcos, the Sponsor and certain Old Sarcos equity holders entered into a registration rights agreement with respect to the Company’s securities (the “Registration Rights Agreement”). The Registration Rights Agreement provides for the registration of the Common Stock and Private Placement Warrants (and the Common Stock underlying such warrants) held by such security holders with the SEC on Form S-1 or, when available, Form S-3, as well as certain piggy-back registration rights. The Company will bear the expenses incurred in connection with the filing of any such registration statements.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RE2 Registration Rights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Concurrently with the RE2 Merger Agreement, the Company and certain RE2 shareholders entered into a registration rights agreement, pursuant to which, among other things, the Company agreed to file and maintain an effective registration statement under the Securities Act and to undertake certain other related obligations. The Company will bear the expenses incurred in connection with the filing of any such registration statement.</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Rule 144</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Rule 144 under the Securities Act, or Rule 144, a person who has beneficially owned restricted Common Stock or restricted warrants for at least six months would be entitled to sell their securities provided that (i) such person is not deemed to have been an affiliate of ours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other than Form 8-K reports, preceding the sale.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Persons who have beneficially owned restricted shares of Common Stock or restricted warrants for at least six months but who are affiliates of ours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 of the total number of the then outstanding equity shares of the same class; or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average weekly reported trading volume of our Common Stock or warrants, as applicable, during the four calendar weeks preceding the filing of a notice on Form 144 with respect to the sale.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Sales by our affiliates under Rule 144 are also subject to certain requirements relating to manner of sale, notice and availability of current public information about us.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Restrictions on the Use of Rule 144 by Shell Companies or Former Shell Companies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bidi w:val="0"/>
        <w:jc w:val="both"/>
        <w:rPr/>
      </w:pPr>
      <w:r>
        <w:rPr/>
        <w:t> </w:t>
      </w:r>
    </w:p>
    <w:tbl>
      <w:tblPr>
        <w:tblW w:w="8049" w:type="dxa"/>
        <w:jc w:val="left"/>
        <w:tblInd w:w="0" w:type="dxa"/>
        <w:tblLayout w:type="fixed"/>
        <w:tblCellMar>
          <w:top w:w="28" w:type="dxa"/>
          <w:left w:w="28" w:type="dxa"/>
          <w:bottom w:w="28" w:type="dxa"/>
          <w:right w:w="28" w:type="dxa"/>
        </w:tblCellMar>
      </w:tblPr>
      <w:tblGrid>
        <w:gridCol w:w="124"/>
        <w:gridCol w:w="109"/>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781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issuer of the securities that was formerly a shell company has ceased to be a shell company;</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issuer of the securities is subject to the reporting requirements of Section 13 or 15(d) of the Exchange Act;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at least one year has elapsed from the time that the issuer filed current Form 10 type information with the SEC reflecting its status as an entity that is not a shell company.</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no longer a shell company, and as a result, if the conditions set forth in the exceptions listed above are satisfied, Rule 144 will become available for the resale of restricted shares of Common Stock or restricted warrants.</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Rule 145</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shares of Common Stock and warrants held by certain persons or entities is subject to the provisions of Rule 145 under the Securities Act, or Rule 145. Under Rule 145, a person or entity that is an affiliate of a party to a merger, acquisition or reclassification (a “merger”) involving a shell company at the time the merger is submitted for vote or consent by the parties is deemed to be an underwriter in connection with any transaction to publicly offer or sell securities acquired in the merger unless the following conditions are met: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conditions set forth under “Restrictions on the Use of Rule 144 by Shell Companies or Former Shell Companies”; 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either (i) the sale occurs at least 90 days after the securities were acquired in the merger, or December 31, 2021, and the conditions applicable to resales under Rule 144(c), (e), (f) and (g), are satisfied or (ii) for a person who is not an affiliate of ours on the date of sale (and has not been an affiliate of ours within three months prior to the date of sale), either (A) at least one year has elapsed since the securities were acquired in the merger, or September 24, 2022, or (B) if we satisfy the current public information requirements set forth in Rule 144(c), at least six months have elapsed since the securities were acquired in the merger, or March 24, 2022.</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Securities subject to Rule 145 may be resold pursuant to a registration statement registering their resale which is also registering the resales of the securities acquired in the merger.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Listing of Securities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Common Stock and warrants are listed on Nasdaq under the symbols “STRC” and “STRCW,” respectively.</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8" w:name="strc-ex10_12.htm"/>
      <w:bookmarkStart w:id="49" w:name="ksstrcex10_12"/>
      <w:bookmarkEnd w:id="48"/>
      <w:bookmarkEnd w:id="49"/>
      <w:r>
        <w:rPr>
          <w:rFonts w:ascii="Times New Roman" w:hAnsi="Times New Roman"/>
          <w:b/>
          <w:color w:val="000000"/>
          <w:sz w:val="24"/>
        </w:rPr>
        <w:t>Exhibit 10.12</w:t>
      </w:r>
      <w:r>
        <w:br w:type="page"/>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SARCOS CORP.</w:t>
        <w:br/>
        <w:br/>
        <w:t>EMPLOYMENT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Employment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entered into as of January 11, 2024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by and between Sarcos Corp.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Sarcos Technology and Robotics Corporation (“</w:t>
      </w:r>
      <w:r>
        <w:rPr>
          <w:rFonts w:ascii="Times New Roman" w:hAnsi="Times New Roman"/>
          <w:b/>
          <w:color w:val="000000"/>
          <w:sz w:val="24"/>
        </w:rPr>
        <w:t>Parent</w:t>
      </w:r>
      <w:r>
        <w:rPr>
          <w:rFonts w:ascii="Times New Roman" w:hAnsi="Times New Roman"/>
          <w:color w:val="000000"/>
          <w:sz w:val="20"/>
        </w:rPr>
        <w:t>”</w:t>
      </w:r>
      <w:r>
        <w:rPr>
          <w:rFonts w:ascii="Times New Roman" w:hAnsi="Times New Roman"/>
          <w:color w:val="000000"/>
          <w:sz w:val="24"/>
        </w:rPr>
        <w:t>) and Matthew L. Vogt (“</w:t>
      </w:r>
      <w:r>
        <w:rPr>
          <w:rFonts w:ascii="Times New Roman" w:hAnsi="Times New Roman"/>
          <w:b/>
          <w:color w:val="000000"/>
          <w:sz w:val="24"/>
        </w:rPr>
        <w:t>Executive</w:t>
      </w:r>
      <w:r>
        <w:rPr>
          <w:rFonts w:ascii="Times New Roman" w:hAnsi="Times New Roman"/>
          <w:color w:val="000000"/>
          <w:sz w:val="20"/>
        </w:rPr>
        <w:t xml:space="preserve">” </w:t>
      </w:r>
      <w:r>
        <w:rPr>
          <w:rFonts w:ascii="Times New Roman" w:hAnsi="Times New Roman"/>
          <w:color w:val="000000"/>
          <w:sz w:val="24"/>
        </w:rPr>
        <w:t>and, together with the Company and Parent, the “</w:t>
      </w:r>
      <w:r>
        <w:rPr>
          <w:rFonts w:ascii="Times New Roman" w:hAnsi="Times New Roman"/>
          <w:b/>
          <w:color w:val="000000"/>
          <w:sz w:val="24"/>
        </w:rPr>
        <w:t>Parties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RECITALS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Parent and the Company wish to continue to retain the services of Executive following the Effective Date and Executive wishes to be employed by the Company (or one of its affiliates) following the Effective Date on the terms and subject to the conditions set forth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foregoing recital and the respective undertakings of the Company, Parent and Executive set forth below, the Company and Executive agree as follows: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pPr>
      <w:r>
        <w:rPr>
          <w:rFonts w:ascii="Times New Roman" w:hAnsi="Times New Roman"/>
          <w:color w:val="000000"/>
          <w:sz w:val="24"/>
          <w:u w:val="single"/>
        </w:rPr>
        <w:t>Duties and Obligations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Duties and Scope of Employment</w:t>
      </w:r>
      <w:r>
        <w:rPr>
          <w:rFonts w:ascii="Times New Roman" w:hAnsi="Times New Roman"/>
          <w:color w:val="000000"/>
          <w:sz w:val="24"/>
        </w:rPr>
        <w:t>. As of the Effective Date, Executive will continue to serve as Chief Revenue Officer of Parent and the Company (and any other roles to which he has been or may be appointed at such entities or at any direct or indirect subsidiary of Parent) and report to the Company’s and Parent’s Chief Executive Officer (the “</w:t>
      </w:r>
      <w:r>
        <w:rPr>
          <w:rFonts w:ascii="Times New Roman" w:hAnsi="Times New Roman"/>
          <w:b/>
          <w:color w:val="000000"/>
          <w:sz w:val="24"/>
        </w:rPr>
        <w:t>CEO</w:t>
      </w:r>
      <w:r>
        <w:rPr>
          <w:color w:val="000000"/>
        </w:rPr>
        <w:t>”</w:t>
      </w:r>
      <w:r>
        <w:rPr>
          <w:rFonts w:ascii="Times New Roman" w:hAnsi="Times New Roman"/>
          <w:color w:val="000000"/>
          <w:sz w:val="24"/>
        </w:rPr>
        <w:t>). Executive will render business and professional services in the performance of Executive’s duties, consistent with Executive’s position within Parent and the Company, as will reasonably be assigned to Executive by the CEO. The period of Executive’s employment under this Agreement is referred to in this Agreement as the “</w:t>
      </w:r>
      <w:r>
        <w:rPr>
          <w:rFonts w:ascii="Times New Roman" w:hAnsi="Times New Roman"/>
          <w:b/>
          <w:color w:val="000000"/>
          <w:sz w:val="24"/>
        </w:rPr>
        <w:t>Employment Term</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Obligations</w:t>
      </w:r>
      <w:r>
        <w:rPr>
          <w:rFonts w:ascii="Times New Roman" w:hAnsi="Times New Roman"/>
          <w:color w:val="000000"/>
          <w:sz w:val="24"/>
        </w:rPr>
        <w:t>. During the Employment Term, Executive will perform Executive’s duties faithfully and to the best of Executive’s ability and will devote Executive’s full business efforts and time to Parent and the Company (and, to the extent applicable, subsidiaries of Parent). Except as prohibited by applicable law, for the duration of the Employment Term, Executive agrees not to actively engage in any other employment, occupation, or consulting activity for any direct or indirect remuneration without the prior approval of the Board, provided that Executive may continue to serve on the board of the California Aerospace Museum and oversee the operations of the winery he majority owns, and Executive will not engage in any other activities that materially interfere with Executive’s obligations to the Company. Executive further agrees to comply with all Company policies, including, for the avoidance of any doubt, any insider trading policies and compensation clawback policies currently in existence or that may be adopted by the Company during the Employment Term.</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pPr>
      <w:r>
        <w:rPr>
          <w:rFonts w:ascii="Times New Roman" w:hAnsi="Times New Roman"/>
          <w:color w:val="000000"/>
          <w:sz w:val="24"/>
          <w:u w:val="single"/>
        </w:rPr>
        <w:t>At-Will Employment</w:t>
      </w:r>
      <w:r>
        <w:rPr>
          <w:rFonts w:ascii="Times New Roman" w:hAnsi="Times New Roman"/>
          <w:color w:val="000000"/>
          <w:sz w:val="24"/>
        </w:rPr>
        <w:t xml:space="preserve">. Subject to the terms hereof, Executive’s employment with the Company will be “at-will” employment and may be terminated by the Company at any time </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 or without cause or with or without notice. However, as described in this Agreement, Executive may be entitled to severance benefits depending upon the circumstances of Executive’s termination of employment.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both"/>
        <w:rPr/>
      </w:pPr>
      <w:r>
        <w:rPr>
          <w:rFonts w:ascii="Times New Roman" w:hAnsi="Times New Roman"/>
          <w:color w:val="000000"/>
          <w:sz w:val="24"/>
          <w:u w:val="single"/>
        </w:rPr>
        <w:t>Compensation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Base Salary</w:t>
      </w:r>
      <w:r>
        <w:rPr>
          <w:rFonts w:ascii="Times New Roman" w:hAnsi="Times New Roman"/>
          <w:color w:val="000000"/>
          <w:sz w:val="24"/>
        </w:rPr>
        <w:t>. During the Employment Term, the Company will pay Executive an annual base salary of $310,000 as compensation for Executive’s services (the annual base salary as may be amended from time to time, the “</w:t>
      </w:r>
      <w:r>
        <w:rPr>
          <w:rFonts w:ascii="Times New Roman" w:hAnsi="Times New Roman"/>
          <w:b/>
          <w:color w:val="000000"/>
          <w:sz w:val="24"/>
        </w:rPr>
        <w:t>Base Salary</w:t>
      </w:r>
      <w:r>
        <w:rPr>
          <w:color w:val="000000"/>
        </w:rPr>
        <w:t>”</w:t>
      </w:r>
      <w:r>
        <w:rPr>
          <w:rFonts w:ascii="Times New Roman" w:hAnsi="Times New Roman"/>
          <w:color w:val="000000"/>
          <w:sz w:val="24"/>
        </w:rPr>
        <w:t>). The Base Salary will be paid periodically in accordance with the Company’s normal payroll practices and be subject to the usual, required withholding. Executive’s Base Salary will be subject to review and adjustments will be made by the Board or its authorized committee (the “</w:t>
      </w:r>
      <w:r>
        <w:rPr>
          <w:rFonts w:ascii="Times New Roman" w:hAnsi="Times New Roman"/>
          <w:b/>
          <w:color w:val="000000"/>
          <w:sz w:val="24"/>
        </w:rPr>
        <w:t>Committee</w:t>
      </w:r>
      <w:r>
        <w:rPr>
          <w:color w:val="000000"/>
        </w:rPr>
        <w:t>”</w:t>
      </w:r>
      <w:r>
        <w:rPr>
          <w:rFonts w:ascii="Times New Roman" w:hAnsi="Times New Roman"/>
          <w:color w:val="000000"/>
          <w:sz w:val="24"/>
        </w:rPr>
        <w:t>) based upon the Company’s normal performance review practices.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Bonus</w:t>
      </w:r>
      <w:r>
        <w:rPr>
          <w:rFonts w:ascii="Times New Roman" w:hAnsi="Times New Roman"/>
          <w:color w:val="000000"/>
          <w:sz w:val="24"/>
        </w:rPr>
        <w:t>. Executive will be eligible to receive a bonus targeted annually at [50]% of Executive’s then-current Base Salary (the “</w:t>
      </w:r>
      <w:r>
        <w:rPr>
          <w:rFonts w:ascii="Times New Roman" w:hAnsi="Times New Roman"/>
          <w:b/>
          <w:color w:val="000000"/>
          <w:sz w:val="24"/>
        </w:rPr>
        <w:t>Bonus</w:t>
      </w:r>
      <w:r>
        <w:rPr>
          <w:color w:val="000000"/>
        </w:rPr>
        <w:t>”</w:t>
      </w:r>
      <w:r>
        <w:rPr>
          <w:rFonts w:ascii="Times New Roman" w:hAnsi="Times New Roman"/>
          <w:color w:val="000000"/>
          <w:sz w:val="24"/>
        </w:rPr>
        <w:t>). Any Bonus may be based on achievement of the performance goals set by the Committee and the Committee’s assessment of achievement of those goals as well as the terms and conditions of the bonus plan to be approved by the Committee. Executive’s receipt of any achieved amount of the Bonus is subject to Executive’s continued employment with the Company through the applicable payment date, and such amount will not be earned if Executive’s employment with the Company terminates for any reason or no reason prior to the applicable payment date. The achieved amount of Executive’s Bonus for any year will be payable no later than March 15th of the year following the year in which such amount is earned.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Equity</w:t>
      </w:r>
      <w:r>
        <w:rPr>
          <w:rFonts w:ascii="Times New Roman" w:hAnsi="Times New Roman"/>
          <w:color w:val="000000"/>
          <w:sz w:val="24"/>
        </w:rPr>
        <w:t>. During the Employment Term, Executive will be eligible to receive equity awards pursuant to any plans or arrangements Parent may have in effect from time to time. The Committee will determine in its discretion whether Executive will be granted any equity awards and the terms of any equity award in accordance with the terms of any applicable plan or arrangement that may be in effect from time to time.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40"/>
        <w:jc w:val="both"/>
        <w:rPr/>
      </w:pPr>
      <w:r>
        <w:rPr>
          <w:rFonts w:ascii="Times New Roman" w:hAnsi="Times New Roman"/>
          <w:color w:val="000000"/>
          <w:sz w:val="24"/>
          <w:u w:val="single"/>
        </w:rPr>
        <w:t>Employee Benefits</w:t>
      </w:r>
      <w:r>
        <w:rPr>
          <w:rFonts w:ascii="Times New Roman" w:hAnsi="Times New Roman"/>
          <w:color w:val="000000"/>
          <w:sz w:val="24"/>
        </w:rPr>
        <w:t>. During the Employment Term, Executive will be entitled to participate in benefit plans and programs of the Company (including vacation and/or paid-time off), maintained by the Company for the benefit of its employees if any, on the same terms and conditions as other similarly-situated employees to the extent that Executive’s position, tenure, salary, age, health and other qualifications make Executive eligible to participate in such plans or programs, subject to the rules and regulations applicable thereto. The Company reserves the right to modify employee compensation and cancel or change the benefit plans and programs it offers to its employees at any time in its discretion.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0" w:after="240"/>
        <w:jc w:val="both"/>
        <w:rPr/>
      </w:pPr>
      <w:r>
        <w:rPr>
          <w:rFonts w:ascii="Times New Roman" w:hAnsi="Times New Roman"/>
          <w:color w:val="000000"/>
          <w:sz w:val="24"/>
          <w:u w:val="single"/>
        </w:rPr>
        <w:t>Expenses</w:t>
      </w:r>
      <w:r>
        <w:rPr>
          <w:rFonts w:ascii="Times New Roman" w:hAnsi="Times New Roman"/>
          <w:color w:val="000000"/>
          <w:sz w:val="24"/>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0" w:after="240"/>
        <w:jc w:val="both"/>
        <w:rPr/>
      </w:pPr>
      <w:r>
        <w:rPr>
          <w:rFonts w:ascii="Times New Roman" w:hAnsi="Times New Roman"/>
          <w:color w:val="000000"/>
          <w:sz w:val="24"/>
          <w:u w:val="single"/>
        </w:rPr>
        <w:t>Severance Benefits</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Termination Outside the Change in Control Period</w:t>
      </w:r>
      <w:r>
        <w:rPr>
          <w:rFonts w:ascii="Times New Roman" w:hAnsi="Times New Roman"/>
          <w:color w:val="000000"/>
          <w:sz w:val="24"/>
        </w:rPr>
        <w:t>. If, outside the Change in Control Period, the Company or its Affiliates terminate Executive’s employment with the Company or its Affiliates, respectively, without Cause (excluding by reason of Executive’s death or Disability), or Executive resigns from such employment for Good Reason, then, subject to Section 7, Executive will receive the following severance benefits: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both"/>
        <w:rPr/>
      </w:pPr>
      <w:r>
        <w:rPr>
          <w:rFonts w:ascii="Times New Roman" w:hAnsi="Times New Roman"/>
          <w:color w:val="000000"/>
          <w:sz w:val="24"/>
          <w:u w:val="single"/>
        </w:rPr>
        <w:t>Salary Severance</w:t>
      </w:r>
      <w:r>
        <w:rPr>
          <w:rFonts w:ascii="Times New Roman" w:hAnsi="Times New Roman"/>
          <w:color w:val="000000"/>
          <w:sz w:val="24"/>
        </w:rPr>
        <w:t>. Continuing payments of severance pay at a rate equal to Executive’s Base Salary, at the highest rate in effect during the Term, for six (6) months from the date of Executive’s termination of employment, which will be paid in accordance with the Company’s regular payroll procedures.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(ii)</w:t>
      </w:r>
    </w:p>
    <w:p>
      <w:pPr>
        <w:pStyle w:val="TextBody"/>
        <w:bidi w:val="0"/>
        <w:spacing w:before="0" w:after="240"/>
        <w:jc w:val="both"/>
        <w:rPr/>
      </w:pPr>
      <w:r>
        <w:rPr>
          <w:rFonts w:ascii="Times New Roman" w:hAnsi="Times New Roman"/>
          <w:color w:val="000000"/>
          <w:sz w:val="24"/>
          <w:u w:val="single"/>
        </w:rPr>
        <w:t>Continued Employee Benefits</w:t>
      </w:r>
      <w:r>
        <w:rPr>
          <w:rFonts w:ascii="Times New Roman" w:hAnsi="Times New Roman"/>
          <w:color w:val="000000"/>
          <w:sz w:val="24"/>
        </w:rPr>
        <w:t>. If Executive elects continuation coverage pursuant to the Consolidated Omnibus Budget Reconciliation Act of 1985, as amended (“</w:t>
      </w:r>
      <w:r>
        <w:rPr>
          <w:rFonts w:ascii="Times New Roman" w:hAnsi="Times New Roman"/>
          <w:b/>
          <w:color w:val="000000"/>
          <w:sz w:val="24"/>
        </w:rPr>
        <w:t>COBRA</w:t>
      </w:r>
      <w:r>
        <w:rPr>
          <w:color w:val="000000"/>
        </w:rPr>
        <w:t>”</w:t>
      </w:r>
      <w:r>
        <w:rPr>
          <w:rFonts w:ascii="Times New Roman" w:hAnsi="Times New Roman"/>
          <w:color w:val="000000"/>
          <w:sz w:val="24"/>
        </w:rPr>
        <w:t>) within the time period prescribed pursuant to COBRA for Executive and Executive’s eligible dependents, the Company will reimburse Executive for the premiums necessary to continue group health insurance benefits for Executive and Executive’s eligible dependents until the earlier of (A) a period of six (6) months from the date of Executive’s termination of employment, (B) the date upon which Executive and/or Executive’s eligible dependents becomes covered under similar plans or (C) the date upon which Executive ceases to be eligible for coverage under COBRA (such reimbursements, the “</w:t>
      </w:r>
      <w:r>
        <w:rPr>
          <w:rFonts w:ascii="Times New Roman" w:hAnsi="Times New Roman"/>
          <w:b/>
          <w:color w:val="000000"/>
          <w:sz w:val="24"/>
        </w:rPr>
        <w:t>COBRA Premiums</w:t>
      </w:r>
      <w:r>
        <w:rPr>
          <w:color w:val="000000"/>
        </w:rPr>
        <w:t>”</w:t>
      </w:r>
      <w:r>
        <w:rPr>
          <w:rFonts w:ascii="Times New Roman" w:hAnsi="Times New Roman"/>
          <w:color w:val="000000"/>
          <w:sz w:val="24"/>
        </w:rPr>
        <w:t>). However, if the Company determines in its sole discretion that it cannot pay the COBRA Premiums without potentially violating applicable law (including, without limitation, Section 2716 of the Public Health Service Act), the Company will in lieu thereof provide to Executive a taxable monthly payment payable on the last day of a given month (except as provided by the following sentence), in an amount equal to the monthly COBRA premium that Executive would be required to pay to continue Executive’s group health coverage in effect on the date of Executive’s termination of employment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months of payments. For the avoidance of doubt, the taxable payments in lieu of COBRA Premiums may be used for any purpose, including, but not limited to continuation coverage under COBRA, and will be subject to all applicable tax withholdings. Notwithstanding anything to the contrary under this Agreement, if at any time the Company determines in its sole discretion that it cannot provide the payments contemplated by the preceding sentence without violating applicable law (including, without limitation, Section 2716 of the Public Health Service Act), Executive will not receive such payment or any further reimbursements for COBRA premiums.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Termination without Cause or Resignation for Good Reason within the Change in Control Period</w:t>
      </w:r>
      <w:r>
        <w:rPr>
          <w:rFonts w:ascii="Times New Roman" w:hAnsi="Times New Roman"/>
          <w:color w:val="000000"/>
          <w:sz w:val="24"/>
        </w:rPr>
        <w:t>. If, within the Change in Control Period, the Company or its Affiliates terminate Executive’s employment with the Company or its Affiliates, respectively, without Cause (excluding by reason of Executive’s death or Disability), or Executive resigns from such employment for Good Reason, then, subject to Section 8, Executive will receive the following severance benefits from the Company:</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both"/>
        <w:rPr/>
      </w:pPr>
      <w:r>
        <w:rPr>
          <w:rFonts w:ascii="Times New Roman" w:hAnsi="Times New Roman"/>
          <w:color w:val="000000"/>
          <w:sz w:val="24"/>
          <w:u w:val="single"/>
        </w:rPr>
        <w:t>Salary Severance</w:t>
      </w:r>
      <w:r>
        <w:rPr>
          <w:rFonts w:ascii="Times New Roman" w:hAnsi="Times New Roman"/>
          <w:color w:val="000000"/>
          <w:sz w:val="24"/>
        </w:rPr>
        <w:t>. A lump sum severance payment equal to six (6) months of Executive’s Base Salary, at the highest rate in effect during the Employment Term, which will be paid in accordance with the Company’s regular payroll procedures.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(ii)</w:t>
      </w:r>
    </w:p>
    <w:p>
      <w:pPr>
        <w:pStyle w:val="TextBody"/>
        <w:bidi w:val="0"/>
        <w:spacing w:before="0" w:after="240"/>
        <w:jc w:val="both"/>
        <w:rPr/>
      </w:pPr>
      <w:r>
        <w:rPr>
          <w:rFonts w:ascii="Times New Roman" w:hAnsi="Times New Roman"/>
          <w:color w:val="000000"/>
          <w:sz w:val="24"/>
          <w:u w:val="single"/>
        </w:rPr>
        <w:t>Bonus Severance</w:t>
      </w:r>
      <w:r>
        <w:rPr>
          <w:rFonts w:ascii="Times New Roman" w:hAnsi="Times New Roman"/>
          <w:color w:val="000000"/>
          <w:sz w:val="24"/>
        </w:rPr>
        <w:t>. Executive will receive a lump-sum payment, payable in accordance with the Company’s regular payroll procedures, equal to one hundred percent (100%) of the higher of (A) Executive’s target Bonus as in effect for the fiscal year in which the Change in Control occurs or (B) Executive’s target Bonus as in effect for the fiscal year in which Executive’s termination of employment occurs; provided, in either case, the Company had not previously paid Executive a Bonus corresponding to such fiscal year. For avoidance of doubt, the amount paid to Executive pursuant to this Section 6(b)(ii) will not be prorated based on the actual amount of time Executive is employed by the Company during the fiscal year (or the relevant performance period if something different than a fiscal year) during which the termination occurs.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(iii)</w:t>
      </w:r>
    </w:p>
    <w:p>
      <w:pPr>
        <w:pStyle w:val="TextBody"/>
        <w:bidi w:val="0"/>
        <w:spacing w:before="0" w:after="240"/>
        <w:jc w:val="both"/>
        <w:rPr/>
      </w:pPr>
      <w:r>
        <w:rPr>
          <w:rFonts w:ascii="Times New Roman" w:hAnsi="Times New Roman"/>
          <w:color w:val="000000"/>
          <w:sz w:val="24"/>
          <w:u w:val="single"/>
        </w:rPr>
        <w:t>Continued Employee Benefits</w:t>
      </w:r>
      <w:r>
        <w:rPr>
          <w:rFonts w:ascii="Times New Roman" w:hAnsi="Times New Roman"/>
          <w:color w:val="000000"/>
          <w:sz w:val="24"/>
        </w:rPr>
        <w:t>. If Executive elects continuation coverage pursuant to COBRA within the time period prescribed pursuant to COBRA for Executive and Executive’s eligible dependents, the Company will reimburse Executive for the premiums necessary to continue group health insurance benefits for Executive and Executive’s eligible dependents until the earlier of (A) a period of six (6) months from the date of Executive’s termination of employment, (B) the date upon which Executive and/or Executive’s eligible dependents becomes covered under similar plans or (C) the date upon which Executive ceases to be eligible for coverage under COBRA (such reimbursements, the “</w:t>
      </w:r>
      <w:r>
        <w:rPr>
          <w:rFonts w:ascii="Times New Roman" w:hAnsi="Times New Roman"/>
          <w:b/>
          <w:color w:val="000000"/>
          <w:sz w:val="24"/>
        </w:rPr>
        <w:t>COC COBRA Premiums</w:t>
      </w:r>
      <w:r>
        <w:rPr>
          <w:color w:val="000000"/>
        </w:rPr>
        <w:t>”</w:t>
      </w:r>
      <w:r>
        <w:rPr>
          <w:rFonts w:ascii="Times New Roman" w:hAnsi="Times New Roman"/>
          <w:color w:val="000000"/>
          <w:sz w:val="24"/>
        </w:rPr>
        <w:t>). However, if the Company determines in its sole discretion that it cannot pay the COC COBRA Premiums without potentially violating applicable law (including, without limitation, Section 2716 of the Public Health Service Act), the Company will in lieu thereof provide to Executive a taxable monthly payment in an amount equal to the monthly COBRA premium that Executive would be required to pay to continue Executive’s group health coverage in effect on the date of Executive’s termination of employment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months of payments. For the avoidance of doubt, the taxable payments in lieu of COC COBRA Premiums may be used for any purpose, including, but not limited to continuation coverage under COBRA, and will be subject to all applicable tax withholdings. Notwithstanding anything to the contrary under this Agreement, if at any time the Company determines in its sole discretion that it cannot provide the payments contemplated by the preceding sentence without violating applicable law (including, without limitation, Section 2716 of the Public Health Service Act), Executive will not receive such payment or any further reimbursements for COBRA premiums.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(iv)</w:t>
      </w:r>
    </w:p>
    <w:p>
      <w:pPr>
        <w:pStyle w:val="TextBody"/>
        <w:bidi w:val="0"/>
        <w:spacing w:before="0" w:after="240"/>
        <w:jc w:val="both"/>
        <w:rPr/>
      </w:pPr>
      <w:r>
        <w:rPr>
          <w:rFonts w:ascii="Times New Roman" w:hAnsi="Times New Roman"/>
          <w:color w:val="000000"/>
          <w:sz w:val="24"/>
          <w:u w:val="single"/>
        </w:rPr>
        <w:t>Equity</w:t>
      </w:r>
      <w:r>
        <w:rPr>
          <w:rFonts w:ascii="Times New Roman" w:hAnsi="Times New Roman"/>
          <w:color w:val="000000"/>
          <w:sz w:val="24"/>
        </w:rPr>
        <w:t xml:space="preserve">. Vesting acceleration of one hundred percent (100%) of Executive’s outstanding unvested Equity Awards on the date of Executive’s termination. If, however, an outstanding Equity Award is to vest and/or the amount of the Equity Award to vest is to be determined based on the achievement of performance criteria, then the Equity Award will vest as to one hundred percent (100%) of the amount of the Equity Award assuming the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performance criteria had been achieved at target levels for the relevant performance period(s), unless otherwise provided in the applicable award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Voluntary Resignation; Termination for Cause</w:t>
      </w:r>
      <w:r>
        <w:rPr>
          <w:rFonts w:ascii="Times New Roman" w:hAnsi="Times New Roman"/>
          <w:color w:val="000000"/>
          <w:sz w:val="24"/>
        </w:rPr>
        <w:t>. If Executive’s employment with the Company or its Affiliates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u w:val="single"/>
        </w:rPr>
        <w:t>Disability; Death</w:t>
      </w:r>
      <w:r>
        <w:rPr>
          <w:rFonts w:ascii="Times New Roman" w:hAnsi="Times New Roman"/>
          <w:color w:val="000000"/>
          <w:sz w:val="24"/>
        </w:rPr>
        <w:t>. If the Company terminates Executive’s employment as a result of Executive’s Disability, or Executive’s employment terminates due to Executive’s death, then Executive will not be entitled to receive severance or other benefits except for those (if any) as may then be established under the Company’s then existing written severance and benefits plans and practices or pursuant to other written agreements between Executive or the Company or Parent, as applicable.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pPr>
      <w:r>
        <w:rPr>
          <w:rFonts w:ascii="Times New Roman" w:hAnsi="Times New Roman"/>
          <w:color w:val="000000"/>
          <w:sz w:val="24"/>
          <w:u w:val="single"/>
        </w:rPr>
        <w:t>Accrued Compensation</w:t>
      </w:r>
      <w:r>
        <w:rPr>
          <w:rFonts w:ascii="Times New Roman" w:hAnsi="Times New Roman"/>
          <w:color w:val="000000"/>
          <w:sz w:val="24"/>
        </w:rPr>
        <w:t>. For the avoidance of any doubt, in the event of a termination of Executive’s employment with the Company or its Affiliates, Executive will be entitled to receive all accrued but unpaid vacation, expense reimbursements, wages, and other benefits due to Executive under any Company-provided plans, policies, and arrangements.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both"/>
        <w:rPr/>
      </w:pPr>
      <w:r>
        <w:rPr>
          <w:rFonts w:ascii="Times New Roman" w:hAnsi="Times New Roman"/>
          <w:color w:val="000000"/>
          <w:sz w:val="24"/>
          <w:u w:val="single"/>
        </w:rPr>
        <w:t>Transfer between the Company and Affiliates</w:t>
      </w:r>
      <w:r>
        <w:rPr>
          <w:rFonts w:ascii="Times New Roman" w:hAnsi="Times New Roman"/>
          <w:color w:val="000000"/>
          <w:sz w:val="24"/>
        </w:rPr>
        <w:t>. For purposes of this Section 6, if Executive’s employment with the Company or one of its Affiliates terminates, Executive will not be determined to have been terminated without Cause, provided Executive continues to remain employed by the Company or one of its Affiliates (e.g., upon transfer from on Affiliate to another); provided, however, that the parties understand and acknowledge that any such termination could potentially result in Executive’s ability to resign for Good Reason.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both"/>
        <w:rPr/>
      </w:pPr>
      <w:r>
        <w:rPr>
          <w:rFonts w:ascii="Times New Roman" w:hAnsi="Times New Roman"/>
          <w:color w:val="000000"/>
          <w:sz w:val="24"/>
          <w:u w:val="single"/>
        </w:rPr>
        <w:t>Exclusive Remedy</w:t>
      </w:r>
      <w:r>
        <w:rPr>
          <w:rFonts w:ascii="Times New Roman" w:hAnsi="Times New Roman"/>
          <w:color w:val="000000"/>
          <w:sz w:val="24"/>
        </w:rPr>
        <w:t>. In the event of a termination of Executive’s employment with the Company or its Affiliates, the provisions of this Section 6 are intended to be and are exclusive and in lieu of any other rights or remedies to which Executive or the Company may otherwise be entitled, whether at law, tort or contract, in equity. Executive will be entitled to no benefits, compensation or other payments or rights upon termination of employment other than those benefits expressly set forth in this Section 6.</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(h)</w:t>
      </w:r>
    </w:p>
    <w:p>
      <w:pPr>
        <w:pStyle w:val="TextBody"/>
        <w:bidi w:val="0"/>
        <w:spacing w:before="0" w:after="240"/>
        <w:jc w:val="both"/>
        <w:rPr/>
      </w:pPr>
      <w:r>
        <w:rPr>
          <w:rFonts w:ascii="Times New Roman" w:hAnsi="Times New Roman"/>
          <w:color w:val="000000"/>
          <w:sz w:val="24"/>
          <w:u w:val="single"/>
        </w:rPr>
        <w:t>Non-duplication of Payment or Benefits</w:t>
      </w:r>
      <w:r>
        <w:rPr>
          <w:rFonts w:ascii="Times New Roman" w:hAnsi="Times New Roman"/>
          <w:color w:val="000000"/>
          <w:sz w:val="24"/>
        </w:rPr>
        <w:t>. For purposes of clarity, in the event of a termination of employment that qualifies Executive for severance payments and benefits under Section 6(a) of the Employment Agreement that occurs during the period within three (3) months prior to a Change in Control, any severance payments and benefits to be provided to Executive under Section 6(b) will be reduced by any amounts that already were provided to Executive under Section 6(a).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or to which the Company is a party other than this Agreement (“</w:t>
      </w:r>
      <w:r>
        <w:rPr>
          <w:rFonts w:ascii="Times New Roman" w:hAnsi="Times New Roman"/>
          <w:b/>
          <w:color w:val="000000"/>
          <w:sz w:val="24"/>
        </w:rPr>
        <w:t xml:space="preserve">Other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b/>
          <w:color w:val="000000"/>
          <w:sz w:val="24"/>
        </w:rPr>
        <w:t>Benefits</w:t>
      </w:r>
      <w:r>
        <w:rPr>
          <w:color w:val="000000"/>
        </w:rPr>
        <w:t>”</w:t>
      </w:r>
      <w:r>
        <w:rPr>
          <w:rFonts w:ascii="Times New Roman" w:hAnsi="Times New Roman"/>
          <w:color w:val="000000"/>
          <w:sz w:val="24"/>
        </w:rPr>
        <w:t>), then the corresponding severance payments and benefits under this Agreement will be reduced by the amount of Other Benefits paid or provided to Executive.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0" w:after="240"/>
        <w:jc w:val="both"/>
        <w:rPr/>
      </w:pPr>
      <w:r>
        <w:rPr>
          <w:rFonts w:ascii="Times New Roman" w:hAnsi="Times New Roman"/>
          <w:color w:val="000000"/>
          <w:sz w:val="24"/>
          <w:u w:val="single"/>
        </w:rPr>
        <w:t>Conditions to Receipt of Severance; No Duty to Mitigate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Separation Agreement and Release of Claims</w:t>
      </w:r>
      <w:r>
        <w:rPr>
          <w:rFonts w:ascii="Times New Roman" w:hAnsi="Times New Roman"/>
          <w:color w:val="000000"/>
          <w:sz w:val="24"/>
        </w:rPr>
        <w:t>. The payment of any severance set forth in Section 6(a) and Section 6(b) above is contingent upon Executive signing and not revoking a separation and release of claims agreement with the Company (which may include an agreement not to disparage the Company, non-solicit provisions and/or other standard terms and conditions) in a form reasonably acceptable to the Company (the “</w:t>
      </w:r>
      <w:r>
        <w:rPr>
          <w:rFonts w:ascii="Times New Roman" w:hAnsi="Times New Roman"/>
          <w:b/>
          <w:color w:val="000000"/>
          <w:sz w:val="24"/>
        </w:rPr>
        <w:t>Release</w:t>
      </w:r>
      <w:r>
        <w:rPr>
          <w:color w:val="000000"/>
        </w:rPr>
        <w:t>”</w:t>
      </w:r>
      <w:r>
        <w:rPr>
          <w:rFonts w:ascii="Times New Roman" w:hAnsi="Times New Roman"/>
          <w:color w:val="000000"/>
          <w:sz w:val="24"/>
        </w:rPr>
        <w:t>) upon or following Executive’s separation from service and such Release becoming effective no later than sixty (60) days following Executive’s separation from service (such deadline, the “</w:t>
      </w:r>
      <w:r>
        <w:rPr>
          <w:rFonts w:ascii="Times New Roman" w:hAnsi="Times New Roman"/>
          <w:b/>
          <w:color w:val="000000"/>
          <w:sz w:val="24"/>
        </w:rPr>
        <w:t>Release Deadline</w:t>
      </w:r>
      <w:r>
        <w:rPr>
          <w:color w:val="000000"/>
        </w:rPr>
        <w:t>”</w:t>
      </w:r>
      <w:r>
        <w:rPr>
          <w:rFonts w:ascii="Times New Roman" w:hAnsi="Times New Roman"/>
          <w:color w:val="000000"/>
          <w:sz w:val="24"/>
        </w:rPr>
        <w:t>). If the Release does not become effective by the Release Deadline, Executive will forfeit any rights to severance under this Agreement. In no event will severance payments or benefits be paid or provided until the Release actually becomes effective. Any severance payments and benefits under this Agreement will be paid on, or, in the case of installments, will not commence until, the sixtieth (60</w:t>
      </w:r>
      <w:r>
        <w:rPr>
          <w:rFonts w:ascii="Times New Roman" w:hAnsi="Times New Roman"/>
          <w:color w:val="000000"/>
          <w:sz w:val="16"/>
        </w:rPr>
        <w:t>th</w:t>
      </w:r>
      <w:r>
        <w:rPr>
          <w:rFonts w:ascii="Times New Roman" w:hAnsi="Times New Roman"/>
          <w:color w:val="000000"/>
          <w:sz w:val="24"/>
        </w:rPr>
        <w:t>) day following Executive’s separation from service, or, if later, such time as required by Section 7(b)(ii). Except as required by Section 7(b)(ii), any payments and benefits that would have been made to Executive during the sixty (60)-day period immediately following Executive’s separation from service but for the preceding sentence will be paid to Executive on the sixtieth (60</w:t>
      </w:r>
      <w:r>
        <w:rPr>
          <w:rFonts w:ascii="Times New Roman" w:hAnsi="Times New Roman"/>
          <w:color w:val="000000"/>
          <w:sz w:val="16"/>
        </w:rPr>
        <w:t>th</w:t>
      </w:r>
      <w:r>
        <w:rPr>
          <w:rFonts w:ascii="Times New Roman" w:hAnsi="Times New Roman"/>
          <w:color w:val="000000"/>
          <w:sz w:val="24"/>
        </w:rPr>
        <w:t>) day following Executive’s separation from service and the remaining payments will be made as provided in this Agreement. In no event will Executive have discretion to determine the taxable year of payment of any severance payments or benefits.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Section 409A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Notwithstanding anything to the contrary in this Agreement, no Deferred Payments, if any, payable to Executive pursuant to this Agreement will be payable until Executive has a “separation from service” within the meaning of Section 409A of the Code and the final regulations and official guidance thereunder (“</w:t>
      </w:r>
      <w:r>
        <w:rPr>
          <w:rFonts w:ascii="Times New Roman" w:hAnsi="Times New Roman"/>
          <w:b/>
          <w:color w:val="000000"/>
          <w:sz w:val="24"/>
        </w:rPr>
        <w:t>Section 409A</w:t>
      </w:r>
      <w:r>
        <w:rPr>
          <w:color w:val="000000"/>
        </w:rPr>
        <w:t>”</w:t>
      </w:r>
      <w:r>
        <w:rPr>
          <w:rFonts w:ascii="Times New Roman" w:hAnsi="Times New Roman"/>
          <w:color w:val="000000"/>
          <w:sz w:val="24"/>
        </w:rPr>
        <w:t>).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to the contrary in this Agreement, if Executive is a “specified employee” within the meaning of Section 409A at the time of Executive’s separation from service (other than due to death), then the Deferred Payments, if any, that are payable within the first six (6) months following Executive’s separation from service, will become payable on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Section 7(b)(ii) will be payable in a lump sum as soon as administratively practicable after the date of Executive’s death and all other Deferred Payments will be payable in accordance with the payment schedule applicable to each payment or benefit. Each payment, installment and benefit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payable under this Agreement is intended to constitute a separate payment for purposes of Section 1.409A-2(b)(2) of the Treasury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severance payment that satisfies the requirements of the “short-term deferral” rule set forth in Section 1.409A-1(b)(4) of the Treasury Regulations will not constitute Deferred Payments for purposes herein. 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herein. Any payments or benefits due under Section 6 of this Agreement will be paid as provided under this Agreement, but in no event later than the last day of the second taxable year of Executive following Executive’s taxable year in which Executive’s separation from service from the Company occurs.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For purposes of this Agreement, “</w:t>
      </w:r>
      <w:r>
        <w:rPr>
          <w:rFonts w:ascii="Times New Roman" w:hAnsi="Times New Roman"/>
          <w:b/>
          <w:color w:val="000000"/>
          <w:sz w:val="24"/>
        </w:rPr>
        <w:t>Section 409A Limit</w:t>
      </w:r>
      <w:r>
        <w:rPr>
          <w:color w:val="000000"/>
        </w:rPr>
        <w:t xml:space="preserve">” </w:t>
      </w:r>
      <w:r>
        <w:rPr>
          <w:rFonts w:ascii="Times New Roman" w:hAnsi="Times New Roman"/>
          <w:color w:val="000000"/>
          <w:sz w:val="24"/>
        </w:rPr>
        <w:t>means two (2) times the lesser of: (x) Executive’s annualized compensation based upon the annual rate of pay paid to Executive during Executive’s taxable year preceding Executive’s taxable year of Executive’s termination of employment as determined under, and with such adjustments as are set forth in, Treasury Regulation 1.409A-1(b)(9)(iii)(A)(1) and any Internal Revenue Service guidance issued with respect thereto, or (y) the maximum amount that may be taken into account under a qualified plan pursuant to Section 401(a)(17) of the Code for the year in which Executive’s employment is terminated.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provisions are intended to comply with or be exempt from the requirements of Section 409A so that none of the severance or other payments and benefits to be provided hereunder will be subject to the additional tax imposed under Section 409A, and any ambiguities or ambiguous terms herein will be interpreted to so comply or be exempt. In no event will the Company have any liability or obligation to reimburse, indemnify, or hold harmless Executive for any taxes or costs that may be imposed on or incurred by Executive as a result of Section 409A.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Confidentiality Agreement</w:t>
      </w:r>
      <w:r>
        <w:rPr>
          <w:rFonts w:ascii="Times New Roman" w:hAnsi="Times New Roman"/>
          <w:color w:val="000000"/>
          <w:sz w:val="24"/>
        </w:rPr>
        <w:t>. Executive’s receipt of any payments or benefits under Section 6 will be subject to Executive complying with: (i) the terms of the Confidentiality Agreement (as defined in Section 10), and (ii) the provisions of this Agreement. In the event Executive breaches the provisions of this Section 7(c), all continuing payments and benefits to which Executive may otherwise be entitled to pursuant to Section 6 will immediately cease.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u w:val="single"/>
        </w:rPr>
        <w:t>No Duty to Mitigate</w:t>
      </w:r>
      <w:r>
        <w:rPr>
          <w:rFonts w:ascii="Times New Roman" w:hAnsi="Times New Roman"/>
          <w:color w:val="000000"/>
          <w:sz w:val="24"/>
        </w:rPr>
        <w:t>. Executive will not be required to mitigate the amount of any payment contemplated by this Agreement, nor will any earnings that Executive may receive from any other source reduce any such payment.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0" w:after="240"/>
        <w:jc w:val="both"/>
        <w:rPr/>
      </w:pPr>
      <w:r>
        <w:rPr>
          <w:rFonts w:ascii="Times New Roman" w:hAnsi="Times New Roman"/>
          <w:color w:val="000000"/>
          <w:sz w:val="24"/>
          <w:u w:val="single"/>
        </w:rPr>
        <w:t>Limitation on Payments</w:t>
      </w:r>
      <w:r>
        <w:rPr>
          <w:rFonts w:ascii="Times New Roman" w:hAnsi="Times New Roman"/>
          <w:color w:val="000000"/>
          <w:sz w:val="24"/>
        </w:rPr>
        <w:t>. In the event that the severance or change in control-related or other payments or benefits provided for in this Agreement or otherwise payable to Executive (collectively, the “</w:t>
      </w:r>
      <w:r>
        <w:rPr>
          <w:rFonts w:ascii="Times New Roman" w:hAnsi="Times New Roman"/>
          <w:b/>
          <w:color w:val="000000"/>
          <w:sz w:val="24"/>
        </w:rPr>
        <w:t>Payments</w:t>
      </w:r>
      <w:r>
        <w:rPr>
          <w:color w:val="000000"/>
        </w:rPr>
        <w:t>”</w:t>
      </w:r>
      <w:r>
        <w:rPr>
          <w:rFonts w:ascii="Times New Roman" w:hAnsi="Times New Roman"/>
          <w:color w:val="000000"/>
          <w:sz w:val="24"/>
        </w:rPr>
        <w:t xml:space="preserve">) (i) constitute “parachute payments” within the meaning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Section 280G of the Code, and (ii) but for this Section 8, would be subject to the excise tax imposed by Section 4999 of the Code, then such payments or benefits will be either: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delivered in full,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delivered as to such lesser extent which would result in no portion of such benefits being subject to excise tax under Section 4999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whichever of the foregoing amounts, taking into account the applicable federal, state and local income taxes and the excise tax imposed by Section 4999 of the Code, results in the receipt by Executive on an after-tax basis, of the greatest amount of Payments, notwithstanding that all or some portion of such Payments may be taxable under Section 4999 of the Code. If a reduction in Payments constituting “parachute payments” is necessary so that Payments are delivered to a lesser extent, reduction will occur in the following order: (i) cancellation of equity awards granted “contingent on a change in ownership or control” (within the meaning of Section 280G of the Code); (ii) a pro rata reduction of (A) cash payments that are subject to Section 409A as deferred compensation and (B) cash payments not subject to Section 409A; (iii) a pro rata reduction of (A) employee benefits that are subject to Section 409A as deferred compensation and (B) employee benefits not subject to Section 409A; and (iv) a pro rata cancellation of (A) accelerated vesting of equity awards that are subject to Section 409A as deferred compensation and (B) equity awards not subject to Section 409A. If acceleration of vesting of equity awards is to be cancelled, such acceleration of vesting will be cancelled in the reverse order of the date of grant of Executive’s equity awards. In no event will Executive have any discretion with respect to the ordering of payment reductions.</w:t>
      </w:r>
    </w:p>
    <w:p>
      <w:pPr>
        <w:pStyle w:val="TextBody"/>
        <w:bidi w:val="0"/>
        <w:spacing w:before="0" w:after="240"/>
        <w:jc w:val="both"/>
        <w:rPr>
          <w:rFonts w:ascii="Times New Roman" w:hAnsi="Times New Roman"/>
          <w:sz w:val="20"/>
        </w:rPr>
      </w:pPr>
      <w:r>
        <w:rPr>
          <w:rFonts w:ascii="Times New Roman" w:hAnsi="Times New Roman"/>
          <w:color w:val="000000"/>
          <w:sz w:val="24"/>
        </w:rPr>
        <w:t>Unless the Company and Executive otherwise agree in writing, any determination required under this Section 8 will be made in writing by a nationally recognized firm of independent public accountants selected by the Company (the “</w:t>
      </w:r>
      <w:r>
        <w:rPr>
          <w:rFonts w:ascii="Times New Roman" w:hAnsi="Times New Roman"/>
          <w:b/>
          <w:color w:val="000000"/>
          <w:sz w:val="24"/>
        </w:rPr>
        <w:t>Accountants</w:t>
      </w:r>
      <w:r>
        <w:rPr>
          <w:rFonts w:ascii="Times New Roman" w:hAnsi="Times New Roman"/>
          <w:color w:val="000000"/>
          <w:sz w:val="20"/>
        </w:rPr>
        <w:t>”</w:t>
      </w:r>
      <w:r>
        <w:rPr>
          <w:rFonts w:ascii="Times New Roman" w:hAnsi="Times New Roman"/>
          <w:color w:val="000000"/>
          <w:sz w:val="24"/>
        </w:rPr>
        <w:t>), whose determination will be conclusive and binding upon Executive and the Company for all purposes. For purposes of making the calculations required by this Section 8, the Accountants may make reasonable assumptions and approximations concerning applicable taxes and may rely on reasonable, good faith interpretations concerning the application of Sections 280G and 4999 of the Code. The Company and Executive will furnish to the Accountants such information and documents as the Accountants may reasonably request in order to make a determination under this Section 8. The Company will bear all costs the Accountants may reasonably incur in connection with any calculations contemplated by this Section 8.</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Affiliate</w:t>
      </w:r>
      <w:r>
        <w:rPr>
          <w:rFonts w:ascii="Times New Roman" w:hAnsi="Times New Roman"/>
          <w:color w:val="000000"/>
          <w:sz w:val="24"/>
        </w:rPr>
        <w:t>. “</w:t>
      </w:r>
      <w:r>
        <w:rPr>
          <w:rFonts w:ascii="Times New Roman" w:hAnsi="Times New Roman"/>
          <w:b/>
          <w:color w:val="000000"/>
          <w:sz w:val="24"/>
        </w:rPr>
        <w:t>Affiliate</w:t>
      </w:r>
      <w:r>
        <w:rPr>
          <w:color w:val="000000"/>
        </w:rPr>
        <w:t xml:space="preserve">” </w:t>
      </w:r>
      <w:r>
        <w:rPr>
          <w:rFonts w:ascii="Times New Roman" w:hAnsi="Times New Roman"/>
          <w:color w:val="000000"/>
          <w:sz w:val="24"/>
        </w:rPr>
        <w:t>means the Company and any other parent or subsidiary corporation of the Company, as such terms are defined in Section 424(e) and (1) of the Code.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Board</w:t>
      </w:r>
      <w:r>
        <w:rPr>
          <w:rFonts w:ascii="Times New Roman" w:hAnsi="Times New Roman"/>
          <w:color w:val="000000"/>
          <w:sz w:val="24"/>
        </w:rPr>
        <w:t>. “</w:t>
      </w:r>
      <w:r>
        <w:rPr>
          <w:rFonts w:ascii="Times New Roman" w:hAnsi="Times New Roman"/>
          <w:b/>
          <w:color w:val="000000"/>
          <w:sz w:val="24"/>
        </w:rPr>
        <w:t>Board</w:t>
      </w:r>
      <w:r>
        <w:rPr>
          <w:color w:val="000000"/>
        </w:rPr>
        <w:t xml:space="preserve">” </w:t>
      </w:r>
      <w:r>
        <w:rPr>
          <w:rFonts w:ascii="Times New Roman" w:hAnsi="Times New Roman"/>
          <w:color w:val="000000"/>
          <w:sz w:val="24"/>
        </w:rPr>
        <w:t>means Parent’s board of directors.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Cause</w:t>
      </w:r>
      <w:r>
        <w:rPr>
          <w:rFonts w:ascii="Times New Roman" w:hAnsi="Times New Roman"/>
          <w:color w:val="000000"/>
          <w:sz w:val="24"/>
        </w:rPr>
        <w:t>. “</w:t>
      </w:r>
      <w:r>
        <w:rPr>
          <w:rFonts w:ascii="Times New Roman" w:hAnsi="Times New Roman"/>
          <w:b/>
          <w:color w:val="000000"/>
          <w:sz w:val="24"/>
        </w:rPr>
        <w:t>Cause</w:t>
      </w:r>
      <w:r>
        <w:rPr>
          <w:color w:val="000000"/>
        </w:rPr>
        <w:t xml:space="preserve">” </w:t>
      </w:r>
      <w:r>
        <w:rPr>
          <w:rFonts w:ascii="Times New Roman" w:hAnsi="Times New Roman"/>
          <w:color w:val="000000"/>
          <w:sz w:val="24"/>
        </w:rPr>
        <w:t xml:space="preserve">means the occurrence of any of the following actions or events: (i) Executive’s willful material misconduct or material breach of any written agreement between Executive and the Company (including without limitation this Agreement or the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Executive’s Confidentiality Agreement), (ii) Executive’s conviction of, or plea of guilty or no contest to, any felony, or of or to a crime involving moral turpitude, (iii) the performance of an illegal act by Executive while purporting to act on the Company’s behalf, or engaging in activities directly in competition or antithetical to the best interests of the Company or any Affiliate, including but not limited to material personal dishonesty, in each case, which is materially injurious to the financial condition or business reputation of, or is otherwise materially injurious to, the Company or any Affiliate, (iv) fraud or unauthorized use or disclosure of confidential information or trade secrets of the Company or any Affiliate or any other party to whom Executive owes an obligation of nondisclosure as a result of Executive’s relationship with the Company, (v) an intentional violation of any federal, state or local law or regulation applicable to the Company or any Affiliate or their business, or (vi) Executive’s continued failure to perform Executive’s duties or responsibilities to the Company or any Affiliate or deliberate violation of a Company policy, including but not limited to those relating to insider trading or sexual harassment in each case as determined by the Board, in its sole discretion. Notwithstanding the foregoing, Cause shall only exist after; (x) the Board delivers written notice to Executive of the Board’s determination that Cause exists; (y) such notice sets forth in reasonable detail such facts and circumstances, along with the Board’s determination, in its discretion, of whether such events are reasonably capable of being corrected; and (z) only if the Board has determined that such events are reasonably capable of being corrected, Executive has failed to fully correct any of the events listed above within 10 days following delivery to Executive of the Board’s written notice of its determination that Cause exists. For the avoidance of doubt, in the event the Board determines, in its discretion, that such events constituting Cause are not reasonably capable of being corrected, Cause shall be deemed to exist immediately upon the Board’s delivery of the written notice described in the foregoing clauses (x) and (y).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u w:val="single"/>
        </w:rPr>
        <w:t>Change in Control</w:t>
      </w:r>
      <w:r>
        <w:rPr>
          <w:rFonts w:ascii="Times New Roman" w:hAnsi="Times New Roman"/>
          <w:color w:val="000000"/>
          <w:sz w:val="24"/>
        </w:rPr>
        <w:t>. “</w:t>
      </w:r>
      <w:r>
        <w:rPr>
          <w:rFonts w:ascii="Times New Roman" w:hAnsi="Times New Roman"/>
          <w:b/>
          <w:color w:val="000000"/>
          <w:sz w:val="24"/>
        </w:rPr>
        <w:t>Change in Control</w:t>
      </w:r>
      <w:r>
        <w:rPr>
          <w:color w:val="000000"/>
        </w:rPr>
        <w:t xml:space="preserve">” </w:t>
      </w:r>
      <w:r>
        <w:rPr>
          <w:rFonts w:ascii="Times New Roman" w:hAnsi="Times New Roman"/>
          <w:color w:val="000000"/>
          <w:sz w:val="24"/>
        </w:rPr>
        <w:t>has the meaning of “Change in Control” as defined in Parent’s 2021 Equity Incentive Plan.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pPr>
      <w:r>
        <w:rPr>
          <w:rFonts w:ascii="Times New Roman" w:hAnsi="Times New Roman"/>
          <w:color w:val="000000"/>
          <w:sz w:val="24"/>
          <w:u w:val="single"/>
        </w:rPr>
        <w:t>Change in Control Period</w:t>
      </w:r>
      <w:r>
        <w:rPr>
          <w:rFonts w:ascii="Times New Roman" w:hAnsi="Times New Roman"/>
          <w:color w:val="000000"/>
          <w:sz w:val="24"/>
        </w:rPr>
        <w:t>. “</w:t>
      </w:r>
      <w:r>
        <w:rPr>
          <w:rFonts w:ascii="Times New Roman" w:hAnsi="Times New Roman"/>
          <w:b/>
          <w:color w:val="000000"/>
          <w:sz w:val="24"/>
        </w:rPr>
        <w:t>Change in Control Period</w:t>
      </w:r>
      <w:r>
        <w:rPr>
          <w:color w:val="000000"/>
        </w:rPr>
        <w:t xml:space="preserve">” </w:t>
      </w:r>
      <w:r>
        <w:rPr>
          <w:rFonts w:ascii="Times New Roman" w:hAnsi="Times New Roman"/>
          <w:color w:val="000000"/>
          <w:sz w:val="24"/>
        </w:rPr>
        <w:t>means the period beginning on the date three (3) months prior to, and ending on the date that is twelve (12) months following, a Change in Control.</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both"/>
        <w:rPr/>
      </w:pPr>
      <w:r>
        <w:rPr>
          <w:rFonts w:ascii="Times New Roman" w:hAnsi="Times New Roman"/>
          <w:color w:val="000000"/>
          <w:sz w:val="24"/>
          <w:u w:val="single"/>
        </w:rPr>
        <w:t>Code</w:t>
      </w:r>
      <w:r>
        <w:rPr>
          <w:rFonts w:ascii="Times New Roman" w:hAnsi="Times New Roman"/>
          <w:color w:val="000000"/>
          <w:sz w:val="24"/>
        </w:rPr>
        <w:t>. “</w:t>
      </w:r>
      <w:r>
        <w:rPr>
          <w:rFonts w:ascii="Times New Roman" w:hAnsi="Times New Roman"/>
          <w:b/>
          <w:color w:val="000000"/>
          <w:sz w:val="24"/>
        </w:rPr>
        <w:t>Code</w:t>
      </w:r>
      <w:r>
        <w:rPr>
          <w:color w:val="000000"/>
        </w:rPr>
        <w:t xml:space="preserve">” </w:t>
      </w:r>
      <w:r>
        <w:rPr>
          <w:rFonts w:ascii="Times New Roman" w:hAnsi="Times New Roman"/>
          <w:color w:val="000000"/>
          <w:sz w:val="24"/>
        </w:rPr>
        <w:t>means the Internal Revenue Code of 1986, as amended.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both"/>
        <w:rPr/>
      </w:pPr>
      <w:r>
        <w:rPr>
          <w:rFonts w:ascii="Times New Roman" w:hAnsi="Times New Roman"/>
          <w:color w:val="000000"/>
          <w:sz w:val="24"/>
          <w:u w:val="single"/>
        </w:rPr>
        <w:t>Deferred Payments</w:t>
      </w:r>
      <w:r>
        <w:rPr>
          <w:rFonts w:ascii="Times New Roman" w:hAnsi="Times New Roman"/>
          <w:color w:val="000000"/>
          <w:sz w:val="24"/>
        </w:rPr>
        <w:t>. “</w:t>
      </w:r>
      <w:r>
        <w:rPr>
          <w:rFonts w:ascii="Times New Roman" w:hAnsi="Times New Roman"/>
          <w:b/>
          <w:color w:val="000000"/>
          <w:sz w:val="24"/>
        </w:rPr>
        <w:t>Deferred Payments</w:t>
      </w:r>
      <w:r>
        <w:rPr>
          <w:color w:val="000000"/>
        </w:rPr>
        <w:t xml:space="preserve">” </w:t>
      </w:r>
      <w:r>
        <w:rPr>
          <w:rFonts w:ascii="Times New Roman" w:hAnsi="Times New Roman"/>
          <w:color w:val="000000"/>
          <w:sz w:val="24"/>
        </w:rPr>
        <w:t>means any severance pay or benefits to be paid or provided to Executive (or Executive’s estate or beneficiaries) pursuant to this Agreement and any other severance payments or separation benefits to be paid or provided to Executive (or Executive’s estate or beneficiaries), that in each case, when considered together, are considered deferred compensation under Section 409A.</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(h)</w:t>
      </w:r>
    </w:p>
    <w:p>
      <w:pPr>
        <w:pStyle w:val="TextBody"/>
        <w:bidi w:val="0"/>
        <w:spacing w:before="0" w:after="240"/>
        <w:jc w:val="both"/>
        <w:rPr/>
      </w:pPr>
      <w:r>
        <w:rPr>
          <w:rFonts w:ascii="Times New Roman" w:hAnsi="Times New Roman"/>
          <w:color w:val="000000"/>
          <w:sz w:val="24"/>
          <w:u w:val="single"/>
        </w:rPr>
        <w:t>Disability</w:t>
      </w:r>
      <w:r>
        <w:rPr>
          <w:rFonts w:ascii="Times New Roman" w:hAnsi="Times New Roman"/>
          <w:color w:val="000000"/>
          <w:sz w:val="24"/>
        </w:rPr>
        <w:t>. “</w:t>
      </w:r>
      <w:r>
        <w:rPr>
          <w:rFonts w:ascii="Times New Roman" w:hAnsi="Times New Roman"/>
          <w:b/>
          <w:color w:val="000000"/>
          <w:sz w:val="24"/>
        </w:rPr>
        <w:t>Disability</w:t>
      </w:r>
      <w:r>
        <w:rPr>
          <w:color w:val="000000"/>
        </w:rPr>
        <w:t xml:space="preserve">” </w:t>
      </w:r>
      <w:r>
        <w:rPr>
          <w:rFonts w:ascii="Times New Roman" w:hAnsi="Times New Roman"/>
          <w:color w:val="000000"/>
          <w:sz w:val="24"/>
        </w:rPr>
        <w:t>means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last for a continuous period of not less than twelve (12) months, receiving income replacement benefits for a period of not less than three (3) months under an accident and health plan covering Company employees.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both"/>
        <w:rPr/>
      </w:pPr>
      <w:r>
        <w:rPr>
          <w:rFonts w:ascii="Times New Roman" w:hAnsi="Times New Roman"/>
          <w:color w:val="000000"/>
          <w:sz w:val="24"/>
          <w:u w:val="single"/>
        </w:rPr>
        <w:t>Good Reason</w:t>
      </w:r>
      <w:r>
        <w:rPr>
          <w:rFonts w:ascii="Times New Roman" w:hAnsi="Times New Roman"/>
          <w:color w:val="000000"/>
          <w:sz w:val="24"/>
        </w:rPr>
        <w:t>. “</w:t>
      </w:r>
      <w:r>
        <w:rPr>
          <w:rFonts w:ascii="Times New Roman" w:hAnsi="Times New Roman"/>
          <w:b/>
          <w:color w:val="000000"/>
          <w:sz w:val="24"/>
        </w:rPr>
        <w:t>Good Reason</w:t>
      </w:r>
      <w:r>
        <w:rPr>
          <w:color w:val="000000"/>
        </w:rPr>
        <w:t xml:space="preserve">” </w:t>
      </w:r>
      <w:r>
        <w:rPr>
          <w:rFonts w:ascii="Times New Roman" w:hAnsi="Times New Roman"/>
          <w:color w:val="000000"/>
          <w:sz w:val="24"/>
        </w:rPr>
        <w:t>means the occurrence of one or more of the following events without Executive’s express written consent: (i) a material reduction of Executive’s duties, authorities, or responsibilities relative to Executive’s duties, authorities, or responsibilities in effect immediately prior to the reduction; (ii) a material reduction in Executive’s annual base salary; provided, however, that, a reduction of annual base salary that also applies to substantially all other similarly situated employees of the Company will not constitute “Good Reason”; (iii) a material change in the geographic location of Executive’s primary work facility or location by more than 50 miles from Executive’s then-present location; provided, that a relocation to a location that is within 50 miles from Executive’s then-present primary residence will not be considered a material change in geographic location, or (iv) failure of a successor corporation to assume the obligations under Executive’s employment agreement with the Company. In order for the termination to be for Good Reason, Executive must not terminate Executive’s employment with the Company without first providing written notice to the Company of the acts or omissions constituting the grounds for “Good Reason” within 60 days of the initial existence of the grounds for “Good Reason” and a cure period of 30 days following the date of written notice (the “</w:t>
      </w:r>
      <w:r>
        <w:rPr>
          <w:rFonts w:ascii="Times New Roman" w:hAnsi="Times New Roman"/>
          <w:b/>
          <w:color w:val="000000"/>
          <w:sz w:val="24"/>
        </w:rPr>
        <w:t>Cure Period</w:t>
      </w:r>
      <w:r>
        <w:rPr>
          <w:color w:val="000000"/>
        </w:rPr>
        <w:t>”</w:t>
      </w:r>
      <w:r>
        <w:rPr>
          <w:rFonts w:ascii="Times New Roman" w:hAnsi="Times New Roman"/>
          <w:color w:val="000000"/>
          <w:sz w:val="24"/>
        </w:rPr>
        <w:t>), the grounds must not have been cured during that time, and Executive must terminate Executive’s employment within 30 days following the Cure Period.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(j)</w:t>
      </w:r>
    </w:p>
    <w:p>
      <w:pPr>
        <w:pStyle w:val="TextBody"/>
        <w:bidi w:val="0"/>
        <w:spacing w:before="0" w:after="240"/>
        <w:jc w:val="both"/>
        <w:rPr/>
      </w:pPr>
      <w:r>
        <w:rPr>
          <w:rFonts w:ascii="Times New Roman" w:hAnsi="Times New Roman"/>
          <w:color w:val="000000"/>
          <w:sz w:val="24"/>
          <w:u w:val="single"/>
        </w:rPr>
        <w:t>Protected Activity</w:t>
      </w:r>
      <w:r>
        <w:rPr>
          <w:rFonts w:ascii="Times New Roman" w:hAnsi="Times New Roman"/>
          <w:color w:val="000000"/>
          <w:sz w:val="24"/>
        </w:rPr>
        <w:t>. “</w:t>
      </w:r>
      <w:r>
        <w:rPr>
          <w:rFonts w:ascii="Times New Roman" w:hAnsi="Times New Roman"/>
          <w:b/>
          <w:color w:val="000000"/>
          <w:sz w:val="24"/>
        </w:rPr>
        <w:t>Protected Activity</w:t>
      </w:r>
      <w:r>
        <w:rPr>
          <w:color w:val="000000"/>
        </w:rPr>
        <w:t xml:space="preserve">” </w:t>
      </w:r>
      <w:r>
        <w:rPr>
          <w:rFonts w:ascii="Times New Roman" w:hAnsi="Times New Roman"/>
          <w:color w:val="000000"/>
          <w:sz w:val="24"/>
        </w:rPr>
        <w:t>includes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hAnsi="Times New Roman"/>
          <w:b/>
          <w:color w:val="000000"/>
          <w:sz w:val="24"/>
        </w:rPr>
        <w:t>Government Agencies</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10.</w:t>
      </w:r>
    </w:p>
    <w:p>
      <w:pPr>
        <w:pStyle w:val="TextBody"/>
        <w:bidi w:val="0"/>
        <w:spacing w:before="0" w:after="240"/>
        <w:jc w:val="both"/>
        <w:rPr/>
      </w:pPr>
      <w:r>
        <w:rPr>
          <w:rFonts w:ascii="Times New Roman" w:hAnsi="Times New Roman"/>
          <w:color w:val="000000"/>
          <w:sz w:val="24"/>
          <w:u w:val="single"/>
        </w:rPr>
        <w:t>Confidential Information</w:t>
      </w:r>
      <w:r>
        <w:rPr>
          <w:rFonts w:ascii="Times New Roman" w:hAnsi="Times New Roman"/>
          <w:color w:val="000000"/>
          <w:sz w:val="24"/>
        </w:rPr>
        <w:t>. Executive agrees to comply with the Company’s Employee Intellectual Property and Non-Compete Agreement previously executed by Executive (the “</w:t>
      </w:r>
      <w:r>
        <w:rPr>
          <w:rFonts w:ascii="Times New Roman" w:hAnsi="Times New Roman"/>
          <w:b/>
          <w:color w:val="000000"/>
          <w:sz w:val="24"/>
        </w:rPr>
        <w:t>Confidentiality Agreement</w:t>
      </w:r>
      <w:r>
        <w:rPr>
          <w:color w:val="000000"/>
        </w:rPr>
        <w:t>”</w:t>
      </w:r>
      <w:r>
        <w:rPr>
          <w:rFonts w:ascii="Times New Roman" w:hAnsi="Times New Roman"/>
          <w:color w:val="000000"/>
          <w:sz w:val="24"/>
        </w:rPr>
        <w:t xml:space="preserve">) concurrently herewith, provided that nothing in this Agreement or the Confidentiality Agreement shall prevent Executive from engaging in Protected Activity. Executive understands that in connection with such Protected Activity, Executive is permitted to disclose documents or other information as permitted by law, without giving notice to, or receiving authorization from, the Company. In addition, nothing in this Agreement or in any other agreement with the Company, prevents Executive from discussing or disclosing information about unlawful acts in the workplace, such as harassment or discrimination or any other conduct that Executive has reason to believe is unlawful. Notwithstanding the foregoing, Executive agrees to take all reasonable precautions to prevent any unauthorized use or disclosure of any Company trade secrets, proprietary information or confidential information that does not involve unlawful acts in the workplace or activity otherwise protected in this paragraph or in the definition of Protected Activity. Executive further understands that Executive is not permitted to disclose the Company’s attorney-client privileged communications or attorney work product. Any language in the Confidentiality Agreement regarding Executive’s right to engage in Protected Activity that conflicts with, or is contrary to, this section is superseded by this Agreement. In addition, 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11.</w:t>
      </w:r>
    </w:p>
    <w:p>
      <w:pPr>
        <w:pStyle w:val="TextBody"/>
        <w:bidi w:val="0"/>
        <w:spacing w:before="0" w:after="240"/>
        <w:jc w:val="both"/>
        <w:rPr/>
      </w:pPr>
      <w:r>
        <w:rPr>
          <w:rFonts w:ascii="Times New Roman" w:hAnsi="Times New Roman"/>
          <w:color w:val="000000"/>
          <w:sz w:val="24"/>
          <w:u w:val="single"/>
        </w:rPr>
        <w:t>No Conflicting Obligations</w:t>
      </w:r>
      <w:r>
        <w:rPr>
          <w:rFonts w:ascii="Times New Roman" w:hAnsi="Times New Roman"/>
          <w:color w:val="000000"/>
          <w:sz w:val="24"/>
        </w:rPr>
        <w:t>. Executive confirms that Executive is not under any existing obligations that may impact Executive’s eligibility to be employed by the Company or limit the manner in which Executive may be employed. Executive agrees not to bring any third-party confidential information to the Company, including that of Executive’s former employer, and that Executive will not in any way utilize any such information in performing Executive’s duties for the Company.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12.</w:t>
      </w:r>
    </w:p>
    <w:p>
      <w:pPr>
        <w:pStyle w:val="TextBody"/>
        <w:bidi w:val="0"/>
        <w:spacing w:before="0" w:after="240"/>
        <w:jc w:val="both"/>
        <w:rPr/>
      </w:pPr>
      <w:r>
        <w:rPr>
          <w:rFonts w:ascii="Times New Roman" w:hAnsi="Times New Roman"/>
          <w:color w:val="000000"/>
          <w:sz w:val="24"/>
          <w:u w:val="single"/>
        </w:rPr>
        <w:t>Successors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The Company’s Successors</w:t>
      </w:r>
      <w:r>
        <w:rPr>
          <w:rFonts w:ascii="Times New Roman" w:hAnsi="Times New Roman"/>
          <w:color w:val="000000"/>
          <w:sz w:val="24"/>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14(a) or which becomes bound by the terms of this Agreement by operation of law.</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Executive’s Successors</w:t>
      </w:r>
      <w:r>
        <w:rPr>
          <w:rFonts w:ascii="Times New Roman" w:hAnsi="Times New Roman"/>
          <w:color w:val="000000"/>
          <w:sz w:val="24"/>
        </w:rPr>
        <w:t>. The terms of this Agreement and all rights of Executive hereunder will inure to the benefit of, and be enforceable by, Executive’s personal or legal representatives, executors, administrators, successors, heirs, distributees, devisees and legatees.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13.</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Notices and all other communications contemplated by this Agreement will be in writing and will be deemed to have been duly given when personally delivered or when mailed by U.S. registered or certified mail, return receipt requested and postage prepaid or when delivered by a private courier service such as UPS, DHL or Federal Express that has tracking capability. In the case of Executive, mailed notices will be addressed to Executive at the home address which Executive’s most recently communicated to the Company in writing. In the case of the Company, mailed notices will be addressed to its corporate headquarters, and all notices will be directed to the Chief Executive Officer of the Company.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14.</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In the event that any provision hereof becomes or is declared by a court of competent jurisdiction to be illegal, unenforceable or void, this Agreement will continue in full force and effect without said provision.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15.</w:t>
      </w:r>
    </w:p>
    <w:p>
      <w:pPr>
        <w:pStyle w:val="TextBody"/>
        <w:bidi w:val="0"/>
        <w:spacing w:before="0" w:after="240"/>
        <w:jc w:val="both"/>
        <w:rPr/>
      </w:pPr>
      <w:r>
        <w:rPr>
          <w:rFonts w:ascii="Times New Roman" w:hAnsi="Times New Roman"/>
          <w:color w:val="000000"/>
          <w:sz w:val="24"/>
          <w:u w:val="single"/>
        </w:rPr>
        <w:t>Integration</w:t>
      </w:r>
      <w:r>
        <w:rPr>
          <w:rFonts w:ascii="Times New Roman" w:hAnsi="Times New Roman"/>
          <w:color w:val="000000"/>
          <w:sz w:val="24"/>
        </w:rPr>
        <w:t xml:space="preserve">. This Agreement, together with the Confidentiality Agreement represents the entire agreement and understanding between the Parties as to the subject matter herein and supersedes all prior or contemporaneous agreements whether written or oral with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respect to the subject matter herein, but this Agreement does not supersede Executive’s equity award agreements. This Agreement may be modified only by agreement of the Parties by a written instrument executed by the Parties that is designated as an amendment to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16.</w:t>
      </w:r>
    </w:p>
    <w:p>
      <w:pPr>
        <w:pStyle w:val="TextBody"/>
        <w:bidi w:val="0"/>
        <w:spacing w:before="0" w:after="240"/>
        <w:jc w:val="both"/>
        <w:rPr/>
      </w:pPr>
      <w:r>
        <w:rPr>
          <w:rFonts w:ascii="Times New Roman" w:hAnsi="Times New Roman"/>
          <w:color w:val="000000"/>
          <w:sz w:val="24"/>
          <w:u w:val="single"/>
        </w:rPr>
        <w:t>Waiver of Breach</w:t>
      </w:r>
      <w:r>
        <w:rPr>
          <w:rFonts w:ascii="Times New Roman" w:hAnsi="Times New Roman"/>
          <w:color w:val="000000"/>
          <w:sz w:val="24"/>
        </w:rPr>
        <w:t>. No provision of this Agreement will be modified, waived or discharged unless the modification, waiver or discharge is agreed to in writing and signed by Executive and by an authorized officer of the Company (other than Executive). The waiver of a breach of any term or provision of this Agreement will not operate as or be construed to be a waiver of any other previous or subsequent breach 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17.</w:t>
      </w:r>
    </w:p>
    <w:p>
      <w:pPr>
        <w:pStyle w:val="TextBody"/>
        <w:bidi w:val="0"/>
        <w:spacing w:before="0" w:after="240"/>
        <w:jc w:val="both"/>
        <w:rPr/>
      </w:pPr>
      <w:r>
        <w:rPr>
          <w:rFonts w:ascii="Times New Roman" w:hAnsi="Times New Roman"/>
          <w:color w:val="000000"/>
          <w:sz w:val="24"/>
          <w:u w:val="single"/>
        </w:rPr>
        <w:t>Arbitration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IN CONSIDERATION OF EXECUTIVE’S EMPLOYMENT WITH THE COMPANY, THE COMPANY’S PROMISE TO ARBITRATE ALL EMPLOYMENT-RELATED DISPUTES WITH EXECUTIVE, AND EXECUTIVE’S RECEIPT OF THE COMPENSATION AND OTHER BENEFITS PAID OR PROVIDED TO EXECUTIVE BY THE COMPANY AT PRESENT AND IN THE FUTURE, EXECUTIVE AGREES THAT ANY AND ALL CONTROVERSIES, CLAIMS, OR DISPUTES THAT EXECUTIVE MAY HAVE WITH THE COMPANY (INCLUDING ANY COMPANY EMPLOYEE, OFFICER, DIRECTOR, TRUSTEE, OR BENEFIT PLAN OF THE COMPANY, IN THEIR CAPACITY AS SUCH OR OTHERWISE), ARISING OUT OF, RELATING TO, OR RESULTING FROM EXECUTIVE’S EMPLOYMENT OR RELATIONSHIP WITH THE COMPANY OR THE TERMINATION OF EXECUTIVE’S EMPLOYMENT OR RELATIONSHIP WITH THE COMPANY, INCLUDING ANY BREACH OF ANY AGREEMENT BETWEEN THE PARTIES, INCLUDING THIS AGREEMENT AND THE CONFIDENTIALITY AGREEMENT, SHALL BE SUBJECT TO BINDING ARBITRATION PURSUANT TO THE FEDERAL ARBITRATION ACT (9 U.S.C. SEC. 1 ET SEQ.) (THE “</w:t>
      </w:r>
      <w:r>
        <w:rPr>
          <w:rFonts w:ascii="Times New Roman" w:hAnsi="Times New Roman"/>
          <w:b/>
          <w:color w:val="000000"/>
          <w:sz w:val="24"/>
        </w:rPr>
        <w:t>FAA</w:t>
      </w:r>
      <w:r>
        <w:rPr>
          <w:color w:val="000000"/>
        </w:rPr>
        <w:t>”</w:t>
      </w:r>
      <w:r>
        <w:rPr>
          <w:rFonts w:ascii="Times New Roman" w:hAnsi="Times New Roman"/>
          <w:color w:val="000000"/>
          <w:sz w:val="24"/>
        </w:rPr>
        <w:t>). THE FAA’S SUBSTANTIVE AND PROCEDURAL PROVISIONS SHALL EXCLUSIVELY GOVERN AND APPLY WITH FULL FORCE AND EFFECT TO THIS ARBITRATION AGREEMENT, INCLUDING ITS ENFORCEMENT. ANY STATE COURT OF COMPETENT JURISDICTION SHALL STAY PROCEEDINGS PENDING ARBITRATION OR COMPEL ARBITRATION IN THE SAME MANNER AS A FEDERAL COURT UNDER THE FAA. EXECUTIVE FURTHER AGREES THAT, TO THE FULLEST EXTENT PERMITTED BY LAW, EXECUTIVE MAY BRING ANY ARBITRATION PROCEEDING ONLY IN EXECUTIVE’S INDIVIDUAL CAPACITY, AND NOT AS A PLAINTIFF, REPRESENTATIVE, OR CLASS MEMBER IN ANY PURPORTED CLASS, COLLECTIVE, OR REPRESENTATIVE LAWSUIT OR PROCEEDING. EXECUTIVE AGREES THAT ANY CLAIMS EXECUTIVE MAY BRING PURSUANT TO THE PRIVATE ATTORNEYS GENERAL ACT (THE “</w:t>
      </w:r>
      <w:r>
        <w:rPr>
          <w:rFonts w:ascii="Times New Roman" w:hAnsi="Times New Roman"/>
          <w:b/>
          <w:color w:val="000000"/>
          <w:sz w:val="24"/>
        </w:rPr>
        <w:t>PAGA</w:t>
      </w:r>
      <w:r>
        <w:rPr>
          <w:color w:val="000000"/>
        </w:rPr>
        <w:t>”</w:t>
      </w:r>
      <w:r>
        <w:rPr>
          <w:rFonts w:ascii="Times New Roman" w:hAnsi="Times New Roman"/>
          <w:color w:val="000000"/>
          <w:sz w:val="24"/>
        </w:rPr>
        <w:t xml:space="preserve">) ON BEHALF OF THE LABOR AND WORKFORCE DEVELOPMENT AGENCY MUST BE ARBITRATED ONLY IN EXECUTIVE’S INDIVIDUAL CAPACITY WITHOUT ANY JOINDER OR REPRESENTATION OF ANY CALIFORNIA LABOR CODE VIOLATIONS THAT WERE OR COULD BE ASSERTED BY OR ON BEHALF OF ANY OTHER PERSONS. </w:t>
      </w:r>
      <w:r>
        <w:rPr>
          <w:rFonts w:ascii="Times New Roman" w:hAnsi="Times New Roman"/>
          <w:b/>
          <w:color w:val="000000"/>
          <w:sz w:val="24"/>
        </w:rPr>
        <w:t xml:space="preserve">TO THE FULLEST EXTENT PERMITTED BY LAW, EXECUTIVE AGREES TO ARBITRATE ANY AND ALL COMMON LAW AND/OR STATUTORY CLAIMS UNDER LOCAL, STATE, OR FEDERAL LAW, INCLUDING, BUT NOT LIMITED TO, CLAIMS UNDER THE WORKER ADJUSTMENT AND RETRAINING NOTIFICATION ACT, THE FAIR LABOR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b/>
          <w:color w:val="000000"/>
          <w:sz w:val="24"/>
        </w:rPr>
        <w:t xml:space="preserve">STANDARDS ACT, STATE AND LOCAL WAGE PAYMENT LAWS, THE FAMILY AND MEDICAL LEAVE ACT, THE UTAH ANTIDISCRIMINATION ACT, THE CALIFORNIA FAIR EMPLOYMENT AND HOUSING ACT, THE CALIFORNIA FAMILY RIGHTS ACT, THE CALIFORNIA LABOR CODE AND OTHER STATE AND LOCAL ANTI-DISCRIMINATION LAWS, FEDERAL ANTIDISCRIMINATION LAWS (INCLUDING TITLE VII OF THE CIVIL RIGHTS ACT OF 1964, THE AMERICANS WITH DISABILITIES ACT OF 1990, THE AGE DISCRIMINATION IN EMPLOYMENT ACT OF 1967, AND THE OLDER WORKERS BENEFIT PROTECTION ACT), CLAIMS RELATING TO EMPLOYMENT STATUS, CLASSIFICATION AND RELATIONSHIP WITH THE COMPANY, AND CLAIMS OF DISCRIMINATION, HARASSMENT, RETALIATION, WRONGFUL TERMINATION AND BREACH OF CONTRACT, EXCEPT AS PROHIBITED BY LAW. EXECUTIVE ALSO AGREES TO ARBITRATE (EXCEPT AS PROHIBITED BY LAW) ANY AND ALL DISPUTES ARISING OUT OF OR RELATING TO THE INTERPRETATION OR APPLICATION OF THIS AGREEMENT TO ARBITRATE, BUT NOT DISPUTES ABOUT THE ENFORCEABILITY, REVOCABILITY OR VALIDITY OF THIS AGREEMENT TO ARBITRATE OR ITS REQUIREMENTS THAT EXECUTIVE BRINGS ANY ARBITRATION PROCEEDING ONLY IN EXECUTIVE’S INDIVIDUAL CAPASCITY. WITH RESPECT TO ALL SUCH CLAIMS AND DISPUTES THAT EXECUTIVE AGREES TO ARBITRATE, EXECUTIVE HEREBY EXPRESSLY AGREES TO WAIVE, AND DOES WAIVE, ANY RIGHT TO A TRIAL BY JURY. </w:t>
      </w:r>
      <w:r>
        <w:rPr>
          <w:rFonts w:ascii="Times New Roman" w:hAnsi="Times New Roman"/>
          <w:color w:val="000000"/>
          <w:sz w:val="24"/>
        </w:rPr>
        <w:t>EXECUTIVE FURTHER UNDERSTANDS THAT THIS AGREEMENT TO ARBITRATE ALSO APPLIES TO ANY DISPUTES THAT THE COMPANY MAY HAVE WITH EXECUTIVE. EXECUTIVE UNDERSTANDS THAT NOTHING IN THIS AGREEMENT REQUIRES EXECUTIVE TO ARBITRATE CLAIMS THAT CANNOT BE ARBITRATED UNDER THE SARBANES-OXLEY ACT OR OTHER LAW THAT EXPRESSLY PROHIBITS ARBITRATION OF A CLAIM NOTWITHSTANDING APPLICATION OF THE FAA. SIMILARLY, NOTHING IN THIS AGREEMENT PROHIBITS EXECUTIVE FROM ENGAGING IN PROTECTED ACTIVITY (AS DEFINED HEREIN).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Administration of Arbitration</w:t>
      </w:r>
      <w:r>
        <w:rPr>
          <w:rFonts w:ascii="Times New Roman" w:hAnsi="Times New Roman"/>
          <w:color w:val="000000"/>
          <w:sz w:val="24"/>
        </w:rPr>
        <w:t>. EXECUTIVE AGREES THAT ANY ARBITRATION WILL BE ADMINISTERED BY JAMS, PURSUANT TO ITS EMPLOYMENT ARBITRATION RULES &amp; PROCEDURES (THE “</w:t>
      </w:r>
      <w:r>
        <w:rPr>
          <w:rFonts w:ascii="Times New Roman" w:hAnsi="Times New Roman"/>
          <w:b/>
          <w:color w:val="000000"/>
          <w:sz w:val="24"/>
        </w:rPr>
        <w:t>JAMS RULES</w:t>
      </w:r>
      <w:r>
        <w:rPr>
          <w:color w:val="000000"/>
        </w:rPr>
        <w:t>”</w:t>
      </w:r>
      <w:r>
        <w:rPr>
          <w:rFonts w:ascii="Times New Roman" w:hAnsi="Times New Roman"/>
          <w:color w:val="000000"/>
          <w:sz w:val="24"/>
        </w:rPr>
        <w:t xml:space="preserve">), WHICH ARE AVAILABLE AT </w:t>
      </w:r>
      <w:r>
        <w:rPr>
          <w:rFonts w:ascii="Times New Roman" w:hAnsi="Times New Roman"/>
          <w:sz w:val="24"/>
        </w:rPr>
        <w:t>http://www.jamsadr.com/rules-employment-arbitration/</w:t>
      </w:r>
      <w:r>
        <w:rPr>
          <w:color w:val="000000"/>
        </w:rPr>
        <w:t xml:space="preserve"> </w:t>
      </w:r>
      <w:r>
        <w:rPr>
          <w:rFonts w:ascii="Times New Roman" w:hAnsi="Times New Roman"/>
          <w:color w:val="000000"/>
          <w:sz w:val="24"/>
        </w:rPr>
        <w:t xml:space="preserve">AND FROM THE COMPANY. IF THE JAMS RULES CANNOT BE ENFORCED AS TO THE ARBITRATION, THEN THE PARTIES AGREE THAT THEY WILL UTILIZE THE JAMS COMPREHENSIVE ARBITRATION RULES AND PROCEDURES OR SUCH RULES AS THE ARBITRATOR MAY DEEM MOST APPROPRIATE FOR THE DISPUTE. EXECUTIVE AGREES THAT THE ARBITRATOR SHALL HAVE THE POWER TO DECIDE ANY MOTIONS BROUGHT BY ANY PARTY TO THE ARBITRATION, INCLUDING MOTIONS FOR SUMMARY JUDGMENT AND/OR ADJUDICATION, MOTIONS TO DISMISS AND DEMURRERS, APPLYING THE STANDARDS SET FORTH FOR SUCH MOTIONS UNDER APPLICABLE CALIFORNIA LAW, INCLUDING THE CALIFORNIA CODE OF CIVIL PROCEDURE. EXECUTIVE AGREES THAT THE ARBITRATOR SHALL ISSUE A WRITTEN DECISION ON THE MERITS. EXECUTIVE ALSO AGREES THAT THE ARBITRATOR SHALL HAVE THE POWER TO AWARD ANY REMEDIES AVAILABLE UNDER APPLICABLE LAW, AND THAT THE ARBITRATOR MAY AWARD ATTORNEYS’ FEES AND COSTS TO THE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PREVAILING PARTY, WHERE PERMITTED BY APPLICABLE LAW. EXECUTIVE AGREES THAT THE DECREE OR AWARD RENDERED BY THE ARBITRATOR MAY BE ENTERED AS A FINAL AND BINDING JUDGMENT IN ANY COURT HAVING JURISDICTION THEREOF. EXECUTIVE UNDERSTANDS THAT THE COMPANY WILL PAY FOR ANY ADMINISTRATIVE OR HEARING FEES CHARGED BY THE ARBITRATOR OR JAMS EXCEPT THAT EXECUTIVE SHALL PAY ANY FILING FEES ASSOCIATED WITH ANY ARBITRATION THAT EXECUTIVE INITIATES, BUT ONLY SO MUCH OF THE FILING FEES AS EXECUTIVE WOULD HAVE INSTEAD PAID HAD EXECUTIVE FILED A COMPLAINT IN A COURT OF LAW THAT WOULD HAVE HAD JURISDICTION OVER SUCH COMPLAINT. SUBJECT TO THE FAA’S EXCLUSIVE APPLICABILITY TO THE ENFORCEMENT OF THIS AGREEMENT TO ARBITRATE, EXECUTIVE AGREES THAT THE ARBITRATOR SHALL ADMINISTER AND CONDUCT ANY ARBITRATION HEARING OR PROCEEDING APPLYING CALIFORNIA SUBSTANTIVE AND DECISIONAL LAW AND THE CALIFORNIA CODE OF CIVIL PROCEDURE, INCLUDING THE CALIFORNIA CIVIL DISCOVERY ACT. EXECUTIVE AGREES THAT ANY ARBITRATION UNDER THIS AGREEMENT SHALL BE CONDUCTED IN SACRAMENTO COUNTY, CALIFORNIA.</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Remedy</w:t>
      </w:r>
      <w:r>
        <w:rPr>
          <w:rFonts w:ascii="Times New Roman" w:hAnsi="Times New Roman"/>
          <w:color w:val="000000"/>
          <w:sz w:val="24"/>
        </w:rPr>
        <w:t>. EXCEPT FOR THE PURSUIT OF ANY PROVISIONAL REMEDY PERMITTED UNDER THE FAA, THE CALIFORNIA ARBITRATION ACT (CALIFORNIA CODE CIV. PROC. § 1281.8), OR AS OTHERWISE PROVIDED BY THIS AGREEMENT, EXECUTIVE AGREES THAT ARBITRATION SHALL BE THE SOLE, EXCLUSIVE, AND FINAL REMEDY FOR ANY DISPUTE BETWEEN EXECUTIVE AND THE COMPANY. EXECUTIVE ACKNOWLEDGES AND AGREES THAT POTENTIAL BREACHES OR THREATENED BREACHES OF THE CONFIDENTIALITY AGREEMENT WILL CAUSE IRREPARABLE INJURY AND THAT MONEY DAMAGES WILL NOT PROVIDE AN ADEQUATE REMEDY THEREFOR, AND BOTH PARTIES CONSENT TO THE ISSUANCE OF AN INJUNCTION, WHETHER IN ARBITRATION OR IN CONNECTION WITH THE PROVISIONAL REMEDIES PERMITTED UNDER THE FAA, WITHOUT THE POSTING OF A BOND. IN THE EVENT EITHER PARTY SEEKS SUCH INJUNCTIVE RELIEF, THE PREVAILING PARTY SHALL BE ENTITLED TO RECOVER REASONABLE COSTS AND ATTORNEYS’ FEES.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u w:val="single"/>
        </w:rPr>
        <w:t>Administrative Relief</w:t>
      </w:r>
      <w:r>
        <w:rPr>
          <w:rFonts w:ascii="Times New Roman" w:hAnsi="Times New Roman"/>
          <w:color w:val="000000"/>
          <w:sz w:val="24"/>
        </w:rPr>
        <w:t>. EXECUTIVE UNDERSTANDS THAT THIS AGREEMENT DOES NOT PROHIBIT EXECUTIVE FROM PURSUING AN ADMINISTRATIVE CLAIM WITH A LOCAL, STATE, OR FEDERAL ADMINISTRATIVE BODY OR GOVERNMENT AGENCY THAT IS AUTHORIZED TO ENFORCE OR ADMINISTER LAWS RELATED TO EMPLOYMENT, INCLUDING, BUT NOT LIMITED TO, THE CALIFORNIA CIVIL RIGHTS DEPARTMENT, THE EQUAL EMPLOYMENT OPPORTUNITY COMMISSION, THE NATIONAL LABOR RELATIONS BOARD, THE SECURITIES AND EXCHANGE COMMISSION, OR THE WORKERS’ COMPENSATION BOARD. THIS AGREEMENT DOES, HOWEVER, PRECLUDE EXECUTIVE FROM PURSUING A COURT ACTION REGARDING ANY SUCH CLAIM, EXCEPT AS PERMITTED BY LAW.</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pPr>
      <w:r>
        <w:rPr>
          <w:rFonts w:ascii="Times New Roman" w:hAnsi="Times New Roman"/>
          <w:color w:val="000000"/>
          <w:sz w:val="24"/>
          <w:u w:val="single"/>
        </w:rPr>
        <w:t>Voluntary Nature of Agreement</w:t>
      </w:r>
      <w:r>
        <w:rPr>
          <w:rFonts w:ascii="Times New Roman" w:hAnsi="Times New Roman"/>
          <w:color w:val="000000"/>
          <w:sz w:val="24"/>
        </w:rPr>
        <w:t xml:space="preserve">. EXECUTIVE ACKNOWLEDGES AND AGREES THAT EXECUTIVE IS EXECUTING THIS AGREEMENT TO ARBITRATE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 xml:space="preserve">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TO ARBITRATE AND DOES FULLY UNDERSTAND IT, INCLUDING THAT </w:t>
      </w:r>
      <w:r>
        <w:rPr>
          <w:rFonts w:ascii="Times New Roman" w:hAnsi="Times New Roman"/>
          <w:b/>
          <w:i/>
          <w:color w:val="000000"/>
          <w:sz w:val="24"/>
        </w:rPr>
        <w:t>EXECUTIVE IS WAIVING EXECUTIVE’S RIGHT TO A JURY TRIAL</w:t>
      </w:r>
      <w:r>
        <w:rPr>
          <w:rFonts w:ascii="Times New Roman" w:hAnsi="Times New Roman"/>
          <w:color w:val="000000"/>
          <w:sz w:val="24"/>
        </w:rPr>
        <w:t>. EXECUTIVE AGREES THAT EXECUTIVE HAS BEEN PROVIDED AN OPPORTUNITY TO SEEK THE ADVICE OF AN ATTORNEY OF EXECUTIVE’S CHOICE BEFORE SIGNING THIS AGREEMENT. THIS ARBITRATION AGREEMENT IS TO BE ENFORCED TO THE MAXIMUM EXTENT PERMITTED BY APPLICABLE LAW. ACCORDINGLY, EXECUTIVE AGREES THAT IF A COURT OR OTHER BODY OF COMPETENT JURISDICTION FINDS THAT ANY PROVISION OR PORTION OF THIS ARBITRATION AGREEMENT IS INVALID OR UNENFORCEABLE, SUCH PROVISION OR PORTION, AS APPLICABLE, SHALL BE ENFORCED TO THE MAXIMUM EXTENT PERMISSIBLE BY APPLICABLE LAW OR, IF NECESSARY, SEVERED, AND THE REMAINDER OF THE ARBITRATION AGREEMENT WILL CONTINUE WITH FULL FORCE AND EFFECT.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18.</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All captions and section headings used in this Agreement are for convenient reference only and do not form a part 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19.</w:t>
      </w:r>
    </w:p>
    <w:p>
      <w:pPr>
        <w:pStyle w:val="TextBody"/>
        <w:bidi w:val="0"/>
        <w:spacing w:before="0" w:after="240"/>
        <w:jc w:val="both"/>
        <w:rPr/>
      </w:pPr>
      <w:r>
        <w:rPr>
          <w:rFonts w:ascii="Times New Roman" w:hAnsi="Times New Roman"/>
          <w:color w:val="000000"/>
          <w:sz w:val="24"/>
          <w:u w:val="single"/>
        </w:rPr>
        <w:t>Tax Withholding</w:t>
      </w:r>
      <w:r>
        <w:rPr>
          <w:rFonts w:ascii="Times New Roman" w:hAnsi="Times New Roman"/>
          <w:color w:val="000000"/>
          <w:sz w:val="24"/>
        </w:rPr>
        <w:t>. All payments made pursuant to this Agreement will be subject to withholding of applicable taxes.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20.</w:t>
      </w:r>
    </w:p>
    <w:p>
      <w:pPr>
        <w:pStyle w:val="TextBody"/>
        <w:bidi w:val="0"/>
        <w:spacing w:before="0" w:after="240"/>
        <w:jc w:val="both"/>
        <w:rPr/>
      </w:pPr>
      <w:r>
        <w:rPr>
          <w:rFonts w:ascii="Times New Roman" w:hAnsi="Times New Roman"/>
          <w:color w:val="000000"/>
          <w:sz w:val="24"/>
          <w:u w:val="single"/>
        </w:rPr>
        <w:t>Governing Law; Venue</w:t>
      </w:r>
      <w:r>
        <w:rPr>
          <w:rFonts w:ascii="Times New Roman" w:hAnsi="Times New Roman"/>
          <w:color w:val="000000"/>
          <w:sz w:val="24"/>
        </w:rPr>
        <w:t>. This Agreement will be governed by the laws of the State of California (with the exception of its conflict of laws provisions that would otherwise apply the laws of another jurisdiction).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21.</w:t>
      </w:r>
    </w:p>
    <w:p>
      <w:pPr>
        <w:pStyle w:val="TextBody"/>
        <w:bidi w:val="0"/>
        <w:spacing w:before="0" w:after="240"/>
        <w:jc w:val="both"/>
        <w:rPr/>
      </w:pPr>
      <w:r>
        <w:rPr>
          <w:rFonts w:ascii="Times New Roman" w:hAnsi="Times New Roman"/>
          <w:color w:val="000000"/>
          <w:sz w:val="24"/>
          <w:u w:val="single"/>
        </w:rPr>
        <w:t>Acknowledgment</w:t>
      </w:r>
      <w:r>
        <w:rPr>
          <w:rFonts w:ascii="Times New Roman" w:hAnsi="Times New Roman"/>
          <w:color w:val="000000"/>
          <w:sz w:val="24"/>
        </w:rPr>
        <w:t>. Executive acknowledges that Executive has had the opportunity to discuss this matter with and obtain advice from Executive’s private attorney, has had sufficient time to, and has carefully read and fully understands all the provisions 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22.</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counterparts, and each counterpart will have the same force and effect as an original and will constitute an effective, binding agreement on the part of each of the undersigned.</w:t>
      </w:r>
    </w:p>
    <w:p>
      <w:pPr>
        <w:pStyle w:val="TextBody"/>
        <w:bidi w:val="0"/>
        <w:spacing w:before="0" w:after="240"/>
        <w:jc w:val="center"/>
        <w:rPr>
          <w:rFonts w:ascii="Times New Roman" w:hAnsi="Times New Roman"/>
          <w:b/>
          <w:i/>
          <w:color w:val="000000"/>
          <w:sz w:val="24"/>
          <w:u w:val="single"/>
        </w:rPr>
      </w:pPr>
      <w:r>
        <w:rPr>
          <w:rFonts w:ascii="Times New Roman" w:hAnsi="Times New Roman"/>
          <w:b/>
          <w:i/>
          <w:color w:val="000000"/>
          <w:sz w:val="24"/>
          <w:u w:val="single"/>
        </w:rPr>
        <w:t>[Remainder of Page Intentionally Left Blank]</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each of the Parties has executed this Agreement, in the case of the Company by their duly authorized officers, as of the day and year first above written.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SARCOS CORP.</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Laura Peterson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Name: Laura Peterson</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Title: Chief Executive Officer</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SARCOS TECHNOLOGY AND ROBOTICS CORPORATION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 Laura Peterson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Name: Laura Peterson</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Title: Chief Executive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 xml:space="preserve">/s/ Matthew L. Vogt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Matthew L. Vogt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[SIGNATURE PAGE TO MATT VOGT EMPLOYMENT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50" w:name="strc-ex10_13.htm"/>
      <w:bookmarkStart w:id="51" w:name="ksstrcex10_13"/>
      <w:bookmarkEnd w:id="50"/>
      <w:bookmarkEnd w:id="51"/>
      <w:r>
        <w:rPr>
          <w:rFonts w:ascii="Times New Roman" w:hAnsi="Times New Roman"/>
          <w:b/>
          <w:color w:val="000000"/>
          <w:sz w:val="24"/>
        </w:rPr>
        <w:t>Exhibit 10.13</w:t>
      </w:r>
      <w:r>
        <w:br w:type="page"/>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SARCOS CORP.</w:t>
        <w:br/>
        <w:br/>
        <w:t>EMPLOYMENT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Employment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entered into as of January 30, 2023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by and between Sarcos Corp.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Sarcos Technology and Robotics Corporation, the Company’s parent corporation (“</w:t>
      </w:r>
      <w:r>
        <w:rPr>
          <w:rFonts w:ascii="Times New Roman" w:hAnsi="Times New Roman"/>
          <w:b/>
          <w:color w:val="000000"/>
          <w:sz w:val="24"/>
        </w:rPr>
        <w:t>Parent</w:t>
      </w:r>
      <w:r>
        <w:rPr>
          <w:rFonts w:ascii="Times New Roman" w:hAnsi="Times New Roman"/>
          <w:color w:val="000000"/>
          <w:sz w:val="20"/>
        </w:rPr>
        <w:t>”</w:t>
      </w:r>
      <w:r>
        <w:rPr>
          <w:rFonts w:ascii="Times New Roman" w:hAnsi="Times New Roman"/>
          <w:color w:val="000000"/>
          <w:sz w:val="24"/>
        </w:rPr>
        <w:t>) and Stephen Sonne (“</w:t>
      </w:r>
      <w:r>
        <w:rPr>
          <w:rFonts w:ascii="Times New Roman" w:hAnsi="Times New Roman"/>
          <w:b/>
          <w:color w:val="000000"/>
          <w:sz w:val="24"/>
        </w:rPr>
        <w:t>Executive</w:t>
      </w:r>
      <w:r>
        <w:rPr>
          <w:rFonts w:ascii="Times New Roman" w:hAnsi="Times New Roman"/>
          <w:color w:val="000000"/>
          <w:sz w:val="20"/>
        </w:rPr>
        <w:t xml:space="preserve">” </w:t>
      </w:r>
      <w:r>
        <w:rPr>
          <w:rFonts w:ascii="Times New Roman" w:hAnsi="Times New Roman"/>
          <w:color w:val="000000"/>
          <w:sz w:val="24"/>
        </w:rPr>
        <w:t>and, together with the Company and Parent, the “</w:t>
      </w:r>
      <w:r>
        <w:rPr>
          <w:rFonts w:ascii="Times New Roman" w:hAnsi="Times New Roman"/>
          <w:b/>
          <w:color w:val="000000"/>
          <w:sz w:val="24"/>
        </w:rPr>
        <w:t>Parties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RECITALS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Parent and the Company wishes to continue to retain the services of Executive following the Effective Date and Executive wishes to continue to be employed by the Company following the Effective Date on the terms and subject to the conditions set forth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foregoing recital and the respective undertakings of the Company, Parent and Executive set forth below, the Company, Parent and Executive agree as follows: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pPr>
      <w:r>
        <w:rPr>
          <w:rFonts w:ascii="Times New Roman" w:hAnsi="Times New Roman"/>
          <w:color w:val="000000"/>
          <w:sz w:val="24"/>
          <w:u w:val="single"/>
        </w:rPr>
        <w:t>Duties and Obligations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Duties and Scope of Employment</w:t>
      </w:r>
      <w:r>
        <w:rPr>
          <w:rFonts w:ascii="Times New Roman" w:hAnsi="Times New Roman"/>
          <w:color w:val="000000"/>
          <w:sz w:val="24"/>
        </w:rPr>
        <w:t>. As of the Effective Date, Executive will continue to serve as the Chief Legal Officer and Secretary (and any other roles to which he has been or may be appointed) of the Company and Parent and report to the Company’s and Parent’s Chief Executive Officer (the “</w:t>
      </w:r>
      <w:r>
        <w:rPr>
          <w:rFonts w:ascii="Times New Roman" w:hAnsi="Times New Roman"/>
          <w:b/>
          <w:color w:val="000000"/>
          <w:sz w:val="24"/>
        </w:rPr>
        <w:t>CEO</w:t>
      </w:r>
      <w:r>
        <w:rPr>
          <w:color w:val="000000"/>
        </w:rPr>
        <w:t>”</w:t>
      </w:r>
      <w:r>
        <w:rPr>
          <w:rFonts w:ascii="Times New Roman" w:hAnsi="Times New Roman"/>
          <w:color w:val="000000"/>
          <w:sz w:val="24"/>
        </w:rPr>
        <w:t>). Executive will render business and professional services in the performance of Executive’s duties, consistent with Executive’s position within the Company, as will reasonably be assigned to Executive by the CEO. The period of Executive’s employment under this Agreement is referred to in this Agreement as the “</w:t>
      </w:r>
      <w:r>
        <w:rPr>
          <w:rFonts w:ascii="Times New Roman" w:hAnsi="Times New Roman"/>
          <w:b/>
          <w:color w:val="000000"/>
          <w:sz w:val="24"/>
        </w:rPr>
        <w:t>Employment Term</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Obligations</w:t>
      </w:r>
      <w:r>
        <w:rPr>
          <w:rFonts w:ascii="Times New Roman" w:hAnsi="Times New Roman"/>
          <w:color w:val="000000"/>
          <w:sz w:val="24"/>
        </w:rPr>
        <w:t>. During the Employment Term, Executive will perform Executive’s duties faithfully and to the best of Executive’s ability and will devote Executive’s full business efforts and time to Parent and the Company. Except as prohibited by applicable law, for the duration of the Employment Term, Executive agrees not to actively engage in any other employment, occupation, or consulting activity for any direct or indirect remuneration without the prior approval of the Board, and Executive will not engage in any other activities that materially interfere with Executive’s obligations to the Company. Executive further agrees to comply with all Company policies, including, for the avoidance of any doubt, any insider trading policies and compensation clawback policies currently in existence or that may be adopted by the Company during the Employment Term.</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pPr>
      <w:r>
        <w:rPr>
          <w:rFonts w:ascii="Times New Roman" w:hAnsi="Times New Roman"/>
          <w:color w:val="000000"/>
          <w:sz w:val="24"/>
          <w:u w:val="single"/>
        </w:rPr>
        <w:t>At-Will Employment</w:t>
      </w:r>
      <w:r>
        <w:rPr>
          <w:rFonts w:ascii="Times New Roman" w:hAnsi="Times New Roman"/>
          <w:color w:val="000000"/>
          <w:sz w:val="24"/>
        </w:rPr>
        <w:t>. Subject to the terms hereof, Executive’s employment with the Company will be “at-will” employment and may be terminated by the Company at any time with or without cause or with or without notice. However, as described in this Agreement, Executive may be entitled to severance benefits depending upon the circumstances of Executive’s termination of employment.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both"/>
        <w:rPr/>
      </w:pPr>
      <w:r>
        <w:rPr>
          <w:rFonts w:ascii="Times New Roman" w:hAnsi="Times New Roman"/>
          <w:color w:val="000000"/>
          <w:sz w:val="24"/>
          <w:u w:val="single"/>
        </w:rPr>
        <w:t>Compensation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Base Salary</w:t>
      </w:r>
      <w:r>
        <w:rPr>
          <w:rFonts w:ascii="Times New Roman" w:hAnsi="Times New Roman"/>
          <w:color w:val="000000"/>
          <w:sz w:val="24"/>
        </w:rPr>
        <w:t>. During the Employment Term, the Company will pay Executive an annual base salary of $275,000 as compensation for Executive’s services (the annual base salary as may be amended from time to time, the “</w:t>
      </w:r>
      <w:r>
        <w:rPr>
          <w:rFonts w:ascii="Times New Roman" w:hAnsi="Times New Roman"/>
          <w:b/>
          <w:color w:val="000000"/>
          <w:sz w:val="24"/>
        </w:rPr>
        <w:t>Base Salary</w:t>
      </w:r>
      <w:r>
        <w:rPr>
          <w:color w:val="000000"/>
        </w:rPr>
        <w:t>”</w:t>
      </w:r>
      <w:r>
        <w:rPr>
          <w:rFonts w:ascii="Times New Roman" w:hAnsi="Times New Roman"/>
          <w:color w:val="000000"/>
          <w:sz w:val="24"/>
        </w:rPr>
        <w:t>). The Base Salary will be paid periodically in accordance with the Company’s normal payroll practices and be subject to the usual, required withholding. Executive’s Base Salary will be subject to review and adjustments will be made by the Board or its authorized committee (the “</w:t>
      </w:r>
      <w:r>
        <w:rPr>
          <w:rFonts w:ascii="Times New Roman" w:hAnsi="Times New Roman"/>
          <w:b/>
          <w:color w:val="000000"/>
          <w:sz w:val="24"/>
        </w:rPr>
        <w:t>Committee</w:t>
      </w:r>
      <w:r>
        <w:rPr>
          <w:color w:val="000000"/>
        </w:rPr>
        <w:t>”</w:t>
      </w:r>
      <w:r>
        <w:rPr>
          <w:rFonts w:ascii="Times New Roman" w:hAnsi="Times New Roman"/>
          <w:color w:val="000000"/>
          <w:sz w:val="24"/>
        </w:rPr>
        <w:t>) based upon the Company’s normal performance review practices.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Bonus</w:t>
      </w:r>
      <w:r>
        <w:rPr>
          <w:rFonts w:ascii="Times New Roman" w:hAnsi="Times New Roman"/>
          <w:color w:val="000000"/>
          <w:sz w:val="24"/>
        </w:rPr>
        <w:t>. For year ending December 31, 2022, Executive will be eligible to receive a bonus targeted annually at 20% of Executive’s then-current Base Salary (the “</w:t>
      </w:r>
      <w:r>
        <w:rPr>
          <w:rFonts w:ascii="Times New Roman" w:hAnsi="Times New Roman"/>
          <w:b/>
          <w:color w:val="000000"/>
          <w:sz w:val="24"/>
        </w:rPr>
        <w:t>Bonus</w:t>
      </w:r>
      <w:r>
        <w:rPr>
          <w:color w:val="000000"/>
        </w:rPr>
        <w:t>”</w:t>
      </w:r>
      <w:r>
        <w:rPr>
          <w:rFonts w:ascii="Times New Roman" w:hAnsi="Times New Roman"/>
          <w:color w:val="000000"/>
          <w:sz w:val="24"/>
        </w:rPr>
        <w:t>). Executive’s Bonus for the calendar year 2023 will be a bonus targeted annually at 35% of Executive’s then-current Base Salary. Any Bonus may be based on achievement of the performance goals set by the Committee and the Committee’s assessment of achievement of those goals as well as the terms and conditions of the bonus plan to be approved by the Committee. Executive’s receipt of any achieved amount of the Bonus is subject to Executive’s continued employment with the Company through the applicable payment date, and such amount will not be earned if Executive’s employment with the Company terminates for any reason or no reason prior to the applicable payment date. The achieved amount of Executive’s Bonus for any year will be payable no later than March 15th of the year following the year in which such amount is earned.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Equity</w:t>
      </w:r>
      <w:r>
        <w:rPr>
          <w:rFonts w:ascii="Times New Roman" w:hAnsi="Times New Roman"/>
          <w:color w:val="000000"/>
          <w:sz w:val="24"/>
        </w:rPr>
        <w:t>. During the Employment Term, Executive will be eligible to receive equity awards pursuant to any plans or arrangements Parent may have in effect from time to time. The Committee will determine in its discretion whether Executive will be granted any equity awards and the terms of any equity award in accordance with the terms of any applicable plan or arrangement that may be in effect from time to time.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40"/>
        <w:jc w:val="both"/>
        <w:rPr/>
      </w:pPr>
      <w:r>
        <w:rPr>
          <w:rFonts w:ascii="Times New Roman" w:hAnsi="Times New Roman"/>
          <w:color w:val="000000"/>
          <w:sz w:val="24"/>
          <w:u w:val="single"/>
        </w:rPr>
        <w:t>Employee Benefits</w:t>
      </w:r>
      <w:r>
        <w:rPr>
          <w:rFonts w:ascii="Times New Roman" w:hAnsi="Times New Roman"/>
          <w:color w:val="000000"/>
          <w:sz w:val="24"/>
        </w:rPr>
        <w:t>. During the Employment Term, Executive will be entitled to participate in benefit plans and programs of the Company (including vacation and/or paid-time off), maintained by the Company for the benefit of its employees if any, on the same terms and conditions as other similarly-situated employees to the extent that Executive’s position, tenure, salary, age, health and other qualifications make Executive eligible to participate in such plans or programs, subject to the rules and regulations applicable thereto. The Company reserves the right to modify employee compensation and cancel or change the benefit plans and programs it offers to its employees at any time in its discretion.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0" w:after="240"/>
        <w:jc w:val="both"/>
        <w:rPr/>
      </w:pPr>
      <w:r>
        <w:rPr>
          <w:rFonts w:ascii="Times New Roman" w:hAnsi="Times New Roman"/>
          <w:color w:val="000000"/>
          <w:sz w:val="24"/>
          <w:u w:val="single"/>
        </w:rPr>
        <w:t>Expenses</w:t>
      </w:r>
      <w:r>
        <w:rPr>
          <w:rFonts w:ascii="Times New Roman" w:hAnsi="Times New Roman"/>
          <w:color w:val="000000"/>
          <w:sz w:val="24"/>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0" w:after="240"/>
        <w:jc w:val="both"/>
        <w:rPr/>
      </w:pPr>
      <w:r>
        <w:rPr>
          <w:rFonts w:ascii="Times New Roman" w:hAnsi="Times New Roman"/>
          <w:color w:val="000000"/>
          <w:sz w:val="24"/>
          <w:u w:val="single"/>
        </w:rPr>
        <w:t>Severance Benefits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Termination Outside the Change in Control Period</w:t>
      </w:r>
      <w:r>
        <w:rPr>
          <w:rFonts w:ascii="Times New Roman" w:hAnsi="Times New Roman"/>
          <w:color w:val="000000"/>
          <w:sz w:val="24"/>
        </w:rPr>
        <w:t xml:space="preserve">. If, outside the Change in Control Period, the Company or its Affiliates terminate Executive’s employment with the Company or its Affiliates, respectively, without Cause (excluding by reason of Executive’s death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Disability), or Executive resigns from such employment for Good Reason, then, subject to Section 7, Executive will receive the following severance benefits: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both"/>
        <w:rPr/>
      </w:pPr>
      <w:r>
        <w:rPr>
          <w:rFonts w:ascii="Times New Roman" w:hAnsi="Times New Roman"/>
          <w:color w:val="000000"/>
          <w:sz w:val="24"/>
          <w:u w:val="single"/>
        </w:rPr>
        <w:t>Salary Severance</w:t>
      </w:r>
      <w:r>
        <w:rPr>
          <w:rFonts w:ascii="Times New Roman" w:hAnsi="Times New Roman"/>
          <w:color w:val="000000"/>
          <w:sz w:val="24"/>
        </w:rPr>
        <w:t>. Continuing payments of severance pay at a rate equal to Executive’s Base Salary, at the highest rate in effect during the Term, for six (6) months from the date of Executive’s termination of employment, which will be paid in accordance with the Company’s regular payroll procedures.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(ii)</w:t>
      </w:r>
    </w:p>
    <w:p>
      <w:pPr>
        <w:pStyle w:val="TextBody"/>
        <w:bidi w:val="0"/>
        <w:spacing w:before="0" w:after="240"/>
        <w:jc w:val="both"/>
        <w:rPr/>
      </w:pPr>
      <w:r>
        <w:rPr>
          <w:rFonts w:ascii="Times New Roman" w:hAnsi="Times New Roman"/>
          <w:color w:val="000000"/>
          <w:sz w:val="24"/>
          <w:u w:val="single"/>
        </w:rPr>
        <w:t>Continued Employee Benefits</w:t>
      </w:r>
      <w:r>
        <w:rPr>
          <w:rFonts w:ascii="Times New Roman" w:hAnsi="Times New Roman"/>
          <w:color w:val="000000"/>
          <w:sz w:val="24"/>
        </w:rPr>
        <w:t>. If Executive elects continuation coverage pursuant to the Consolidated Omnibus Budget Reconciliation Act of 1985, as amended (“</w:t>
      </w:r>
      <w:r>
        <w:rPr>
          <w:rFonts w:ascii="Times New Roman" w:hAnsi="Times New Roman"/>
          <w:b/>
          <w:color w:val="000000"/>
          <w:sz w:val="24"/>
        </w:rPr>
        <w:t>COBRA</w:t>
      </w:r>
      <w:r>
        <w:rPr>
          <w:color w:val="000000"/>
        </w:rPr>
        <w:t>”</w:t>
      </w:r>
      <w:r>
        <w:rPr>
          <w:rFonts w:ascii="Times New Roman" w:hAnsi="Times New Roman"/>
          <w:color w:val="000000"/>
          <w:sz w:val="24"/>
        </w:rPr>
        <w:t>) within the time period prescribed pursuant to COBRA for Executive and Executive’s eligible dependents, the Company will reimburse Executive for the premiums necessary to continue group health insurance benefits for Executive and Executive’s eligible dependents until the earlier of (A) a period of six (6) months from the date of Executive’s termination of employment, (B) the date upon which Executive and/or Executive’s eligible dependents becomes covered under similar plans or (C) the date upon which Executive ceases to be eligible for coverage under COBRA (such reimbursements, the “</w:t>
      </w:r>
      <w:r>
        <w:rPr>
          <w:rFonts w:ascii="Times New Roman" w:hAnsi="Times New Roman"/>
          <w:b/>
          <w:color w:val="000000"/>
          <w:sz w:val="24"/>
        </w:rPr>
        <w:t>COBRA Premiums</w:t>
      </w:r>
      <w:r>
        <w:rPr>
          <w:color w:val="000000"/>
        </w:rPr>
        <w:t>”</w:t>
      </w:r>
      <w:r>
        <w:rPr>
          <w:rFonts w:ascii="Times New Roman" w:hAnsi="Times New Roman"/>
          <w:color w:val="000000"/>
          <w:sz w:val="24"/>
        </w:rPr>
        <w:t>). However, if the Company determines in its sole discretion that it cannot pay the COBRA Premiums without potentially violating applicable law (including, without limitation, Section 2716 of the Public Health Service Act), the Company will in lieu thereof provide to Executive a taxable monthly payment payable on the last day of a given month (except as provided by the following sentence), in an amount equal to the monthly COBRA premium that Executive would be required to pay to continue Executive’s group health coverage in effect on the date of Executive’s termination of employment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months of payments. For the avoidance of doubt, the taxable payments in lieu of COBRA Premiums may be used for any purpose, including, but not limited to continuation coverage under COBRA, and will be subject to all applicable tax withholdings. Notwithstanding anything to the contrary under this Agreement, if at any time the Company determines in its sole discretion that it cannot provide the payments contemplated by the preceding sentence without violating applicable law (including, without limitation, Section 2716 of the Public Health Service Act), Executive will not receive such payment or any further reimbursements for COBRA premiums.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Termination without Cause or Resignation for Good Reason within the Change in Control Period</w:t>
      </w:r>
      <w:r>
        <w:rPr>
          <w:rFonts w:ascii="Times New Roman" w:hAnsi="Times New Roman"/>
          <w:color w:val="000000"/>
          <w:sz w:val="24"/>
        </w:rPr>
        <w:t>. If, within the Change in Control Period, the Company or its Affiliates terminate Executive’s employment with the Company or its Affiliates, respectively, without Cause (excluding by reason of Executive’s death or Disability), or Executive resigns from such employment for Good Reason, then, subject to Section 8, Executive will receive the following severance benefits from the Company: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both"/>
        <w:rPr/>
      </w:pPr>
      <w:r>
        <w:rPr>
          <w:rFonts w:ascii="Times New Roman" w:hAnsi="Times New Roman"/>
          <w:color w:val="000000"/>
          <w:sz w:val="24"/>
          <w:u w:val="single"/>
        </w:rPr>
        <w:t>Salary Severance</w:t>
      </w:r>
      <w:r>
        <w:rPr>
          <w:rFonts w:ascii="Times New Roman" w:hAnsi="Times New Roman"/>
          <w:color w:val="000000"/>
          <w:sz w:val="24"/>
        </w:rPr>
        <w:t>. A lump sum severance payment equal to six (6) months of Executive’s Base Salary, at the highest rate in effect during the Employment Term, which will be paid in accordance with the Company’s regular payroll procedures.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(ii)</w:t>
      </w:r>
    </w:p>
    <w:p>
      <w:pPr>
        <w:pStyle w:val="TextBody"/>
        <w:bidi w:val="0"/>
        <w:spacing w:before="0" w:after="240"/>
        <w:jc w:val="both"/>
        <w:rPr/>
      </w:pPr>
      <w:r>
        <w:rPr>
          <w:rFonts w:ascii="Times New Roman" w:hAnsi="Times New Roman"/>
          <w:color w:val="000000"/>
          <w:sz w:val="24"/>
          <w:u w:val="single"/>
        </w:rPr>
        <w:t>Bonus Severance</w:t>
      </w:r>
      <w:r>
        <w:rPr>
          <w:rFonts w:ascii="Times New Roman" w:hAnsi="Times New Roman"/>
          <w:color w:val="000000"/>
          <w:sz w:val="24"/>
        </w:rPr>
        <w:t>. Executive will receive a lump-sum payment, payable in accordance with the Company’s regular payroll procedures, equal to one hundred percent (100%) of the higher of (A) Executive’s target Bonus as in effect for the fiscal year in which the Change in Control occurs or (B) Executive’s target Bonus as in effect for the fiscal year in which Executive’s termination of employment occurs; provided, in either case, the Company had not previously paid Executive a Bonus corresponding to such fiscal year. For avoidance of doubt, the amount paid to Executive pursuant to this Section 6(b)(ii) will not be prorated based on the actual amount of time Executive is employed by the Company during the fiscal year (or the relevant performance period if something different than a fiscal year) during which the termination occurs.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(iii)</w:t>
      </w:r>
    </w:p>
    <w:p>
      <w:pPr>
        <w:pStyle w:val="TextBody"/>
        <w:bidi w:val="0"/>
        <w:spacing w:before="0" w:after="240"/>
        <w:jc w:val="both"/>
        <w:rPr/>
      </w:pPr>
      <w:r>
        <w:rPr>
          <w:rFonts w:ascii="Times New Roman" w:hAnsi="Times New Roman"/>
          <w:color w:val="000000"/>
          <w:sz w:val="24"/>
          <w:u w:val="single"/>
        </w:rPr>
        <w:t>Continued Employee Benefits</w:t>
      </w:r>
      <w:r>
        <w:rPr>
          <w:rFonts w:ascii="Times New Roman" w:hAnsi="Times New Roman"/>
          <w:color w:val="000000"/>
          <w:sz w:val="24"/>
        </w:rPr>
        <w:t>. If Executive elects continuation coverage pursuant to COBRA within the time period prescribed pursuant to COBRA for Executive and Executive’s eligible dependents, the Company will reimburse Executive for the premiums necessary to continue group health insurance benefits for Executive and Executive’s eligible dependents until the earlier of (A) a period of six (6) months from the date of Executive’s termination of employment, (B) the date upon which Executive and/or Executive’s eligible dependents becomes covered under similar plans or (C) the date upon which Executive ceases to be eligible for coverage under COBRA (such reimbursements, the “</w:t>
      </w:r>
      <w:r>
        <w:rPr>
          <w:rFonts w:ascii="Times New Roman" w:hAnsi="Times New Roman"/>
          <w:b/>
          <w:color w:val="000000"/>
          <w:sz w:val="24"/>
        </w:rPr>
        <w:t>COC COBRA Premiums</w:t>
      </w:r>
      <w:r>
        <w:rPr>
          <w:color w:val="000000"/>
        </w:rPr>
        <w:t>”</w:t>
      </w:r>
      <w:r>
        <w:rPr>
          <w:rFonts w:ascii="Times New Roman" w:hAnsi="Times New Roman"/>
          <w:color w:val="000000"/>
          <w:sz w:val="24"/>
        </w:rPr>
        <w:t>). However, if the Company determines in its sole discretion that it cannot pay the COC COBRA Premiums without potentially violating applicable law (including, without limitation, Section 2716 of the Public Health Service Act), the Company will in lieu thereof provide to Executive a taxable monthly payment in an amount equal to the monthly COBRA premium that Executive would be required to pay to continue Executive’s group health coverage in effect on the date of Executive’s termination of employment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months of payments. For the avoidance of doubt, the taxable payments in lieu of COC COBRA Premiums may be used for any purpose, including, but not limited to continuation coverage under COBRA, and will be subject to all applicable tax withholdings. Notwithstanding anything to the contrary under this Agreement, if at any time the Company determines in its sole discretion that it cannot provide the payments contemplated by the preceding sentence without violating applicable law (including, without limitation, Section 2716 of the Public Health Service Act), Executive will not receive such payment or any further reimbursements for COBRA premiums.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(iv)</w:t>
      </w:r>
    </w:p>
    <w:p>
      <w:pPr>
        <w:pStyle w:val="TextBody"/>
        <w:bidi w:val="0"/>
        <w:spacing w:before="0" w:after="240"/>
        <w:jc w:val="both"/>
        <w:rPr/>
      </w:pPr>
      <w:r>
        <w:rPr>
          <w:rFonts w:ascii="Times New Roman" w:hAnsi="Times New Roman"/>
          <w:color w:val="000000"/>
          <w:sz w:val="24"/>
          <w:u w:val="single"/>
        </w:rPr>
        <w:t>Equity</w:t>
      </w:r>
      <w:r>
        <w:rPr>
          <w:rFonts w:ascii="Times New Roman" w:hAnsi="Times New Roman"/>
          <w:color w:val="000000"/>
          <w:sz w:val="24"/>
        </w:rPr>
        <w:t>. Vesting acceleration of one hundred percent (100%) of Executive’s outstanding unvested Equity Awards on the date of Executive’s termination. If, however, an outstanding Equity Award is to vest and/or the amount of the Equity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 unless otherwise provided in the applicable award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Voluntary Resignation; Termination for Cause</w:t>
      </w:r>
      <w:r>
        <w:rPr>
          <w:rFonts w:ascii="Times New Roman" w:hAnsi="Times New Roman"/>
          <w:color w:val="000000"/>
          <w:sz w:val="24"/>
        </w:rPr>
        <w:t xml:space="preserve">. If Executive’s employment with the Company or its Affiliates terminates (i) voluntarily by Executive (other than for Good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u w:val="single"/>
        </w:rPr>
        <w:t>Disability; Death</w:t>
      </w:r>
      <w:r>
        <w:rPr>
          <w:rFonts w:ascii="Times New Roman" w:hAnsi="Times New Roman"/>
          <w:color w:val="000000"/>
          <w:sz w:val="24"/>
        </w:rPr>
        <w:t>. If the Company terminates Executive’s employment as a result of Executive’s Disability, or Executive’s employment terminates due to Executive’s death, then Executive will not be entitled to receive severance or other benefits except for those (if any) as may then be established under the Company’s then existing written severance and benefits plans and practices or pursuant to other written agreements between Executive or the Company or Parent, as applicable.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pPr>
      <w:r>
        <w:rPr>
          <w:rFonts w:ascii="Times New Roman" w:hAnsi="Times New Roman"/>
          <w:color w:val="000000"/>
          <w:sz w:val="24"/>
          <w:u w:val="single"/>
        </w:rPr>
        <w:t>Accrued Compensation</w:t>
      </w:r>
      <w:r>
        <w:rPr>
          <w:rFonts w:ascii="Times New Roman" w:hAnsi="Times New Roman"/>
          <w:color w:val="000000"/>
          <w:sz w:val="24"/>
        </w:rPr>
        <w:t>. For the avoidance of any doubt, in the event of a termination of Executive’s employment with the Company or its Affiliates, Executive will be entitled to receive all accrued but unpaid vacation, expense reimbursements, wages, and other benefits due to Executive under any Company-provided plans, policies, and arrangements.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both"/>
        <w:rPr/>
      </w:pPr>
      <w:r>
        <w:rPr>
          <w:rFonts w:ascii="Times New Roman" w:hAnsi="Times New Roman"/>
          <w:color w:val="000000"/>
          <w:sz w:val="24"/>
          <w:u w:val="single"/>
        </w:rPr>
        <w:t>Transfer between the Company and Affiliates</w:t>
      </w:r>
      <w:r>
        <w:rPr>
          <w:rFonts w:ascii="Times New Roman" w:hAnsi="Times New Roman"/>
          <w:color w:val="000000"/>
          <w:sz w:val="24"/>
        </w:rPr>
        <w:t>. For purposes of this Section 6, if Executive’s employment with the Company or one of its Affiliates terminates, Executive will not be determined to have been terminated without Cause, provided Executive continues to remain employed by the Company or one of its Affiliates (e.g., upon transfer from on Affiliate to another); provided, however, that the parties understand and acknowledge that any such termination could potentially result in Executive’s ability to resign for Good Reason.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both"/>
        <w:rPr/>
      </w:pPr>
      <w:r>
        <w:rPr>
          <w:rFonts w:ascii="Times New Roman" w:hAnsi="Times New Roman"/>
          <w:color w:val="000000"/>
          <w:sz w:val="24"/>
          <w:u w:val="single"/>
        </w:rPr>
        <w:t>Exclusive Remedy</w:t>
      </w:r>
      <w:r>
        <w:rPr>
          <w:rFonts w:ascii="Times New Roman" w:hAnsi="Times New Roman"/>
          <w:color w:val="000000"/>
          <w:sz w:val="24"/>
        </w:rPr>
        <w:t>. In the event of a termination of Executive’s employment with the Company or its Affiliates, the provisions of this Section 6 are intended to be and are exclusive and in lieu of any other rights or remedies to which Executive or the Company may otherwise be entitled, whether at law, tort or contract, in equity. Executive will be entitled to no benefits, compensation or other payments or rights upon termination of employment other than those benefits expressly set forth in this Section 6.</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(h)</w:t>
      </w:r>
    </w:p>
    <w:p>
      <w:pPr>
        <w:pStyle w:val="TextBody"/>
        <w:bidi w:val="0"/>
        <w:spacing w:before="0" w:after="240"/>
        <w:jc w:val="both"/>
        <w:rPr/>
      </w:pPr>
      <w:r>
        <w:rPr>
          <w:rFonts w:ascii="Times New Roman" w:hAnsi="Times New Roman"/>
          <w:color w:val="000000"/>
          <w:sz w:val="24"/>
          <w:u w:val="single"/>
        </w:rPr>
        <w:t>Non-duplication of Payment or Benefits</w:t>
      </w:r>
      <w:r>
        <w:rPr>
          <w:rFonts w:ascii="Times New Roman" w:hAnsi="Times New Roman"/>
          <w:color w:val="000000"/>
          <w:sz w:val="24"/>
        </w:rPr>
        <w:t>. For purposes of clarity, in the event of a termination of employment that qualifies Executive for severance payments and benefits under Section 6(a) of the Employment Agreement that occurs during the period within three (3) months prior to a Change in Control, any severance payments and benefits to be provided to Executive under Section 6(b) will be reduced by any amounts that already were provided to Executive under Section 6(a).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or to which the Company is a party other than this Agreement (“</w:t>
      </w:r>
      <w:r>
        <w:rPr>
          <w:rFonts w:ascii="Times New Roman" w:hAnsi="Times New Roman"/>
          <w:b/>
          <w:color w:val="000000"/>
          <w:sz w:val="24"/>
        </w:rPr>
        <w:t>Other Benefits</w:t>
      </w:r>
      <w:r>
        <w:rPr>
          <w:color w:val="000000"/>
        </w:rPr>
        <w:t>”</w:t>
      </w:r>
      <w:r>
        <w:rPr>
          <w:rFonts w:ascii="Times New Roman" w:hAnsi="Times New Roman"/>
          <w:color w:val="000000"/>
          <w:sz w:val="24"/>
        </w:rPr>
        <w:t>), then the corresponding severance payments and benefits under this Agreement will be reduced by the amount of Other Benefits paid or provided to Executive.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0" w:after="240"/>
        <w:jc w:val="both"/>
        <w:rPr/>
      </w:pPr>
      <w:r>
        <w:rPr>
          <w:rFonts w:ascii="Times New Roman" w:hAnsi="Times New Roman"/>
          <w:color w:val="000000"/>
          <w:sz w:val="24"/>
          <w:u w:val="single"/>
        </w:rPr>
        <w:t>Conditions to Receipt of Severance; No Duty to Mitigate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Separation Agreement and Release of Claims</w:t>
      </w:r>
      <w:r>
        <w:rPr>
          <w:rFonts w:ascii="Times New Roman" w:hAnsi="Times New Roman"/>
          <w:color w:val="000000"/>
          <w:sz w:val="24"/>
        </w:rPr>
        <w:t>. The payment of any severance set forth in Section 6(a) and Section 6(b) above is contingent upon Executive signing and not revoking a separation and release of claims agreement with the Company (which may include an agreement not to disparage the Company, non-solicit provisions and/or other standard terms and conditions) in a form reasonably acceptable to the Company (the “</w:t>
      </w:r>
      <w:r>
        <w:rPr>
          <w:rFonts w:ascii="Times New Roman" w:hAnsi="Times New Roman"/>
          <w:b/>
          <w:color w:val="000000"/>
          <w:sz w:val="24"/>
        </w:rPr>
        <w:t>Release</w:t>
      </w:r>
      <w:r>
        <w:rPr>
          <w:color w:val="000000"/>
        </w:rPr>
        <w:t>”</w:t>
      </w:r>
      <w:r>
        <w:rPr>
          <w:rFonts w:ascii="Times New Roman" w:hAnsi="Times New Roman"/>
          <w:color w:val="000000"/>
          <w:sz w:val="24"/>
        </w:rPr>
        <w:t>) upon or following Executive’s separation from service and such Release becoming effective no later than sixty (60) days following Executive’s separation from service (such deadline, the “</w:t>
      </w:r>
      <w:r>
        <w:rPr>
          <w:rFonts w:ascii="Times New Roman" w:hAnsi="Times New Roman"/>
          <w:b/>
          <w:color w:val="000000"/>
          <w:sz w:val="24"/>
        </w:rPr>
        <w:t>Release Deadline</w:t>
      </w:r>
      <w:r>
        <w:rPr>
          <w:color w:val="000000"/>
        </w:rPr>
        <w:t>”</w:t>
      </w:r>
      <w:r>
        <w:rPr>
          <w:rFonts w:ascii="Times New Roman" w:hAnsi="Times New Roman"/>
          <w:color w:val="000000"/>
          <w:sz w:val="24"/>
        </w:rPr>
        <w:t>). If the Release does not become effective by the Release Deadline, Executive will forfeit any rights to severance under this Agreement. In no event will severance payments or benefits be paid or provided until the Release actually becomes effective. Any severance payments and benefits under this Agreement will be paid on, or, in the case of installments, will not commence until, the sixtieth (60</w:t>
      </w:r>
      <w:r>
        <w:rPr>
          <w:rFonts w:ascii="Times New Roman" w:hAnsi="Times New Roman"/>
          <w:color w:val="000000"/>
          <w:sz w:val="16"/>
        </w:rPr>
        <w:t>th</w:t>
      </w:r>
      <w:r>
        <w:rPr>
          <w:rFonts w:ascii="Times New Roman" w:hAnsi="Times New Roman"/>
          <w:color w:val="000000"/>
          <w:sz w:val="24"/>
        </w:rPr>
        <w:t>) day following Executive’s separation from service, or, if later, such time as required by Section 7(b)(ii). Except as required by Section 7(b)(ii), any payments and benefits that would have been made to Executive during the sixty (60)-day period immediately following Executive’s separation from service but for the preceding sentence will be paid to Executive on the sixtieth (60</w:t>
      </w:r>
      <w:r>
        <w:rPr>
          <w:rFonts w:ascii="Times New Roman" w:hAnsi="Times New Roman"/>
          <w:color w:val="000000"/>
          <w:sz w:val="16"/>
        </w:rPr>
        <w:t>th</w:t>
      </w:r>
      <w:r>
        <w:rPr>
          <w:rFonts w:ascii="Times New Roman" w:hAnsi="Times New Roman"/>
          <w:color w:val="000000"/>
          <w:sz w:val="24"/>
        </w:rPr>
        <w:t>) day following Executive’s separation from service and the remaining payments will be made as provided in this Agreement. In no event will Executive have discretion to determine the taxable year of payment of any severance payments or benefits.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Section 409A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Notwithstanding anything to the contrary in this Agreement, no Deferred Payments, if any, payable to Executive pursuant to this Agreement will be payable until Executive has a “separation from service” within the meaning of Section 409A of the Code and the final regulations and official guidance thereunder (“</w:t>
      </w:r>
      <w:r>
        <w:rPr>
          <w:rFonts w:ascii="Times New Roman" w:hAnsi="Times New Roman"/>
          <w:b/>
          <w:color w:val="000000"/>
          <w:sz w:val="24"/>
        </w:rPr>
        <w:t>Section 409A</w:t>
      </w:r>
      <w:r>
        <w:rPr>
          <w:color w:val="000000"/>
        </w:rPr>
        <w:t>”</w:t>
      </w:r>
      <w:r>
        <w:rPr>
          <w:rFonts w:ascii="Times New Roman" w:hAnsi="Times New Roman"/>
          <w:color w:val="000000"/>
          <w:sz w:val="24"/>
        </w:rPr>
        <w:t>).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in this Agreement, if Executive is a “specified employee” within the meaning of Section 409A at the time of Executive’s separation from service (other than due to death), then the Deferred Payments, if any, that are payable within the first six (6) months following Executive’s separation from service, will become payable on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Section 7(b)(ii)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severance payment that satisfies the requirements of the “short-term deferral” rule set forth in Section 1.409A-1(b)(4) of the Treasury Regulations will not constitute Deferred Payments for purposes herein. 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herein. Any payments or benefits due under Section 6 of this Agreement will be paid as provided under this Agreement, but in no event later than the last day of the second taxable year of Executive following Executive’s taxable year in which Executive’s separation from service from the Company occurs.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For purposes of this Agreement, “</w:t>
      </w:r>
      <w:r>
        <w:rPr>
          <w:rFonts w:ascii="Times New Roman" w:hAnsi="Times New Roman"/>
          <w:b/>
          <w:color w:val="000000"/>
          <w:sz w:val="24"/>
        </w:rPr>
        <w:t>Section 409A Limit</w:t>
      </w:r>
      <w:r>
        <w:rPr>
          <w:color w:val="000000"/>
        </w:rPr>
        <w:t xml:space="preserve">” </w:t>
      </w:r>
      <w:r>
        <w:rPr>
          <w:rFonts w:ascii="Times New Roman" w:hAnsi="Times New Roman"/>
          <w:color w:val="000000"/>
          <w:sz w:val="24"/>
        </w:rPr>
        <w:t>means two (2) times the lesser of: (x) Executive’s annualized compensation based upon the annual rate of pay paid to Executive during Executive’s taxable year preceding Executive’s taxable year of Executive’s termination of employment as determined under, and with such adjustments as are set forth in, Treasury Regulation 1.409A-1(b)(9)(iii)(A)(1) and any Internal Revenue Service guidance issued with respect thereto, or (y) the maximum amount that may be taken into account under a qualified plan pursuant to Section 401(a)(17) of the Code for the year in which Executive’s employment is terminated.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provisions are intended to comply with or be exempt from the requirements of Section 409A so that none of the severance or other payments and benefits to be provided hereunder will be subject to the additional tax imposed under Section 409A, and any ambiguities or ambiguous terms herein will be interpreted to so comply or be exempt. In no event will the Company have any liability or obligation to reimburse, indemnify, or hold harmless Executive for any taxes or costs that may be imposed on or incurred by Executive as a result of Section 409A.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Confidentiality Agreement</w:t>
      </w:r>
      <w:r>
        <w:rPr>
          <w:rFonts w:ascii="Times New Roman" w:hAnsi="Times New Roman"/>
          <w:color w:val="000000"/>
          <w:sz w:val="24"/>
        </w:rPr>
        <w:t>. Executive’s receipt of any payments or benefits under Section 6 will be subject to Executive complying with: (i) the terms of the Confidentiality Agreement (as defined in Section 10), and (ii) the provisions of this Agreement. In the event Executive breaches the provisions of this Section 7(c), all continuing payments and benefits to which Executive may otherwise be entitled to pursuant to Section 6 will immediately cease.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u w:val="single"/>
        </w:rPr>
        <w:t>No Duty to Mitigate</w:t>
      </w:r>
      <w:r>
        <w:rPr>
          <w:rFonts w:ascii="Times New Roman" w:hAnsi="Times New Roman"/>
          <w:color w:val="000000"/>
          <w:sz w:val="24"/>
        </w:rPr>
        <w:t>. Executive will not be required to mitigate the amount of any payment contemplated by this Agreement, nor will any earnings that Executive may receive from any other source reduce any such payment.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0" w:after="240"/>
        <w:jc w:val="both"/>
        <w:rPr/>
      </w:pPr>
      <w:r>
        <w:rPr>
          <w:rFonts w:ascii="Times New Roman" w:hAnsi="Times New Roman"/>
          <w:color w:val="000000"/>
          <w:sz w:val="24"/>
          <w:u w:val="single"/>
        </w:rPr>
        <w:t>Limitation on Payments</w:t>
      </w:r>
      <w:r>
        <w:rPr>
          <w:rFonts w:ascii="Times New Roman" w:hAnsi="Times New Roman"/>
          <w:color w:val="000000"/>
          <w:sz w:val="24"/>
        </w:rPr>
        <w:t>. In the event that the severance or change in control-related or other payments or benefits provided for in this Agreement or otherwise payable to Executive (collectively, the “</w:t>
      </w:r>
      <w:r>
        <w:rPr>
          <w:rFonts w:ascii="Times New Roman" w:hAnsi="Times New Roman"/>
          <w:b/>
          <w:color w:val="000000"/>
          <w:sz w:val="24"/>
        </w:rPr>
        <w:t>Payments</w:t>
      </w:r>
      <w:r>
        <w:rPr>
          <w:color w:val="000000"/>
        </w:rPr>
        <w:t>”</w:t>
      </w:r>
      <w:r>
        <w:rPr>
          <w:rFonts w:ascii="Times New Roman" w:hAnsi="Times New Roman"/>
          <w:color w:val="000000"/>
          <w:sz w:val="24"/>
        </w:rPr>
        <w:t>) (i) constitute “parachute payments” within the meaning of Section 280G of the Code, and (ii) but for this Section 8, would be subject to the excise tax imposed by Section 4999 of the Code, then such payments or benefits will be either: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delivered in full, or</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delivered as to such lesser extent which would result in no portion of such benefits being subject to excise tax under Section 4999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whichever of the foregoing amounts, taking into account the applicable federal, state and local income taxes and the excise tax imposed by Section 4999 of the Code, results in the receipt by Executive on an after-tax basis, of the greatest amount of Payments, notwithstanding that all or some portion of such Payments may be taxable under Section 4999 of the Code. If a reduction in Payments constituting “parachute payments” is necessary so that Payments are delivered to a lesser extent, reduction will occur in the following order: (i) cancellation of equity awards granted “contingent on a change in ownership or control” (within the meaning of Section 280G of the Code); (ii) a pro rata reduction of (A) cash payments that are subject to Section 409A as deferred compensation and (B) cash payments not subject to Section 409A; (iii) a pro rata reduction of (A) employee benefits that are subject to Section 409A as deferred compensation and (B) employee benefits not subject to Section 409A; and (iv) a pro rata cancellation of (A) accelerated vesting of equity awards that are subject to Section 409A as deferred compensation and (B) equity awards not subject to Section 409A. If acceleration of vesting of equity awards is to be cancelled, such acceleration of vesting will be cancelled in the reverse order of the date of grant of Executive’s equity awards. In no event will Executive have any discretion with respect to the ordering of payment reductions.</w:t>
      </w:r>
    </w:p>
    <w:p>
      <w:pPr>
        <w:pStyle w:val="TextBody"/>
        <w:bidi w:val="0"/>
        <w:spacing w:before="0" w:after="240"/>
        <w:jc w:val="both"/>
        <w:rPr>
          <w:rFonts w:ascii="Times New Roman" w:hAnsi="Times New Roman"/>
          <w:sz w:val="20"/>
        </w:rPr>
      </w:pPr>
      <w:r>
        <w:rPr>
          <w:rFonts w:ascii="Times New Roman" w:hAnsi="Times New Roman"/>
          <w:color w:val="000000"/>
          <w:sz w:val="24"/>
        </w:rPr>
        <w:t>Unless the Company and Executive otherwise agree in writing, any determination required under this Section 8 will be made in writing by a nationally recognized firm of independent public accountants selected by the Company (the “</w:t>
      </w:r>
      <w:r>
        <w:rPr>
          <w:rFonts w:ascii="Times New Roman" w:hAnsi="Times New Roman"/>
          <w:b/>
          <w:color w:val="000000"/>
          <w:sz w:val="24"/>
        </w:rPr>
        <w:t>Accountants</w:t>
      </w:r>
      <w:r>
        <w:rPr>
          <w:rFonts w:ascii="Times New Roman" w:hAnsi="Times New Roman"/>
          <w:color w:val="000000"/>
          <w:sz w:val="20"/>
        </w:rPr>
        <w:t>”</w:t>
      </w:r>
      <w:r>
        <w:rPr>
          <w:rFonts w:ascii="Times New Roman" w:hAnsi="Times New Roman"/>
          <w:color w:val="000000"/>
          <w:sz w:val="24"/>
        </w:rPr>
        <w:t>), whose determination will be conclusive and binding upon Executive and the Company for all purposes. For purposes of making the calculations required by this Section 8, the Accountants may make reasonable assumptions and approximations concerning applicable taxes and may rely on reasonable, good faith interpretations concerning the application of Sections 280G and 4999 of the Code. The Company and Executive will furnish to the Accountants such information and documents as the Accountants may reasonably request in order to make a determination under this Section 8. The Company will bear all costs the Accountants may reasonably incur in connection with any calculations contemplated by this Section 8.</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0" w:after="240"/>
        <w:jc w:val="both"/>
        <w:rPr/>
      </w:pP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Affiliate</w:t>
      </w:r>
      <w:r>
        <w:rPr>
          <w:rFonts w:ascii="Times New Roman" w:hAnsi="Times New Roman"/>
          <w:color w:val="000000"/>
          <w:sz w:val="24"/>
        </w:rPr>
        <w:t>. “</w:t>
      </w:r>
      <w:r>
        <w:rPr>
          <w:rFonts w:ascii="Times New Roman" w:hAnsi="Times New Roman"/>
          <w:b/>
          <w:color w:val="000000"/>
          <w:sz w:val="24"/>
        </w:rPr>
        <w:t>Affiliate</w:t>
      </w:r>
      <w:r>
        <w:rPr>
          <w:color w:val="000000"/>
        </w:rPr>
        <w:t xml:space="preserve">” </w:t>
      </w:r>
      <w:r>
        <w:rPr>
          <w:rFonts w:ascii="Times New Roman" w:hAnsi="Times New Roman"/>
          <w:color w:val="000000"/>
          <w:sz w:val="24"/>
        </w:rPr>
        <w:t>means the Company and any other parent or subsidiary corporation of the Company, as such terms are defined in Section 424(e) and (1) of the Code.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Board</w:t>
      </w:r>
      <w:r>
        <w:rPr>
          <w:rFonts w:ascii="Times New Roman" w:hAnsi="Times New Roman"/>
          <w:color w:val="000000"/>
          <w:sz w:val="24"/>
        </w:rPr>
        <w:t>. “</w:t>
      </w:r>
      <w:r>
        <w:rPr>
          <w:rFonts w:ascii="Times New Roman" w:hAnsi="Times New Roman"/>
          <w:b/>
          <w:color w:val="000000"/>
          <w:sz w:val="24"/>
        </w:rPr>
        <w:t>Board</w:t>
      </w:r>
      <w:r>
        <w:rPr>
          <w:color w:val="000000"/>
        </w:rPr>
        <w:t xml:space="preserve">” </w:t>
      </w:r>
      <w:r>
        <w:rPr>
          <w:rFonts w:ascii="Times New Roman" w:hAnsi="Times New Roman"/>
          <w:color w:val="000000"/>
          <w:sz w:val="24"/>
        </w:rPr>
        <w:t>means Parent’s board of directors.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Cause</w:t>
      </w:r>
      <w:r>
        <w:rPr>
          <w:rFonts w:ascii="Times New Roman" w:hAnsi="Times New Roman"/>
          <w:color w:val="000000"/>
          <w:sz w:val="24"/>
        </w:rPr>
        <w:t>. “</w:t>
      </w:r>
      <w:r>
        <w:rPr>
          <w:rFonts w:ascii="Times New Roman" w:hAnsi="Times New Roman"/>
          <w:b/>
          <w:color w:val="000000"/>
          <w:sz w:val="24"/>
        </w:rPr>
        <w:t>Cause</w:t>
      </w:r>
      <w:r>
        <w:rPr>
          <w:color w:val="000000"/>
        </w:rPr>
        <w:t xml:space="preserve">” </w:t>
      </w:r>
      <w:r>
        <w:rPr>
          <w:rFonts w:ascii="Times New Roman" w:hAnsi="Times New Roman"/>
          <w:color w:val="000000"/>
          <w:sz w:val="24"/>
        </w:rPr>
        <w:t xml:space="preserve">means the occurrence of any of the following actions or events: (i) Executive’s willful material misconduct or material breach of any written agreement between Executive and the Company (including without limitation this Agreement or the Executive’s Confidentiality Agreement), (ii) Executive’s conviction of, or plea of guilty or no contest to, any felony, or of or to a crime involving moral turpitude, (iii) the performance of an illegal act by Executive while purporting to act on the Company’s behalf, or engaging in activities directly in competition or antithetical to the best interests of the Company or any Affiliate, including but not limited to material personal dishonesty, in each case, which is materially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injurious to the financial condition or business reputation of, or is otherwise materially injurious to, the Company or any Affiliate, (iv) fraud or unauthorized use or disclosure of confidential information or trade secrets of the Company or any Affiliate or any other party to whom Executive owes an obligation of nondisclosure as a result of Executive’s relationship with the Company, (v) an intentional violation of any federal, state or local law or regulation applicable to the Company or any Affiliate or their business, or (vi) Executive’s continued failure to perform Executive’s duties or responsibilities to the Company or any Affiliate or deliberate violation of a Company policy, including but not limited to those relating to insider trading or sexual harassment in each case as determined by the Board, in its sole discretion. Notwithstanding the foregoing, Cause shall only exist after; (x) the Board delivers written notice to Executive of the Board’s determination that Cause exists; (y) such notice sets forth in reasonable detail such facts and circumstances, along with the Board’s determination, in its discretion, of whether such events are reasonably capable of being corrected; and (z) only if the Board has determined that such events are reasonably capable of being corrected, Executive has failed to fully correct any of the events listed above within 10 days following delivery to Executive of the Board’s written notice of its determination that Cause exists. For the avoidance of doubt, in the event the Board determines, in its discretion, that such events constituting Cause are not reasonably capable of being corrected, Cause shall be deemed to exist immediately upon the Board’s delivery of the written notice described in the foregoing clauses (x) and (y).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u w:val="single"/>
        </w:rPr>
        <w:t>Change in Control</w:t>
      </w:r>
      <w:r>
        <w:rPr>
          <w:rFonts w:ascii="Times New Roman" w:hAnsi="Times New Roman"/>
          <w:color w:val="000000"/>
          <w:sz w:val="24"/>
        </w:rPr>
        <w:t>. “</w:t>
      </w:r>
      <w:r>
        <w:rPr>
          <w:rFonts w:ascii="Times New Roman" w:hAnsi="Times New Roman"/>
          <w:b/>
          <w:color w:val="000000"/>
          <w:sz w:val="24"/>
        </w:rPr>
        <w:t>Change in Control</w:t>
      </w:r>
      <w:r>
        <w:rPr>
          <w:color w:val="000000"/>
        </w:rPr>
        <w:t xml:space="preserve">” </w:t>
      </w:r>
      <w:r>
        <w:rPr>
          <w:rFonts w:ascii="Times New Roman" w:hAnsi="Times New Roman"/>
          <w:color w:val="000000"/>
          <w:sz w:val="24"/>
        </w:rPr>
        <w:t>has the meaning of “Change in Control” as defined in Parent’s 2021 Equity Incentive Plan.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pPr>
      <w:r>
        <w:rPr>
          <w:rFonts w:ascii="Times New Roman" w:hAnsi="Times New Roman"/>
          <w:color w:val="000000"/>
          <w:sz w:val="24"/>
          <w:u w:val="single"/>
        </w:rPr>
        <w:t>Change in Control Period</w:t>
      </w:r>
      <w:r>
        <w:rPr>
          <w:rFonts w:ascii="Times New Roman" w:hAnsi="Times New Roman"/>
          <w:color w:val="000000"/>
          <w:sz w:val="24"/>
        </w:rPr>
        <w:t>. “</w:t>
      </w:r>
      <w:r>
        <w:rPr>
          <w:rFonts w:ascii="Times New Roman" w:hAnsi="Times New Roman"/>
          <w:b/>
          <w:color w:val="000000"/>
          <w:sz w:val="24"/>
        </w:rPr>
        <w:t>Change in Control Period</w:t>
      </w:r>
      <w:r>
        <w:rPr>
          <w:color w:val="000000"/>
        </w:rPr>
        <w:t xml:space="preserve">” </w:t>
      </w:r>
      <w:r>
        <w:rPr>
          <w:rFonts w:ascii="Times New Roman" w:hAnsi="Times New Roman"/>
          <w:color w:val="000000"/>
          <w:sz w:val="24"/>
        </w:rPr>
        <w:t>means the period beginning on the date three (3) months prior to, and ending on the date that is twelve (12) months following, a Change in Control.</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0" w:after="240"/>
        <w:jc w:val="both"/>
        <w:rPr/>
      </w:pPr>
      <w:r>
        <w:rPr>
          <w:rFonts w:ascii="Times New Roman" w:hAnsi="Times New Roman"/>
          <w:color w:val="000000"/>
          <w:sz w:val="24"/>
          <w:u w:val="single"/>
        </w:rPr>
        <w:t>Code</w:t>
      </w:r>
      <w:r>
        <w:rPr>
          <w:rFonts w:ascii="Times New Roman" w:hAnsi="Times New Roman"/>
          <w:color w:val="000000"/>
          <w:sz w:val="24"/>
        </w:rPr>
        <w:t>. “</w:t>
      </w:r>
      <w:r>
        <w:rPr>
          <w:rFonts w:ascii="Times New Roman" w:hAnsi="Times New Roman"/>
          <w:b/>
          <w:color w:val="000000"/>
          <w:sz w:val="24"/>
        </w:rPr>
        <w:t>Code</w:t>
      </w:r>
      <w:r>
        <w:rPr>
          <w:color w:val="000000"/>
        </w:rPr>
        <w:t xml:space="preserve">” </w:t>
      </w:r>
      <w:r>
        <w:rPr>
          <w:rFonts w:ascii="Times New Roman" w:hAnsi="Times New Roman"/>
          <w:color w:val="000000"/>
          <w:sz w:val="24"/>
        </w:rPr>
        <w:t>means the Internal Revenue Code of 1986, as amended.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0" w:after="240"/>
        <w:jc w:val="both"/>
        <w:rPr/>
      </w:pPr>
      <w:r>
        <w:rPr>
          <w:rFonts w:ascii="Times New Roman" w:hAnsi="Times New Roman"/>
          <w:color w:val="000000"/>
          <w:sz w:val="24"/>
          <w:u w:val="single"/>
        </w:rPr>
        <w:t>Deferred Payments</w:t>
      </w:r>
      <w:r>
        <w:rPr>
          <w:rFonts w:ascii="Times New Roman" w:hAnsi="Times New Roman"/>
          <w:color w:val="000000"/>
          <w:sz w:val="24"/>
        </w:rPr>
        <w:t>. “</w:t>
      </w:r>
      <w:r>
        <w:rPr>
          <w:rFonts w:ascii="Times New Roman" w:hAnsi="Times New Roman"/>
          <w:b/>
          <w:color w:val="000000"/>
          <w:sz w:val="24"/>
        </w:rPr>
        <w:t>Deferred Payments</w:t>
      </w:r>
      <w:r>
        <w:rPr>
          <w:color w:val="000000"/>
        </w:rPr>
        <w:t xml:space="preserve">” </w:t>
      </w:r>
      <w:r>
        <w:rPr>
          <w:rFonts w:ascii="Times New Roman" w:hAnsi="Times New Roman"/>
          <w:color w:val="000000"/>
          <w:sz w:val="24"/>
        </w:rPr>
        <w:t>means any severance pay or benefits to be paid or provided to Executive (or Executive’s estate or beneficiaries) pursuant to this Agreement and any other severance payments or separation benefits to be paid or provided to Executive (or Executive’s estate or beneficiaries), that in each case, when considered together, are considered deferred compensation under Section 409A.</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(h)</w:t>
      </w:r>
    </w:p>
    <w:p>
      <w:pPr>
        <w:pStyle w:val="TextBody"/>
        <w:bidi w:val="0"/>
        <w:spacing w:before="0" w:after="240"/>
        <w:jc w:val="both"/>
        <w:rPr/>
      </w:pPr>
      <w:r>
        <w:rPr>
          <w:rFonts w:ascii="Times New Roman" w:hAnsi="Times New Roman"/>
          <w:color w:val="000000"/>
          <w:sz w:val="24"/>
          <w:u w:val="single"/>
        </w:rPr>
        <w:t>Disability</w:t>
      </w:r>
      <w:r>
        <w:rPr>
          <w:rFonts w:ascii="Times New Roman" w:hAnsi="Times New Roman"/>
          <w:color w:val="000000"/>
          <w:sz w:val="24"/>
        </w:rPr>
        <w:t>. “</w:t>
      </w:r>
      <w:r>
        <w:rPr>
          <w:rFonts w:ascii="Times New Roman" w:hAnsi="Times New Roman"/>
          <w:b/>
          <w:color w:val="000000"/>
          <w:sz w:val="24"/>
        </w:rPr>
        <w:t>Disability</w:t>
      </w:r>
      <w:r>
        <w:rPr>
          <w:color w:val="000000"/>
        </w:rPr>
        <w:t xml:space="preserve">” </w:t>
      </w:r>
      <w:r>
        <w:rPr>
          <w:rFonts w:ascii="Times New Roman" w:hAnsi="Times New Roman"/>
          <w:color w:val="000000"/>
          <w:sz w:val="24"/>
        </w:rPr>
        <w:t>means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last for a continuous period of not less than twelve (12) months, receiving income replacement benefits for a period of not less than three (3) months under an accident and health plan covering Company employees.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w:t>
      </w:r>
    </w:p>
    <w:p>
      <w:pPr>
        <w:pStyle w:val="TextBody"/>
        <w:bidi w:val="0"/>
        <w:spacing w:before="0" w:after="240"/>
        <w:jc w:val="both"/>
        <w:rPr/>
      </w:pPr>
      <w:r>
        <w:rPr>
          <w:rFonts w:ascii="Times New Roman" w:hAnsi="Times New Roman"/>
          <w:color w:val="000000"/>
          <w:sz w:val="24"/>
          <w:u w:val="single"/>
        </w:rPr>
        <w:t>Good Reason</w:t>
      </w:r>
      <w:r>
        <w:rPr>
          <w:rFonts w:ascii="Times New Roman" w:hAnsi="Times New Roman"/>
          <w:color w:val="000000"/>
          <w:sz w:val="24"/>
        </w:rPr>
        <w:t>. “</w:t>
      </w:r>
      <w:r>
        <w:rPr>
          <w:rFonts w:ascii="Times New Roman" w:hAnsi="Times New Roman"/>
          <w:b/>
          <w:color w:val="000000"/>
          <w:sz w:val="24"/>
        </w:rPr>
        <w:t>Good Reason</w:t>
      </w:r>
      <w:r>
        <w:rPr>
          <w:color w:val="000000"/>
        </w:rPr>
        <w:t xml:space="preserve">” </w:t>
      </w:r>
      <w:r>
        <w:rPr>
          <w:rFonts w:ascii="Times New Roman" w:hAnsi="Times New Roman"/>
          <w:color w:val="000000"/>
          <w:sz w:val="24"/>
        </w:rPr>
        <w:t xml:space="preserve">means the occurrence of one or more of the following events without Executive’s express written consent: (i) a material reduction of Executive’s duties, authorities, or responsibilities relative to Executive’s duties, authorities, or responsibilities in effect immediately prior to the reduction; (ii) a material reduction in Executive’s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annual base salary; provided, however, that, a reduction of annual base salary that also applies to substantially all other similarly situated employees of the Company will not constitute “Good Reason”; (iii) a material change in the geographic location of Executive’s primary work facility or location by more than 50 miles from Executive’s then-present location; provided, that a relocation to a location that is within 50 miles from Executive’s then-present primary residence will not be considered a material change in geographic location, or (iv) failure of a successor corporation to assume the obligations under Executive’s employment agreement with the Company. In order for the termination to be for Good Reason, Executive must not terminate Executive’s employment with the Company without first providing written notice to the Company of the acts or omissions constituting the grounds for “Good Reason” within 60 days of the initial existence of the grounds for “Good Reason” and a cure period of 30 days following the date of written notice (the “</w:t>
      </w:r>
      <w:r>
        <w:rPr>
          <w:rFonts w:ascii="Times New Roman" w:hAnsi="Times New Roman"/>
          <w:b/>
          <w:color w:val="000000"/>
          <w:sz w:val="24"/>
        </w:rPr>
        <w:t>Cure Period</w:t>
      </w:r>
      <w:r>
        <w:rPr>
          <w:color w:val="000000"/>
        </w:rPr>
        <w:t>”</w:t>
      </w:r>
      <w:r>
        <w:rPr>
          <w:rFonts w:ascii="Times New Roman" w:hAnsi="Times New Roman"/>
          <w:color w:val="000000"/>
          <w:sz w:val="24"/>
        </w:rPr>
        <w:t>), the grounds must not have been cured during that time, and Executive must terminate Executive’s employment within 30 days following the Cure Period.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(j)</w:t>
      </w:r>
    </w:p>
    <w:p>
      <w:pPr>
        <w:pStyle w:val="TextBody"/>
        <w:bidi w:val="0"/>
        <w:spacing w:before="0" w:after="240"/>
        <w:jc w:val="both"/>
        <w:rPr/>
      </w:pPr>
      <w:r>
        <w:rPr>
          <w:rFonts w:ascii="Times New Roman" w:hAnsi="Times New Roman"/>
          <w:color w:val="000000"/>
          <w:sz w:val="24"/>
          <w:u w:val="single"/>
        </w:rPr>
        <w:t>Protected Activity</w:t>
      </w:r>
      <w:r>
        <w:rPr>
          <w:rFonts w:ascii="Times New Roman" w:hAnsi="Times New Roman"/>
          <w:color w:val="000000"/>
          <w:sz w:val="24"/>
        </w:rPr>
        <w:t>. “</w:t>
      </w:r>
      <w:r>
        <w:rPr>
          <w:rFonts w:ascii="Times New Roman" w:hAnsi="Times New Roman"/>
          <w:b/>
          <w:color w:val="000000"/>
          <w:sz w:val="24"/>
        </w:rPr>
        <w:t>Protected Activity</w:t>
      </w:r>
      <w:r>
        <w:rPr>
          <w:color w:val="000000"/>
        </w:rPr>
        <w:t xml:space="preserve">” </w:t>
      </w:r>
      <w:r>
        <w:rPr>
          <w:rFonts w:ascii="Times New Roman" w:hAnsi="Times New Roman"/>
          <w:color w:val="000000"/>
          <w:sz w:val="24"/>
        </w:rPr>
        <w:t>includes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hAnsi="Times New Roman"/>
          <w:b/>
          <w:color w:val="000000"/>
          <w:sz w:val="24"/>
        </w:rPr>
        <w:t>Government Agencies</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10.</w:t>
      </w:r>
    </w:p>
    <w:p>
      <w:pPr>
        <w:pStyle w:val="TextBody"/>
        <w:bidi w:val="0"/>
        <w:spacing w:before="0" w:after="240"/>
        <w:jc w:val="both"/>
        <w:rPr/>
      </w:pPr>
      <w:r>
        <w:rPr>
          <w:rFonts w:ascii="Times New Roman" w:hAnsi="Times New Roman"/>
          <w:color w:val="000000"/>
          <w:sz w:val="24"/>
          <w:u w:val="single"/>
        </w:rPr>
        <w:t>Confidential Information</w:t>
      </w:r>
      <w:r>
        <w:rPr>
          <w:rFonts w:ascii="Times New Roman" w:hAnsi="Times New Roman"/>
          <w:color w:val="000000"/>
          <w:sz w:val="24"/>
        </w:rPr>
        <w:t>. Executive agrees to comply with the Company’s Employee Intellectual Property and Non-Compete Agreement previously executed by Executive (the “</w:t>
      </w:r>
      <w:r>
        <w:rPr>
          <w:rFonts w:ascii="Times New Roman" w:hAnsi="Times New Roman"/>
          <w:b/>
          <w:color w:val="000000"/>
          <w:sz w:val="24"/>
        </w:rPr>
        <w:t>Confidentiality Agreement</w:t>
      </w:r>
      <w:r>
        <w:rPr>
          <w:color w:val="000000"/>
        </w:rPr>
        <w:t>”</w:t>
      </w:r>
      <w:r>
        <w:rPr>
          <w:rFonts w:ascii="Times New Roman" w:hAnsi="Times New Roman"/>
          <w:color w:val="000000"/>
          <w:sz w:val="24"/>
        </w:rPr>
        <w:t>) concurrently herewith, provided that nothing in this Agreement or the Confidentiality Agreement shall prevent Executive from engaging in Protected Activity. Executive understands that in connection with such Protected Activity, Executive is permitted to disclose documents or other information as permitted by law, without giving notice to, or receiving authorization from, the Company. Notwithstanding the foregoing, Executive agrees to take all reasonable precautions to prevent any unauthorized use or disclosure of any information that may constitute Company confidential information under the Confidentiality Agreement to any parties other than the Government Agencies. Executive further understands that “</w:t>
      </w:r>
      <w:r>
        <w:rPr>
          <w:rFonts w:ascii="Times New Roman" w:hAnsi="Times New Roman"/>
          <w:b/>
          <w:color w:val="000000"/>
          <w:sz w:val="24"/>
        </w:rPr>
        <w:t>Protected Activity</w:t>
      </w:r>
      <w:r>
        <w:rPr>
          <w:color w:val="000000"/>
        </w:rPr>
        <w:t xml:space="preserve">” </w:t>
      </w:r>
      <w:r>
        <w:rPr>
          <w:rFonts w:ascii="Times New Roman" w:hAnsi="Times New Roman"/>
          <w:color w:val="000000"/>
          <w:sz w:val="24"/>
        </w:rPr>
        <w:t>does not include the disclosure of any Company attorney-client privileged communications or attorney work product. Any language in the Confidentiality Agreement regarding Executive’s right to engage in Protected Activity that conflicts with, or is contrary to, this section is superseded by this Agreement. In addition, 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11.</w:t>
      </w:r>
    </w:p>
    <w:p>
      <w:pPr>
        <w:pStyle w:val="TextBody"/>
        <w:bidi w:val="0"/>
        <w:spacing w:before="0" w:after="240"/>
        <w:jc w:val="both"/>
        <w:rPr/>
      </w:pPr>
      <w:r>
        <w:rPr>
          <w:rFonts w:ascii="Times New Roman" w:hAnsi="Times New Roman"/>
          <w:color w:val="000000"/>
          <w:sz w:val="24"/>
          <w:u w:val="single"/>
        </w:rPr>
        <w:t>No Conflicting Obligations</w:t>
      </w:r>
      <w:r>
        <w:rPr>
          <w:rFonts w:ascii="Times New Roman" w:hAnsi="Times New Roman"/>
          <w:color w:val="000000"/>
          <w:sz w:val="24"/>
        </w:rPr>
        <w:t>. Executive confirms that Executive is not under any existing obligations that may impact Executive’s eligibility to be employed by the Company or limit the manner in which Executive may be employed. Executive agrees not to bring any third-party confidential information to the Company, including that of Executive’s former employer, and that Executive will not in any way utilize any such information in performing Executive’s duties for the Company.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12.</w:t>
      </w:r>
    </w:p>
    <w:p>
      <w:pPr>
        <w:pStyle w:val="TextBody"/>
        <w:bidi w:val="0"/>
        <w:spacing w:before="0" w:after="240"/>
        <w:jc w:val="both"/>
        <w:rPr/>
      </w:pPr>
      <w:r>
        <w:rPr>
          <w:rFonts w:ascii="Times New Roman" w:hAnsi="Times New Roman"/>
          <w:color w:val="000000"/>
          <w:sz w:val="24"/>
          <w:u w:val="single"/>
        </w:rPr>
        <w:t>Successors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The Company’s Successors</w:t>
      </w:r>
      <w:r>
        <w:rPr>
          <w:rFonts w:ascii="Times New Roman" w:hAnsi="Times New Roman"/>
          <w:color w:val="000000"/>
          <w:sz w:val="24"/>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14(a) or which becomes bound by the terms of this Agreement by operation of law.</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Executive’s Successors</w:t>
      </w:r>
      <w:r>
        <w:rPr>
          <w:rFonts w:ascii="Times New Roman" w:hAnsi="Times New Roman"/>
          <w:color w:val="000000"/>
          <w:sz w:val="24"/>
        </w:rPr>
        <w:t>. The terms of this Agreement and all rights of Executive hereunder will inure to the benefit of, and be enforceable by, Executive’s personal or legal representatives, executors, administrators, successors, heirs, distributees, devisees and legatees.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13.</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Notices and all other communications contemplated by this Agreement will be in writing and will be deemed to have been duly given when personally delivered or when mailed by U.S. registered or certified mail, return receipt requested and postage prepaid or when delivered by a private courier service such as UPS, DHL or Federal Express that has tracking capability. In the case of Executive, mailed notices will be addressed to Executive at the home address which Executive’s most recently communicated to the Company in writing. In the case of the Company, mailed notices will be addressed to its corporate headquarters, and all notices will be directed to the Chief Executive Officer of the Company.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14.</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In the event that any provision hereof becomes or is declared by a court of competent jurisdiction to be illegal, unenforceable or void, this Agreement will continue in full force and effect without said provision.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15.</w:t>
      </w:r>
    </w:p>
    <w:p>
      <w:pPr>
        <w:pStyle w:val="TextBody"/>
        <w:bidi w:val="0"/>
        <w:spacing w:before="0" w:after="240"/>
        <w:jc w:val="both"/>
        <w:rPr/>
      </w:pPr>
      <w:r>
        <w:rPr>
          <w:rFonts w:ascii="Times New Roman" w:hAnsi="Times New Roman"/>
          <w:color w:val="000000"/>
          <w:sz w:val="24"/>
          <w:u w:val="single"/>
        </w:rPr>
        <w:t>Integration</w:t>
      </w:r>
      <w:r>
        <w:rPr>
          <w:rFonts w:ascii="Times New Roman" w:hAnsi="Times New Roman"/>
          <w:color w:val="000000"/>
          <w:sz w:val="24"/>
        </w:rPr>
        <w:t>. This Agreement, together with the Confidentiality Agreement represents the entire agreement and understanding between the Parties as to the subject matter herein and supersedes all prior or contemporaneous agreements whether written or oral, but this Agreement does not supersede Executive’s equity award agreements or indemnification agreement. This Agreement may be modified only by agreement of the Parties by a written instrument executed by the Parties that is designated as an amendment to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16.</w:t>
      </w:r>
    </w:p>
    <w:p>
      <w:pPr>
        <w:pStyle w:val="TextBody"/>
        <w:bidi w:val="0"/>
        <w:spacing w:before="0" w:after="240"/>
        <w:jc w:val="both"/>
        <w:rPr/>
      </w:pPr>
      <w:r>
        <w:rPr>
          <w:rFonts w:ascii="Times New Roman" w:hAnsi="Times New Roman"/>
          <w:color w:val="000000"/>
          <w:sz w:val="24"/>
          <w:u w:val="single"/>
        </w:rPr>
        <w:t>Waiver of Breach</w:t>
      </w:r>
      <w:r>
        <w:rPr>
          <w:rFonts w:ascii="Times New Roman" w:hAnsi="Times New Roman"/>
          <w:color w:val="000000"/>
          <w:sz w:val="24"/>
        </w:rPr>
        <w:t xml:space="preserve">. No provision of this Agreement will be modified, waived or discharged unless the modification, waiver or discharge is agreed to in writing and signed by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and by an authorized officer of the Company (other than Executive). The waiver of a breach of any term or provision of this Agreement will not operate as or be construed to be a waiver of any other previous or subsequent breach 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17.</w:t>
      </w:r>
    </w:p>
    <w:p>
      <w:pPr>
        <w:pStyle w:val="TextBody"/>
        <w:bidi w:val="0"/>
        <w:spacing w:before="0" w:after="240"/>
        <w:jc w:val="both"/>
        <w:rPr/>
      </w:pPr>
      <w:r>
        <w:rPr>
          <w:rFonts w:ascii="Times New Roman" w:hAnsi="Times New Roman"/>
          <w:color w:val="000000"/>
          <w:sz w:val="24"/>
          <w:u w:val="single"/>
        </w:rPr>
        <w:t>Arbitration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IN CONSIDERATION OF EXECUTIVE’S EMPLOYMENT WITH THE COMPANY, THE COMPANY’S PROMISE TO ARBITRATE ALL EMPLOYMENT-RELATED DISPUTES WITH EXECUTIVE, AND EXECUTIVE’S RECEIPT OF THE COMPENSATION AND OTHER BENEFITS PAID OR PROVIDED TO EXECUTIVE BY THE COMPANY AT PRESENT AND IN THE FUTURE, EXECUTIVE AGREES THAT ANY AND ALL CONTROVERSIES, CLAIMS, OR DISPUTES THAT EXECUTIVE MAY HAVE WITH THE COMPANY (INCLUDING ANY COMPANY EMPLOYEE, OFFICER, DIRECTOR, TRUSTEE, OR BENEFIT PLAN OF THE COMPANY, IN THEIR CAPACITY AS SUCH OR OTHERWISE), ARISING OUT OF, RELATING TO, OR RESULTING FROM EXECUTIVE’S EMPLOYMENT OR RELATIONSHIP WITH THE COMPANY OR THE TERMINATION OF EXECUTIVE’S EMPLOYMENT OR RELATIONSHIP WITH THE COMPANY, INCLUDING ANY BREACH OF ANY AGREEMENT BETWEEN THE PARTIES, INCLUDING THIS AGREEMENT AND THE CONFIDENTIALITY AGREEMENT, SHALL BE SUBJECT TO BINDING ARBITRATION PURSUANT TO THE FEDERAL ARBITRATION ACT (9 U.S.C. SEC. 1 ET SEQ.) (THE “</w:t>
      </w:r>
      <w:r>
        <w:rPr>
          <w:rFonts w:ascii="Times New Roman" w:hAnsi="Times New Roman"/>
          <w:b/>
          <w:color w:val="000000"/>
          <w:sz w:val="24"/>
        </w:rPr>
        <w:t>FAA</w:t>
      </w:r>
      <w:r>
        <w:rPr>
          <w:color w:val="000000"/>
        </w:rPr>
        <w:t>”</w:t>
      </w:r>
      <w:r>
        <w:rPr>
          <w:rFonts w:ascii="Times New Roman" w:hAnsi="Times New Roman"/>
          <w:color w:val="000000"/>
          <w:sz w:val="24"/>
        </w:rPr>
        <w:t xml:space="preserve">). THE FAA’S SUBSTANTIVE AND PROCEDURAL PROVISIONS SHALL EXCLUSIVELY GOVERN AND APPLY WITH FULL FORCE AND EFFECT TO THIS ARBITRATION AGREEMENT, INCLUDING ITS ENFORCEMENT. ANY STATE COURT OF COMPETENT JURISDICTION SHALL STAY PROCEEDINGS PENDING ARBITRATION OR COMPEL ARBITRATION IN THE SAME MANNER AS A FEDERAL COURT UNDER THE FAA. EXECUTIVE FURTHER AGREES THAT, TO THE FULLEST EXTENT PERMITTED BY LAW, EXECUTIVE MAY BRING ANY ARBITRATION PROCEEDING ONLY IN EXECUTIVE’S INDIVIDUAL CAPACITY, AND NOT AS A PLAINTIFF, REPRESENTATIVE, OR CLASS MEMBER IN ANY PURPORTED CLASS, COLLECTIVE, OR REPRESENTATIVE LAWSUIT OR PROCEEDING. </w:t>
      </w:r>
      <w:r>
        <w:rPr>
          <w:rFonts w:ascii="Times New Roman" w:hAnsi="Times New Roman"/>
          <w:b/>
          <w:color w:val="000000"/>
          <w:sz w:val="24"/>
        </w:rPr>
        <w:t xml:space="preserve">EXECUTIVE AGREES TO ARBITRATE ANY AND ALL COMMON LAW AND/OR STATUTORY CLAIMS UNDER LOCAL, STATE, OR FEDERAL LAW, INCLUDING, BUT NOT LIMITED TO, CLAIMS UNDER THE WORKER ADJUSTMENT AND RETRAINING NOTIFICATION ACT, THE FAIR LABOR STANDARDS ACT, STATE AND LOCAL WAGE PAYMENT LAWS, THE FAMILY AND MEDICAL LEAVE ACT, THE UTAH ANTIDISCRIMINATION ACT AND OTHER STATE AND LOCAL ANTI?DISCRIMINATION LAWS, FEDERAL ANTIDISCRIMINATION LAWS (INCLUDING TITLE VII OF THE CIVIL RIGHTS ACT OF 1964, THE AMERICANS WITH DISABILITIES ACT OF 1990, THE AGE DISCRIMINATION IN EMPLOYMENT ACT OF 1967, AND THE OLDER WORKERS BENEFIT PROTECTION ACT), CLAIMS RELATING TO EMPLOYMENT STATUS, CLASSIFICATION AND RELATIONSHIP WITH THE COMPANY, AND CLAIMS OF DISCRIMINATION, HARASSMENT, RETALIATION, WRONGFUL TERMINATION AND BREACH OF CONTRACT, EXCEPT AS PROHIBITED BY LAW. EXECUTIVE ALSO AGREES TO ARBITRATE (EXCEPT AS PROHIBITED BY LAW) ANY AND ALL DISPUTES ARISING OUT OF OR RELATING TO THE INTERPRETATION OR APPLICATION OF THIS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b/>
          <w:color w:val="000000"/>
          <w:sz w:val="24"/>
        </w:rPr>
        <w:t xml:space="preserve">AGREEMENT TO ARBITRATE, BUT NOT DISPUTES ABOUT THE ENFORCEABILITY, REVOCABILITY OR VALIDITY OF THIS AGREEMENT TO ARBITRATE OR ANY PORTION HEREOF. WITH RESPECT TO ALL SUCH CLAIMS AND DISPUTES THAT EXECUTIVE AGREES TO ARBITRATE, EXECUTIVE HEREBY EXPRESSLY AGREES TO WAIVE, AND DOES WAIVE, ANY RIGHT TO A TRIAL BY JURY. </w:t>
      </w:r>
      <w:r>
        <w:rPr>
          <w:rFonts w:ascii="Times New Roman" w:hAnsi="Times New Roman"/>
          <w:color w:val="000000"/>
          <w:sz w:val="24"/>
        </w:rPr>
        <w:t>EXECUTIVE FURTHER UNDERSTANDS THAT THIS AGREEMENT TO ARBITRATE ALSO APPLIES TO ANY DISPUTES THAT THE COMPANY MAY HAVE WITH EXECUTIVE. EXECUTIVE UNDERSTANDS THAT NOTHING IN THIS AGREEMENT REQUIRES EXECUTIVE TO ARBITRATE CLAIMS THAT CANNOT BE ARBITRATED UNDER APPLICABLE LAW, SUCH AS THE SARBANES-OXLEY ACT. SIMILARLY, NOTHING IN THIS AGREEMENT PROHIBITS EXECUTIVE FROM ENGAGING IN PROTECTED ACTIVITY (AS DEFINED HEREIN).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0" w:after="240"/>
        <w:jc w:val="both"/>
        <w:rPr/>
      </w:pPr>
      <w:r>
        <w:rPr>
          <w:rFonts w:ascii="Times New Roman" w:hAnsi="Times New Roman"/>
          <w:color w:val="000000"/>
          <w:sz w:val="24"/>
          <w:u w:val="single"/>
        </w:rPr>
        <w:t>Administration of Arbitration</w:t>
      </w:r>
      <w:r>
        <w:rPr>
          <w:rFonts w:ascii="Times New Roman" w:hAnsi="Times New Roman"/>
          <w:color w:val="000000"/>
          <w:sz w:val="24"/>
        </w:rPr>
        <w:t>. EXECUTIVE AGREES THAT ANY ARBITRATION WILL BE ADMINISTERED BY JAMS, PURSUANT TO ITS EMPLOYMENT ARBITRATION RULES &amp; PROCEDURES (THE “</w:t>
      </w:r>
      <w:r>
        <w:rPr>
          <w:rFonts w:ascii="Times New Roman" w:hAnsi="Times New Roman"/>
          <w:b/>
          <w:color w:val="000000"/>
          <w:sz w:val="24"/>
        </w:rPr>
        <w:t>JAMS RULES</w:t>
      </w:r>
      <w:r>
        <w:rPr>
          <w:color w:val="000000"/>
        </w:rPr>
        <w:t>”</w:t>
      </w:r>
      <w:r>
        <w:rPr>
          <w:rFonts w:ascii="Times New Roman" w:hAnsi="Times New Roman"/>
          <w:color w:val="000000"/>
          <w:sz w:val="24"/>
        </w:rPr>
        <w:t xml:space="preserve">), WHICH ARE AVAILABLE AT </w:t>
      </w:r>
      <w:r>
        <w:rPr>
          <w:rFonts w:ascii="Times New Roman" w:hAnsi="Times New Roman"/>
          <w:sz w:val="24"/>
        </w:rPr>
        <w:t>http://www.jamsadr.com/rules-employment-arbitration/</w:t>
      </w:r>
      <w:r>
        <w:rPr>
          <w:color w:val="000000"/>
        </w:rPr>
        <w:t xml:space="preserve"> </w:t>
      </w:r>
      <w:r>
        <w:rPr>
          <w:rFonts w:ascii="Times New Roman" w:hAnsi="Times New Roman"/>
          <w:color w:val="000000"/>
          <w:sz w:val="24"/>
        </w:rPr>
        <w:t>AND FROM THE COMPANY. IF THE JAMS RULES CANNOT BE ENFORCED AS TO THE ARBITRATION, THEN THE PARTIES AGREE THAT THEY WILL UTILIZE THE JAMS COMPREHENSIVE ARBITRATION RULES AND PROCEDURES OR SUCH RULES AS THE ARBITRATOR MAY DEEM MOST APPROPRIATE FOR THE DISPUTE. EXECUTIVE AGREES THAT THE ARBITRATOR SHALL HAVE THE POWER TO DECIDE ANY MOTIONS BROUGHT BY ANY PARTY TO THE ARBITRATION, INCLUDING MOTIONS FOR SUMMARY JUDGMENT AND/OR ADJUDICATION, AND MOTIONS TO DISMISS, APPLYING THE STANDARDS SET FORTH FOR SUCH MOTIONS UNDER APPLICABLE UTAH LAW, INCLUDING UTAH’S RULES OF CIVIL PROCEDURE. EXECUTIVE AGREES THAT THE ARBITRATOR SHALL ISSUE A WRITTEN DECISION ON THE MERITS. EXECUTIVE ALSO AGREES THAT THE ARBITRATOR SHALL HAVE THE POWER TO AWARD ANY REMEDIES AVAILABLE UNDER APPLICABLE LAW, AND THAT THE ARBITRATOR MAY AWARD ATTORNEYS’ FEES AND COSTS TO THE PREVAILING PARTY, WHERE PERMITTED BY APPLICABLE LAW. EXECUTIVE AGREES THAT THE DECREE OR AWARD RENDERED BY THE ARBITRATOR MAY BE ENTERED AS A FINAL AND BINDING JUDGMENT IN ANY COURT HAVING JURISDICTION THEREOF. EXECUTIVE UNDERSTANDS THAT THE COMPANY WILL PAY FOR ANY ADMINISTRATIVE OR HEARING FEES CHARGED BY THE ARBITRATOR OR JAMS EXCEPT THAT EXECUTIVE SHALL PAY ANY FILING FEES ASSOCIATED WITH ANY ARBITRATION THAT EXECUTIVE INITIATES, BUT ONLY SO MUCH OF THE FILING FEES AS EXECUTIVE WOULD HAVE INSTEAD PAID HAD EXECUTIVE FILED A COMPLAINT IN A COURT OF LAW THAT WOULD HAVE HAD JURISDICTION OVER SUCH COMPLAINT. EXECUTIVE AGREES THAT THE ARBITRATOR SHALL APPLY SUBSTANTIVE UTAH LAW TO ANY DISPUTE OR CLAIM. TO THE EXTENT THAT THE JAMS RULES CONFLICT WITH SUBSTANTIVE UTAH LAW, UTAH LAW SHALL TAKE PRECEDENCE. EXECUTIVE AGREES THAT ANY ARBITRATION UNDER THIS AGREEMENT SHALL BE CONDUCTED IN SALT LAKE COUNTY, UTAH.</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0" w:after="240"/>
        <w:jc w:val="both"/>
        <w:rPr/>
      </w:pPr>
      <w:r>
        <w:rPr>
          <w:rFonts w:ascii="Times New Roman" w:hAnsi="Times New Roman"/>
          <w:color w:val="000000"/>
          <w:sz w:val="24"/>
          <w:u w:val="single"/>
        </w:rPr>
        <w:t>Remedy</w:t>
      </w:r>
      <w:r>
        <w:rPr>
          <w:rFonts w:ascii="Times New Roman" w:hAnsi="Times New Roman"/>
          <w:color w:val="000000"/>
          <w:sz w:val="24"/>
        </w:rPr>
        <w:t xml:space="preserve">. EXCEPT FOR THE PURSUIT OF ANY PROVISIONAL REMEDY PERMITTED UNDER THE FAA OR UTAH CODE SECTION 109 OF THE UTAH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UNIFORM ARBITRATION ACT (THE “ACT”), OR AS OTHERWISE PROVIDED BY THIS AGREEMENT, EXECUTIVE AGREES THAT ARBITRATION SHALL BE THE SOLE, EXCLUSIVE, AND FINAL REMEDY FOR ANY DISPUTE BETWEEN EXECUTIVE AND THE COMPANY. EXECUTIVE ACKNOWLEDGES AND AGREES THAT POTENTIAL BREACHES OR THREATENED BREACHES OF THE CONFIDENTIALITY AGREEMENT WILL CAUSE IRREPARABLE INJURY AND THAT MONEY DAMAGES WILL NOT PROVIDE AN ADEQUATE REMEDY THEREFOR, AND BOTH PARTIES CONSENT TO THE ISSUANCE OF AN INJUNCTION, WHETHER IN ARBITRATION OR IN CONNECTION WITH THE PROVISIONAL REMEDIES PERMITTED UNDER THE FAA OR THE ACT, WITHOUT THE POSTING OF A BOND. IN THE EVENT EITHER PARTY SEEKS SUCH INJUNCTIVE RELIEF, THE PREVAILING PARTY SHALL BE ENTITLED TO RECOVER REASONABLE COSTS AND ATTORNEYS’ FEES.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0" w:after="240"/>
        <w:jc w:val="both"/>
        <w:rPr/>
      </w:pPr>
      <w:r>
        <w:rPr>
          <w:rFonts w:ascii="Times New Roman" w:hAnsi="Times New Roman"/>
          <w:color w:val="000000"/>
          <w:sz w:val="24"/>
          <w:u w:val="single"/>
        </w:rPr>
        <w:t>Administrative Relief</w:t>
      </w:r>
      <w:r>
        <w:rPr>
          <w:rFonts w:ascii="Times New Roman" w:hAnsi="Times New Roman"/>
          <w:color w:val="000000"/>
          <w:sz w:val="24"/>
        </w:rPr>
        <w:t>. EXECUTIVE UNDERSTANDS THAT THIS AGREEMENT DOES NOT PROHIBIT EXECUTIVE FROM PURSUING AN ADMINISTRATIVE CLAIM WITH A LOCAL, STATE, OR FEDERAL ADMINISTRATIVE BODY OR GOVERNMENT AGENCY THAT IS AUTHORIZED TO ENFORCE OR ADMINISTER LAWS RELATED TO EMPLOYMENT, INCLUDING, BUT NOT LIMITED TO, THE UTAH LABOR COMMISSION, THE EQUAL EMPLOYMENT OPPORTUNITY COMMISSION, THE NATIONAL LABOR RELATIONS BOARD, THE SECURITIES AND EXCHANGE COMMISSION, OR THE WORKERS’ COMPENSATION BOARD. THIS AGREEMENT DOES, HOWEVER, PRECLUDE EXECUTIVE FROM PURSUING A COURT ACTION REGARDING ANY SUCH CLAIM, EXCEPT AS PERMITTED BY LAW.</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0" w:after="240"/>
        <w:jc w:val="both"/>
        <w:rPr/>
      </w:pPr>
      <w:r>
        <w:rPr>
          <w:rFonts w:ascii="Times New Roman" w:hAnsi="Times New Roman"/>
          <w:color w:val="000000"/>
          <w:sz w:val="24"/>
          <w:u w:val="single"/>
        </w:rPr>
        <w:t>Voluntary Nature of Agreement</w:t>
      </w:r>
      <w:r>
        <w:rPr>
          <w:rFonts w:ascii="Times New Roman" w:hAnsi="Times New Roman"/>
          <w:color w:val="000000"/>
          <w:sz w:val="24"/>
        </w:rPr>
        <w:t xml:space="preserve">. EXECUTIVE ACKNOWLEDGES AND AGREES THAT EXECUTIVE IS EXECUTING THIS AGREEMENT TO ARBITRATE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TO ARBITRATE AND DOES FULLY UNDERSTAND IT, INCLUDING THAT </w:t>
      </w:r>
      <w:r>
        <w:rPr>
          <w:rFonts w:ascii="Times New Roman" w:hAnsi="Times New Roman"/>
          <w:b/>
          <w:i/>
          <w:color w:val="000000"/>
          <w:sz w:val="24"/>
        </w:rPr>
        <w:t>EXECUTIVE IS WAIVING EXECUTIVE’S RIGHT TO A JURY TRIAL</w:t>
      </w:r>
      <w:r>
        <w:rPr>
          <w:rFonts w:ascii="Times New Roman" w:hAnsi="Times New Roman"/>
          <w:color w:val="000000"/>
          <w:sz w:val="24"/>
        </w:rPr>
        <w:t>. EXECUTIVE AGREES THAT EXECUTIVE HAS BEEN PROVIDED AN OPPORTUNITY TO SEEK THE ADVICE OF AN ATTORNEY OF EXECUTIVE’S CHOICE BEFORE SIGNING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18.</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All captions and section headings used in this Agreement are for convenient reference only and do not form a part 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19.</w:t>
      </w:r>
    </w:p>
    <w:p>
      <w:pPr>
        <w:pStyle w:val="TextBody"/>
        <w:bidi w:val="0"/>
        <w:spacing w:before="0" w:after="240"/>
        <w:jc w:val="both"/>
        <w:rPr/>
      </w:pPr>
      <w:r>
        <w:rPr>
          <w:rFonts w:ascii="Times New Roman" w:hAnsi="Times New Roman"/>
          <w:color w:val="000000"/>
          <w:sz w:val="24"/>
          <w:u w:val="single"/>
        </w:rPr>
        <w:t>Tax Withholding</w:t>
      </w:r>
      <w:r>
        <w:rPr>
          <w:rFonts w:ascii="Times New Roman" w:hAnsi="Times New Roman"/>
          <w:color w:val="000000"/>
          <w:sz w:val="24"/>
        </w:rPr>
        <w:t>. All payments made pursuant to this Agreement will be subject to withholding of applicable taxes.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20.</w:t>
      </w:r>
    </w:p>
    <w:p>
      <w:pPr>
        <w:pStyle w:val="TextBody"/>
        <w:bidi w:val="0"/>
        <w:spacing w:before="0" w:after="240"/>
        <w:jc w:val="both"/>
        <w:rPr/>
      </w:pPr>
      <w:r>
        <w:rPr>
          <w:rFonts w:ascii="Times New Roman" w:hAnsi="Times New Roman"/>
          <w:color w:val="000000"/>
          <w:sz w:val="24"/>
          <w:u w:val="single"/>
        </w:rPr>
        <w:t>Governing Law; Venue</w:t>
      </w:r>
      <w:r>
        <w:rPr>
          <w:rFonts w:ascii="Times New Roman" w:hAnsi="Times New Roman"/>
          <w:color w:val="000000"/>
          <w:sz w:val="24"/>
        </w:rPr>
        <w:t>. This Agreement will be governed by the laws of the State of UTAH (with the exception of its conflict of laws provisions).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21.</w:t>
      </w:r>
    </w:p>
    <w:p>
      <w:pPr>
        <w:pStyle w:val="TextBody"/>
        <w:bidi w:val="0"/>
        <w:spacing w:before="0" w:after="240"/>
        <w:jc w:val="both"/>
        <w:rPr/>
      </w:pPr>
      <w:r>
        <w:rPr>
          <w:rFonts w:ascii="Times New Roman" w:hAnsi="Times New Roman"/>
          <w:color w:val="000000"/>
          <w:sz w:val="24"/>
          <w:u w:val="single"/>
        </w:rPr>
        <w:t>Acknowledgment</w:t>
      </w:r>
      <w:r>
        <w:rPr>
          <w:rFonts w:ascii="Times New Roman" w:hAnsi="Times New Roman"/>
          <w:color w:val="000000"/>
          <w:sz w:val="24"/>
        </w:rPr>
        <w:t>. Executive acknowledges that Executive has had the opportunity to discuss this matter with and obtain advice from Executive’s private attorney, has had sufficient time to, and has carefully read and fully understands all the provisions of this Agreement.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22.</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counterparts, and each counterpart will have the same force and effect as an original and will constitute an effective, binding agreement on the part of each of the undersigned.</w:t>
      </w:r>
    </w:p>
    <w:p>
      <w:pPr>
        <w:pStyle w:val="TextBody"/>
        <w:bidi w:val="0"/>
        <w:spacing w:before="0" w:after="240"/>
        <w:jc w:val="center"/>
        <w:rPr>
          <w:rFonts w:ascii="Times New Roman" w:hAnsi="Times New Roman"/>
          <w:b/>
          <w:i/>
          <w:color w:val="000000"/>
          <w:sz w:val="24"/>
        </w:rPr>
      </w:pPr>
      <w:r>
        <w:rPr>
          <w:rFonts w:ascii="Times New Roman" w:hAnsi="Times New Roman"/>
          <w:b/>
          <w:i/>
          <w:color w:val="000000"/>
          <w:sz w:val="24"/>
        </w:rPr>
        <w:t>[Remainder of Page Intentionally Left Blank]</w:t>
      </w:r>
    </w:p>
    <w:p>
      <w:pPr>
        <w:pStyle w:val="TextBody"/>
        <w:bidi w:val="0"/>
        <w:spacing w:before="0" w:after="24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each of the Parties has executed this Agreement, in the case of the Company by their duly authorized officers, as of the day and year first above written.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SARCOS CORP.</w:t>
      </w:r>
    </w:p>
    <w:p>
      <w:pPr>
        <w:pStyle w:val="TextBody"/>
        <w:bidi w:val="0"/>
        <w:spacing w:before="0" w:after="24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Kiva Allgood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Name: Kiva Allgood</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Title: Chief Executive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PARENT:</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SARCOS TECHNOLOGY AND ROBOTICS CORPORATION</w:t>
      </w:r>
    </w:p>
    <w:p>
      <w:pPr>
        <w:pStyle w:val="TextBody"/>
        <w:bidi w:val="0"/>
        <w:spacing w:before="0" w:after="24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Kiva Allgood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Name: Kiva Allgood</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Title: Chief Executive Officer</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EXECUTIVE: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 xml:space="preserve">/s/ Stephen Sonne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Stephen Sonne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[SIGNATURE PAGE TO STEPHEN SONNE EMPLOYMENT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pPr>
      <w:bookmarkStart w:id="52" w:name="strc-ex10_19.htm"/>
      <w:bookmarkStart w:id="53" w:name="ksstrcex10_19"/>
      <w:bookmarkEnd w:id="52"/>
      <w:bookmarkEnd w:id="53"/>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10.19</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SARCOS TECHNOLOGY AND ROBOTICS CORPORATION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2021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RESTRICTED STOCK AWARD AGREEMENT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NOTICE OF RESTRICTED STOCK GRANT</w:t>
      </w:r>
    </w:p>
    <w:p>
      <w:pPr>
        <w:pStyle w:val="TextBody"/>
        <w:bidi w:val="0"/>
        <w:spacing w:before="240" w:after="283"/>
        <w:jc w:val="both"/>
        <w:rPr>
          <w:rFonts w:ascii="Times New Roman" w:hAnsi="Times New Roman"/>
          <w:sz w:val="20"/>
        </w:rPr>
      </w:pPr>
      <w:r>
        <w:rPr>
          <w:rFonts w:ascii="Times New Roman" w:hAnsi="Times New Roman"/>
          <w:color w:val="000000"/>
          <w:sz w:val="24"/>
        </w:rPr>
        <w:t>Unless otherwise defined herein, the terms defined in the Sarcos Technology and Robotics Corporation 2021 Equity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will have the same defined meanings in this Restricted Stock Award Agreement which includes the Notice of Restricted Stock Grant (the “</w:t>
      </w:r>
      <w:r>
        <w:rPr>
          <w:rFonts w:ascii="Times New Roman" w:hAnsi="Times New Roman"/>
          <w:b/>
          <w:color w:val="000000"/>
          <w:sz w:val="24"/>
        </w:rPr>
        <w:t>Notice of Grant</w:t>
      </w:r>
      <w:r>
        <w:rPr>
          <w:rFonts w:ascii="Times New Roman" w:hAnsi="Times New Roman"/>
          <w:color w:val="000000"/>
          <w:sz w:val="20"/>
        </w:rPr>
        <w:t>”</w:t>
      </w:r>
      <w:r>
        <w:rPr>
          <w:rFonts w:ascii="Times New Roman" w:hAnsi="Times New Roman"/>
          <w:color w:val="000000"/>
          <w:sz w:val="24"/>
        </w:rPr>
        <w:t xml:space="preserve">), the Terms and Conditions of Restricted Stock Grant, attached hereto as </w:t>
      </w:r>
      <w:r>
        <w:rPr>
          <w:rFonts w:ascii="Times New Roman" w:hAnsi="Times New Roman"/>
          <w:b/>
          <w:color w:val="000000"/>
          <w:sz w:val="24"/>
        </w:rPr>
        <w:t>Exhibit A</w:t>
      </w:r>
      <w:r>
        <w:rPr>
          <w:rFonts w:ascii="Times New Roman" w:hAnsi="Times New Roman"/>
          <w:color w:val="000000"/>
          <w:sz w:val="24"/>
        </w:rPr>
        <w:t>, and all other exhibits, appendices, and addenda attached hereto (the “</w:t>
      </w:r>
      <w:r>
        <w:rPr>
          <w:rFonts w:ascii="Times New Roman" w:hAnsi="Times New Roman"/>
          <w:b/>
          <w:color w:val="000000"/>
          <w:sz w:val="24"/>
        </w:rPr>
        <w:t>Award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 xml:space="preserve">Participant Name: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 xml:space="preserve">Address: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Participant has been granted an Award of Shares of Restricted Stock, subject to the terms and conditions of the Plan and this Award Agreement,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Grant Number: ______________________________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Date of Grant: ______________________________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Vesting Commencement Date: ______________________________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Total Number of Shares of Restricted Stock: ______________________________</w:t>
      </w:r>
    </w:p>
    <w:p>
      <w:pPr>
        <w:pStyle w:val="TextBody"/>
        <w:bidi w:val="0"/>
        <w:spacing w:before="240" w:after="283"/>
        <w:jc w:val="both"/>
        <w:rPr>
          <w:rFonts w:ascii="Times New Roman" w:hAnsi="Times New Roman"/>
          <w:sz w:val="20"/>
        </w:rPr>
      </w:pPr>
      <w:r>
        <w:rPr>
          <w:rFonts w:ascii="Times New Roman" w:hAnsi="Times New Roman"/>
          <w:b/>
          <w:color w:val="000000"/>
          <w:sz w:val="24"/>
        </w:rPr>
        <w:t>Vesting Schedule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any acceleration provisions contained in the Plan, this Award Agreement, or any other written agreement authorized by the Administrator between Participant and the Company (or any Parent or Subsidiary of the Company, as applicable) governing the terms of this Award, the Shares of Restricted Stock will be scheduled to vest and the Company’s right to reacquire the Restricted Stock will be scheduled to lapse in accordance with the following schedule: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[INSERT APPLICABLE VESTING SCHEDULE]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By Participant’s signature (or electronic acceptance of the award) and the signature of the representative of the Company below, Participant and the Company agree that this Award of Restricted Stock is granted under and governed by the terms and conditions of the Plan and this Award Agreement, including the Terms and Conditions of Restricted Stock Grant, attached hereto as </w:t>
      </w:r>
      <w:r>
        <w:rPr>
          <w:rFonts w:ascii="Times New Roman" w:hAnsi="Times New Roman"/>
          <w:b/>
          <w:color w:val="000000"/>
          <w:sz w:val="24"/>
        </w:rPr>
        <w:t>Exhibit A</w:t>
      </w:r>
      <w:r>
        <w:rPr>
          <w:rFonts w:ascii="Times New Roman" w:hAnsi="Times New Roman"/>
          <w:color w:val="000000"/>
          <w:sz w:val="24"/>
        </w:rPr>
        <w:t>, and all other exhibits, appendices and addenda attached hereto, all of which are made a part of this document. Participant acknowledges receipt of a copy of the Plan. Participant</w:t>
      </w:r>
      <w:r>
        <w:rPr>
          <w:rFonts w:ascii="Times New Roman" w:hAnsi="Times New Roman"/>
          <w:color w:val="000000"/>
          <w:sz w:val="20"/>
        </w:rPr>
        <w:t xml:space="preserve"> </w:t>
      </w:r>
    </w:p>
    <w:p>
      <w:pPr>
        <w:pStyle w:val="TextBody"/>
        <w:bidi w:val="0"/>
        <w:jc w:val="left"/>
        <w:rPr>
          <w:rFonts w:ascii="Times New Roman" w:hAnsi="Times New Roman"/>
          <w:color w:val="000000"/>
          <w:sz w:val="15"/>
        </w:rPr>
      </w:pPr>
      <w:r>
        <w:rPr>
          <w:rFonts w:ascii="Times New Roman" w:hAnsi="Times New Roman"/>
          <w:color w:val="000000"/>
          <w:sz w:val="15"/>
        </w:rPr>
        <w:t>4854-8081-2058.1</w:t>
      </w:r>
    </w:p>
    <w:p>
      <w:pPr>
        <w:pStyle w:val="HorizontalLine"/>
        <w:pBdr>
          <w:bottom w:val="double" w:sz="2" w:space="0" w:color="808080"/>
        </w:pBdr>
        <w:bidi w:val="0"/>
        <w:spacing w:before="0" w:after="283"/>
        <w:jc w:val="left"/>
        <w:rPr/>
      </w:pPr>
      <w:r>
        <w:rPr/>
      </w:r>
    </w:p>
    <w:p>
      <w:pPr>
        <w:pStyle w:val="TextBody"/>
        <w:bidi w:val="0"/>
        <w:ind w:left="720" w:right="0" w:hanging="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has reviewed the Plan and this Award Agreement in their entirety, has had an opportunity to obtain the advice of counsel prior to executing this Award Agreement and fully understands all provisions of the Plan and this Award Agreement. Participant agrees to accept as binding, conclusive and final all decisions or interpretations of the Administrator upon any questions relating to the Plan or this Award Agreement. Participant further agrees to notify the Company upon any change in Participant’s residence address indicated below.</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color w:val="000000"/>
          <w:sz w:val="24"/>
        </w:rPr>
        <w:t>PARTICIPANT</w:t>
      </w:r>
      <w:r>
        <w:rPr>
          <w:rFonts w:ascii="Times New Roman" w:hAnsi="Times New Roman"/>
          <w:color w:val="000000"/>
          <w:sz w:val="20"/>
        </w:rPr>
        <w:t xml:space="preserve"> </w:t>
      </w:r>
      <w:r>
        <w:rPr>
          <w:rFonts w:ascii="Times New Roman" w:hAnsi="Times New Roman"/>
          <w:color w:val="000000"/>
          <w:sz w:val="24"/>
        </w:rPr>
        <w:t>SARCOS TECHNOLOGY AND ROBOTICS CORPORATION</w:t>
      </w:r>
    </w:p>
    <w:p>
      <w:pPr>
        <w:pStyle w:val="TextBody"/>
        <w:bidi w:val="0"/>
        <w:spacing w:before="2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Signature Signature</w:t>
      </w:r>
    </w:p>
    <w:p>
      <w:pPr>
        <w:pStyle w:val="TextBody"/>
        <w:bidi w:val="0"/>
        <w:spacing w:before="120" w:after="283"/>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Print Name Print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Title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Residence Address: </w:t>
      </w:r>
    </w:p>
    <w:p>
      <w:pPr>
        <w:pStyle w:val="TextBody"/>
        <w:bidi w:val="0"/>
        <w:jc w:val="both"/>
        <w:rPr/>
      </w:pPr>
      <w:r>
        <w:rPr/>
        <w:t> </w:t>
      </w:r>
    </w:p>
    <w:p>
      <w:pPr>
        <w:pStyle w:val="TextBody"/>
        <w:bidi w:val="0"/>
        <w:jc w:val="both"/>
        <w:rPr/>
      </w:pPr>
      <w:r>
        <w:rPr/>
        <w:t> </w:t>
      </w:r>
    </w:p>
    <w:p>
      <w:pPr>
        <w:pStyle w:val="TextBody"/>
        <w:bidi w:val="0"/>
        <w:spacing w:before="240" w:after="283"/>
        <w:jc w:val="both"/>
        <w:rPr/>
      </w:pPr>
      <w:r>
        <w:rPr/>
        <w:t> </w:t>
      </w:r>
    </w:p>
    <w:p>
      <w:pPr>
        <w:pStyle w:val="TextBody"/>
        <w:bidi w:val="0"/>
        <w:jc w:val="center"/>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ind w:left="720" w:right="0" w:hanging="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SARCOS TECHNOLOGY AND ROBOTICS CORPORATION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2021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RESTRICTED STOCK AWARD AGREEMENT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TERMS AND CONDITIONS OF RESTRICTED STOCK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b/>
          <w:color w:val="000000"/>
          <w:sz w:val="24"/>
        </w:rPr>
        <w:t>Grant of Shares of Restricted Stock</w:t>
      </w:r>
      <w:r>
        <w:rPr>
          <w:rFonts w:ascii="Times New Roman" w:hAnsi="Times New Roman"/>
          <w:color w:val="000000"/>
          <w:sz w:val="24"/>
        </w:rPr>
        <w:t>. The Company hereby grants to the individual (“</w:t>
      </w:r>
      <w:r>
        <w:rPr>
          <w:rFonts w:ascii="Times New Roman" w:hAnsi="Times New Roman"/>
          <w:b/>
          <w:color w:val="000000"/>
          <w:sz w:val="24"/>
        </w:rPr>
        <w:t>Participant</w:t>
      </w:r>
      <w:r>
        <w:rPr>
          <w:color w:val="000000"/>
        </w:rPr>
        <w:t>”</w:t>
      </w:r>
      <w:r>
        <w:rPr>
          <w:rFonts w:ascii="Times New Roman" w:hAnsi="Times New Roman"/>
          <w:color w:val="000000"/>
          <w:sz w:val="24"/>
        </w:rPr>
        <w:t>) named in the Notice of Restricted Stock Grant of this Award Agreement (the “</w:t>
      </w:r>
      <w:r>
        <w:rPr>
          <w:rFonts w:ascii="Times New Roman" w:hAnsi="Times New Roman"/>
          <w:b/>
          <w:color w:val="000000"/>
          <w:sz w:val="24"/>
        </w:rPr>
        <w:t>Notice of Grant</w:t>
      </w:r>
      <w:r>
        <w:rPr>
          <w:color w:val="000000"/>
        </w:rPr>
        <w:t>”</w:t>
      </w:r>
      <w:r>
        <w:rPr>
          <w:rFonts w:ascii="Times New Roman" w:hAnsi="Times New Roman"/>
          <w:color w:val="000000"/>
          <w:sz w:val="24"/>
        </w:rPr>
        <w:t>) under the Plan an Award of Shares of Restricted Stock, and subject to the terms and conditions of this Award Agreement and the Plan, which is incorporated herein by reference. Subject to Section 20 of the Plan, in the event of a conflict between the terms and conditions of the Plan and this Award Agreement, the terms and conditions of the Plan shall prevail.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b/>
          <w:color w:val="000000"/>
          <w:sz w:val="24"/>
        </w:rPr>
        <w:t>Vesting Schedule</w:t>
      </w:r>
      <w:r>
        <w:rPr>
          <w:rFonts w:ascii="Times New Roman" w:hAnsi="Times New Roman"/>
          <w:color w:val="000000"/>
          <w:sz w:val="24"/>
        </w:rPr>
        <w:t>. Except as provided in Section 3 and subject to Sections 4 and 6, the Shares of Restricted Stock awarded by this Award Agreement will vest in accordance with the vesting provisions set forth in the Notice of Grant. Unless specifically provided otherwise in this Award Agreement or other written agreement authorized by the Administrator between Participant and the Company or any Parent or Subsidiary of the Company, as applicable, governing the terms of this Award, Shares of Restricted Stock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b/>
          <w:color w:val="000000"/>
          <w:sz w:val="24"/>
        </w:rPr>
        <w:t>Administrator Discretion</w:t>
      </w:r>
      <w:r>
        <w:rPr>
          <w:rFonts w:ascii="Times New Roman" w:hAnsi="Times New Roman"/>
          <w:color w:val="000000"/>
          <w:sz w:val="24"/>
        </w:rPr>
        <w:t>. The Administrator, in its discretion, may accelerate the vesting of the balance, or some lesser portion of the balance, of the unvested Shares of Restricted Stock subject to this Award Agreement at any time, subject to the terms of the Plan. If so accelerated, such Shares of Restricted Stock will be considered as having vested as of the date specified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b/>
          <w:color w:val="000000"/>
          <w:sz w:val="24"/>
        </w:rPr>
        <w:t>Forfeiture Upon Termination as a Service Provider</w:t>
      </w:r>
      <w:r>
        <w:rPr>
          <w:rFonts w:ascii="Times New Roman" w:hAnsi="Times New Roman"/>
          <w:color w:val="000000"/>
          <w:sz w:val="24"/>
        </w:rPr>
        <w:t>. Unless specifically provided otherwise in this Award Agreement or other written agreement authorized by the Administrator between Participant and the Company or any Parent or Subsidiary of the Company, as applicable, governing the terms of this Award, the balance of the Shares of Restricted Stock that have not vested as of the time Participant ceases to be a Service Provider for any or no reason will be forfeited and automatically transferred to and reacquired by the Company at no cost to the Company upon the date of such termination and Participant will have no further rights thereunder. Participant will not be entitled to a refund of the price paid for the Shares of Restricted Stock, if any, returned to the Company pursuant to this Section 4. Participant hereby appoints the Escrow Agent (as defined below)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to the Company upon such termination of service.</w:t>
      </w:r>
    </w:p>
    <w:p>
      <w:pPr>
        <w:pStyle w:val="HorizontalLine"/>
        <w:pBdr>
          <w:bottom w:val="double" w:sz="2" w:space="0" w:color="808080"/>
        </w:pBdr>
        <w:bidi w:val="0"/>
        <w:spacing w:before="0" w:after="283"/>
        <w:jc w:val="left"/>
        <w:rPr/>
      </w:pPr>
      <w:r>
        <w:rPr/>
      </w:r>
    </w:p>
    <w:p>
      <w:pPr>
        <w:pStyle w:val="TextBody"/>
        <w:bidi w:val="0"/>
        <w:ind w:left="720" w:right="0" w:hanging="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b/>
          <w:color w:val="000000"/>
          <w:sz w:val="24"/>
        </w:rPr>
        <w:t>Death of Participant</w:t>
      </w:r>
      <w:r>
        <w:rPr>
          <w:rFonts w:ascii="Times New Roman" w:hAnsi="Times New Roman"/>
          <w:color w:val="000000"/>
          <w:sz w:val="24"/>
        </w:rPr>
        <w:t>. Any distribution or delivery to be made to Participant under this Award Agreement, if Participant is then deceased, will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Tax Obligations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b/>
          <w:color w:val="000000"/>
          <w:sz w:val="24"/>
        </w:rPr>
        <w:t>Responsibility for Taxes</w:t>
      </w:r>
      <w:r>
        <w:rPr>
          <w:rFonts w:ascii="Times New Roman" w:hAnsi="Times New Roman"/>
          <w:color w:val="000000"/>
          <w:sz w:val="24"/>
        </w:rPr>
        <w:t>. Participant acknowledges that, regardless of any action taken by the Company or, if different, Participant’s employer or any Parent or Subsidiary of the Company to which Participant is providing services (together, the “</w:t>
      </w:r>
      <w:r>
        <w:rPr>
          <w:rFonts w:ascii="Times New Roman" w:hAnsi="Times New Roman"/>
          <w:b/>
          <w:color w:val="000000"/>
          <w:sz w:val="24"/>
        </w:rPr>
        <w:t>Service Recipients</w:t>
      </w:r>
      <w:r>
        <w:rPr>
          <w:color w:val="000000"/>
        </w:rPr>
        <w:t>”</w:t>
      </w:r>
      <w:r>
        <w:rPr>
          <w:rFonts w:ascii="Times New Roman" w:hAnsi="Times New Roman"/>
          <w:color w:val="000000"/>
          <w:sz w:val="24"/>
        </w:rPr>
        <w:t>), the ultimate liability for any tax and/or social insurance liability obligations and requirements in connection with the Shares of Restricted Stock,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release from escrow of the Shares of Restricted Stock, the filing of an 83(b) election with respect to the Shares of Restricted Stock, or the sale of Shares, and (iii) any other Service Recipient taxes the responsibility for which Participant has, or has agreed to bear, with respect to the Shares of Restricted Stock (or release from escrow thereof or issuance of Shares thereunder) (collectively, the “</w:t>
      </w:r>
      <w:r>
        <w:rPr>
          <w:rFonts w:ascii="Times New Roman" w:hAnsi="Times New Roman"/>
          <w:b/>
          <w:color w:val="000000"/>
          <w:sz w:val="24"/>
        </w:rPr>
        <w:t>Tax Obligations</w:t>
      </w:r>
      <w:r>
        <w:rPr>
          <w:color w:val="000000"/>
        </w:rPr>
        <w:t>”</w:t>
      </w:r>
      <w:r>
        <w:rPr>
          <w:rFonts w:ascii="Times New Roman" w:hAnsi="Times New Roman"/>
          <w:color w:val="000000"/>
          <w:sz w:val="24"/>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Shares of Restricted Stock, including, but not limited to, the grant, vesting or release from escrow of the Shares of Restricted Stock, the filing of an 83(b) Election (as defined below) with respect to the Shares of Restricted Stock, the subsequent sale of Shares acquired pursuant to this Award Agreement and the receipt of any dividends or other distributions, and (B) makes any commitment to and is under any obligation to structure the terms of the grant or any aspect of the Shares of Restricted Stock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Withholding Obligations (as defined below) in more than one jurisdiction. If Participant fails to make satisfactory arrangements for the payment of any required Withholding Obligations hereunder at the time of the applicable taxable event, Participant acknowledges and agrees that the Company may refuse to issue or deliver the Shares.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 Shares vest by filing an election under Section 83(b) of the Code (the “</w:t>
      </w:r>
      <w:r>
        <w:rPr>
          <w:rFonts w:ascii="Times New Roman" w:hAnsi="Times New Roman"/>
          <w:b/>
          <w:color w:val="000000"/>
          <w:sz w:val="24"/>
        </w:rPr>
        <w:t>83(b) Election</w:t>
      </w:r>
      <w:r>
        <w:rPr>
          <w:color w:val="000000"/>
        </w:rPr>
        <w:t>”</w:t>
      </w:r>
      <w:r>
        <w:rPr>
          <w:rFonts w:ascii="Times New Roman" w:hAnsi="Times New Roman"/>
          <w:color w:val="000000"/>
          <w:sz w:val="24"/>
        </w:rPr>
        <w:t xml:space="preserve">) with the IRS within thirty (30) days from the date of grant of the Restricted Stock Award.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color w:val="000000"/>
          <w:sz w:val="24"/>
        </w:rPr>
        <w:t>Tax Withholding</w:t>
      </w:r>
      <w:r>
        <w:rPr>
          <w:rFonts w:ascii="Times New Roman" w:hAnsi="Times New Roman"/>
          <w:color w:val="000000"/>
          <w:sz w:val="24"/>
        </w:rPr>
        <w:t xml:space="preserve">. Notwithstanding any contrary provision of this Award Agreement, no certificate representing the Shares of Restricted Stock may be released from the escrow </w:t>
      </w:r>
    </w:p>
    <w:p>
      <w:pPr>
        <w:pStyle w:val="TextBody"/>
        <w:bidi w:val="0"/>
        <w:jc w:val="center"/>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ind w:left="720" w:right="0" w:hanging="0"/>
        <w:jc w:val="left"/>
        <w:rPr/>
      </w:pPr>
      <w:r>
        <w:rPr/>
        <w:t> </w:t>
      </w:r>
    </w:p>
    <w:p>
      <w:pPr>
        <w:pStyle w:val="TextBody"/>
        <w:bidi w:val="0"/>
        <w:spacing w:before="240" w:after="283"/>
        <w:jc w:val="both"/>
        <w:rPr/>
      </w:pPr>
      <w:r>
        <w:rPr>
          <w:rFonts w:ascii="Times New Roman" w:hAnsi="Times New Roman"/>
          <w:color w:val="000000"/>
          <w:sz w:val="24"/>
        </w:rPr>
        <w:t>established pursuant to Section 13, unless and until satisfactory arrangements (as determined by the Administrator) will have been made by Participant with respect to the payment of all Tax Obligations required to be withheld (the “</w:t>
      </w:r>
      <w:r>
        <w:rPr>
          <w:rFonts w:ascii="Times New Roman" w:hAnsi="Times New Roman"/>
          <w:b/>
          <w:color w:val="000000"/>
          <w:sz w:val="24"/>
        </w:rPr>
        <w:t>Withholding Obligations</w:t>
      </w:r>
      <w:r>
        <w:rPr>
          <w:color w:val="000000"/>
        </w:rPr>
        <w:t>”</w:t>
      </w:r>
      <w:r>
        <w:rPr>
          <w:rFonts w:ascii="Times New Roman" w:hAnsi="Times New Roman"/>
          <w:color w:val="000000"/>
          <w:sz w:val="24"/>
        </w:rPr>
        <w:t>). When Shares of Restricted Stock are vested,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Withholding Obligations which the Company determines must be withheld with respect to this Award. The Administrator, in its sole discretion and pursuant to such procedures as it may specify from time to time, may permit or require Participant to satisfy Participant’s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hAnsi="Times New Roman"/>
          <w:b/>
          <w:color w:val="000000"/>
          <w:sz w:val="24"/>
        </w:rPr>
        <w:t>Net Share Withholding</w:t>
      </w:r>
      <w:r>
        <w:rPr>
          <w:color w:val="000000"/>
        </w:rPr>
        <w:t>”</w:t>
      </w:r>
      <w:r>
        <w:rPr>
          <w:rFonts w:ascii="Times New Roman" w:hAnsi="Times New Roman"/>
          <w:color w:val="000000"/>
          <w:sz w:val="24"/>
        </w:rPr>
        <w:t>), (iii) withholding the amount of such Withholding Obligations from Participant’s wages or other cash compensation paid to Participant by the applicable Service Recipient(s), (iv) delivering to the Company Shares that Participant owns and that already have vested with a fair market value equal to the Withholding Obligations (or such greater amount as Participant may elect if permitted by the Administrator, if such greater amount would not result in adverse financial accounting consequences), (v) selling a sufficient number of such Shares otherwise releasable to Participant, through such means as the Company may determine in its sole discretion (whether through a broker or otherwise) equal to the minimum amount that is necessary to meet the withholding requirement for such Withholding Obligations (or such greater amount as Participant may elect if permitted by the Administrator, if such greater amount would not result in adverse financial accounting consequences) (“</w:t>
      </w:r>
      <w:r>
        <w:rPr>
          <w:rFonts w:ascii="Times New Roman" w:hAnsi="Times New Roman"/>
          <w:b/>
          <w:color w:val="000000"/>
          <w:sz w:val="24"/>
        </w:rPr>
        <w:t>Sell to Cover</w:t>
      </w:r>
      <w:r>
        <w:rPr>
          <w:color w:val="000000"/>
        </w:rPr>
        <w:t>”</w:t>
      </w:r>
      <w:r>
        <w:rPr>
          <w:rFonts w:ascii="Times New Roman" w:hAnsi="Times New Roman"/>
          <w:color w:val="000000"/>
          <w:sz w:val="24"/>
        </w:rPr>
        <w:t>), or (vi) such other means as the Administrator deems appropriate. If the Withholding Obligations are satisfied by withholding in Shares, for tax purposes, Participant is deemed to have been issued, and had released from escrow, the full number of vested Shares subject to this Award, notwithstanding that a number of the Shares are held back solely for the purpose of paying the Withholding Obligations. To the extent determined appropriate by the Administrator in its discretion, the Administrator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Participant for the value of the portion of a Share, if any, withheld in excess of the Withholding Obligations. If a Sell to Cover is the method by which Withholding Obligations are satisfied, Participant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Participant in accordance with procedures the Company may specify from time to time.</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b/>
          <w:color w:val="000000"/>
          <w:sz w:val="24"/>
        </w:rPr>
        <w:t>Tax Consequences</w:t>
      </w:r>
      <w:r>
        <w:rPr>
          <w:rFonts w:ascii="Times New Roman" w:hAnsi="Times New Roman"/>
          <w:color w:val="000000"/>
          <w:sz w:val="24"/>
        </w:rPr>
        <w:t xml:space="preserve">. Participant has reviewed with his or her own tax advisers the U.S. federal, state, local and non-U.S. tax consequences of this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w:t>
      </w:r>
    </w:p>
    <w:p>
      <w:pPr>
        <w:pStyle w:val="TextBody"/>
        <w:bidi w:val="0"/>
        <w:jc w:val="center"/>
        <w:rPr>
          <w:rFonts w:ascii="Times New Roman" w:hAnsi="Times New Roman"/>
          <w:sz w:val="20"/>
        </w:rPr>
      </w:pPr>
      <w:r>
        <w:rPr>
          <w:rFonts w:ascii="Times New Roman" w:hAnsi="Times New Roman"/>
          <w:color w:val="000000"/>
          <w:sz w:val="24"/>
        </w:rPr>
        <w:t>- 3</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ind w:left="720" w:right="0" w:hanging="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Participant’s own tax liability that may arise as a result of this investment or the transactions contemplated by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b/>
          <w:color w:val="000000"/>
          <w:sz w:val="24"/>
        </w:rPr>
        <w:t>Company’s Obligation to Release Shares</w:t>
      </w:r>
      <w:r>
        <w:rPr>
          <w:rFonts w:ascii="Times New Roman" w:hAnsi="Times New Roman"/>
          <w:color w:val="000000"/>
          <w:sz w:val="24"/>
        </w:rPr>
        <w:t>. For clarification purposes, in no event will the Company release Shares from the escrow established pursuant to Section 13 unless and until arrangements satisfactory to the Administrator have been made for the payment of Participant’s Withholding Obligations. If Participant fails to make satisfactory arrangements for the payment of such Withholding Obligations hereunder at the time any applicable Shares of Restricted Stock otherwise are scheduled to vest pursuant to Sections 2 or 3, at the time Participant files a timely 83(b) Election with the IRS, or Participant’s Withholding Obligations otherwise become due, Participant permanently will forfeit such Shares of Restricted Stock to which Participant’s Withholding Obligation relates and any right to receive Shares thereunder and such Shares of Restricted Stock will be returned to the Company at no cost to the Company. Participant acknowledges and agrees that the Company may refuse to issue or deliver the Shares if such Withholding Obligations are not delivered at the time they are due.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b/>
          <w:color w:val="000000"/>
          <w:sz w:val="24"/>
        </w:rPr>
        <w:t>Rights as Stockholder</w:t>
      </w:r>
      <w:r>
        <w:rPr>
          <w:rFonts w:ascii="Times New Roman" w:hAnsi="Times New Roman"/>
          <w:color w:val="000000"/>
          <w:sz w:val="24"/>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or the Escrow Agent. After such issuance, recordation and delivery, Participant will have all the rights of a stockholder of the Company with respect to voting such Shares and receipt of dividends and distributions on such Shares. Except as provided in Section 13(f), after such issuance, recordation and delivery, Participant will have all the rights of a stockholder of the Company with respect to voting such Shares and receipt of dividends and distributions on such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b/>
          <w:color w:val="000000"/>
          <w:sz w:val="24"/>
        </w:rPr>
        <w:t>No Guarantee of Continued Service</w:t>
      </w:r>
      <w:r>
        <w:rPr>
          <w:rFonts w:ascii="Times New Roman" w:hAnsi="Times New Roman"/>
          <w:color w:val="000000"/>
          <w:sz w:val="24"/>
        </w:rPr>
        <w:t>. PARTICIPANT ACKNOWLEDGES AND AGREES THAT THE VESTING OF THE SHARES OF RESTRICTED STOCK PURSUANT TO THE VESTING SCHEDULE HEREOF IS EARNED ONLY BY CONTINUING AS A SERVICE PROVIDER, WHICH UNLESS PROVIDED OTHERWISE UNDER APPLICABLE LAWS IS AT THE WILL OF THE APPLICABLE SERVICE RECIPIENT AND NOT THROUGH THE ACT OF BEING HIRED, BEING GRANTED THIS RESTRICTED STOCK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b/>
          <w:color w:val="000000"/>
          <w:sz w:val="24"/>
        </w:rPr>
        <w:t>Grant is Not Transferable</w:t>
      </w:r>
      <w:r>
        <w:rPr>
          <w:rFonts w:ascii="Times New Roman" w:hAnsi="Times New Roman"/>
          <w:color w:val="000000"/>
          <w:sz w:val="24"/>
        </w:rPr>
        <w:t xml:space="preserve">. Except for the escrow described in Section 13 or transfer of the Shares to the Company or its assignees contemplated by this Award Agreement, and except to the limited extent provided in Section 5, the unvested Shares subject to this Award Agreement and the rights and privileges conferred hereby will not be transferred, assigned, pledged or hypothecated in </w:t>
      </w:r>
    </w:p>
    <w:p>
      <w:pPr>
        <w:pStyle w:val="TextBody"/>
        <w:bidi w:val="0"/>
        <w:jc w:val="center"/>
        <w:rPr>
          <w:rFonts w:ascii="Times New Roman" w:hAnsi="Times New Roman"/>
          <w:sz w:val="20"/>
        </w:rPr>
      </w:pPr>
      <w:r>
        <w:rPr>
          <w:rFonts w:ascii="Times New Roman" w:hAnsi="Times New Roman"/>
          <w:color w:val="000000"/>
          <w:sz w:val="24"/>
        </w:rPr>
        <w:t>- 4</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ind w:left="720" w:right="0" w:hanging="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way (whether by operation of law or otherwise) and will not be subject to sale under execution, attachment or similar process until such Shares shall have vested in accordance with the provisions of this Award Agreement. Upon any attempt to transfer, assign, pledge, hypothecate or otherwise dispose of the unvested Shares subject to this Award Agreement, or any right or privilege conferred hereby, or upon any attempted sale under any execution, attachment or similar process, the then-unvested Shares of Restricted Stock will thereupon be forfeited at no cost to the Company and Participant will have no further rights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b/>
          <w:color w:val="000000"/>
          <w:sz w:val="24"/>
        </w:rPr>
        <w:t>Nature of Grant</w:t>
      </w:r>
      <w:r>
        <w:rPr>
          <w:rFonts w:ascii="Times New Roman" w:hAnsi="Times New Roman"/>
          <w:color w:val="000000"/>
          <w:sz w:val="24"/>
        </w:rPr>
        <w:t>. In accepting this Award of Restricted Stock, Participant acknowledges, understands and agrees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grant of the Shares of Restricted Stock is voluntary and occasional and does not create any contractual or other right to receive future grants of Shares of Restricted Stock, or benefits in lieu of Shares of Restricted Stock, even if Shares of Restricted Stock have been granted in the past;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all decisions with respect to future grants of Restricted Stock or other grants, if any, will be at the sole discretion of the Administrator;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Participant is voluntarily participating in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Shares of Restricted Stock are not intended to replace any pension rights or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Shares of Restricted Stock, and the income and value of same, are not part of normal or expected compensation for purposes of calculating any severance, resignation, termination, redundancy, dismissal, end-of-service payments, bonuses, long-service awards, pension or retirement or welfare benefits or similar payments;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future value of the underlying Shares is unknown, indeterminable and cannot be predicted with certainty;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for purposes of the Shares of Restricted Stock,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this Restricted Stock Award (including whether Participant may still be considered to be providing services while on a leave of absence and consistent with local law); </w:t>
      </w:r>
    </w:p>
    <w:p>
      <w:pPr>
        <w:pStyle w:val="TextBody"/>
        <w:bidi w:val="0"/>
        <w:jc w:val="center"/>
        <w:rPr>
          <w:rFonts w:ascii="Times New Roman" w:hAnsi="Times New Roman"/>
          <w:sz w:val="20"/>
        </w:rPr>
      </w:pPr>
      <w:r>
        <w:rPr>
          <w:rFonts w:ascii="Times New Roman" w:hAnsi="Times New Roman"/>
          <w:color w:val="000000"/>
          <w:sz w:val="24"/>
        </w:rPr>
        <w:t>- 5</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ind w:left="720" w:right="0" w:hanging="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provided in the Plan or by the Administrator in its discretion, the Shares of Restricted Stock and the benefits evidenced by this Award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provisions apply only if Participant is providing services outside the United States: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Shares of Restricted Stock are not part of normal or expected compensation or salary for any purpose;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Participant acknowledges and agrees that no Service Recipient shall be liable for any foreign exchange rate fluctuation between Participant’s local currency and the United States Dollar that may affect the value of the Shares of Restricted Stock or the subsequent sale of any Shares;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claim or entitlement to compensation or damages shall arise from forfeiture of the Restricted Stock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b/>
          <w:color w:val="000000"/>
          <w:sz w:val="24"/>
        </w:rPr>
        <w:t>No Advice Regarding Grant</w:t>
      </w:r>
      <w:r>
        <w:rPr>
          <w:rFonts w:ascii="Times New Roman" w:hAnsi="Times New Roman"/>
          <w:color w:val="000000"/>
          <w:sz w:val="24"/>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advisers regarding his or her participation in the Plan before taking any action related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Data Privacy. Participant hereby explicitly and unambiguously consents to the collection, use and transfer, in electronic or other form, of Participant’s personal data as described in this Award Agreement and any other Restricted Stock grant materials by and among, as applicable, the Service Recipients for the exclusive purpose of implementing, administering and managing Participant’s participation in the Plan.</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4"/>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Shares of Restricted Stock or any other entitlement to Shares awarded, canceled, exercised, vested,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- 6</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ind w:left="720" w:right="0" w:hanging="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4"/>
        </w:rPr>
        <w:t>unvested or outstanding in Participant’s favor (“Data”), for the exclusive purpose of implementing, administering and managing the Plan.</w:t>
      </w:r>
      <w:r>
        <w:rPr>
          <w:rFonts w:ascii="Times New Roman" w:hAnsi="Times New Roman"/>
          <w:color w:val="000000"/>
          <w:sz w:val="20"/>
        </w:rPr>
        <w:t xml:space="preserve"> </w:t>
      </w:r>
    </w:p>
    <w:p>
      <w:pPr>
        <w:pStyle w:val="TextBody"/>
        <w:bidi w:val="0"/>
        <w:jc w:val="both"/>
        <w:rPr>
          <w:rFonts w:ascii="Times New Roman" w:hAnsi="Times New Roman"/>
          <w:b/>
          <w:i/>
          <w:color w:val="000000"/>
          <w:sz w:val="24"/>
        </w:rPr>
      </w:pPr>
      <w:r>
        <w:rPr>
          <w:rFonts w:ascii="Times New Roman" w:hAnsi="Times New Roman"/>
          <w:b/>
          <w:i/>
          <w:color w:val="000000"/>
          <w:sz w:val="24"/>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b/>
          <w:color w:val="000000"/>
          <w:sz w:val="24"/>
        </w:rPr>
        <w:t>Escrow of Shares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All Shares of Restricted Stock will, upon execution of this Award Agreement, be delivered and deposited with an escrow holder designated by the Company (the “</w:t>
      </w:r>
      <w:r>
        <w:rPr>
          <w:rFonts w:ascii="Times New Roman" w:hAnsi="Times New Roman"/>
          <w:b/>
          <w:color w:val="000000"/>
          <w:sz w:val="24"/>
        </w:rPr>
        <w:t>Escrow Holder</w:t>
      </w:r>
      <w:r>
        <w:rPr>
          <w:color w:val="000000"/>
        </w:rPr>
        <w:t>”</w:t>
      </w:r>
      <w:r>
        <w:rPr>
          <w:rFonts w:ascii="Times New Roman" w:hAnsi="Times New Roman"/>
          <w:color w:val="000000"/>
          <w:sz w:val="24"/>
        </w:rPr>
        <w:t>). The Shares of Restricted Stock will be held by the Escrow Holder until such time as the Shares of Restricted Stock vest or the date Participant ceases to be a Service Provider.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Escrow Holder will not be liable for any act it may do or omit to do with respect to holding the Shares of Restricted Stock in escrow and while acting in good faith and in the exercise of its judgment.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Upon Participant’s termination as a Service Provider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w:t>
        <w:noBreakHyphen/>
        <w:t>in</w:t>
        <w:noBreakHyphen/>
        <w:t xml:space="preserve">fact with irrevocable power and authority in the name and on behalf of Participant to take </w:t>
      </w:r>
    </w:p>
    <w:p>
      <w:pPr>
        <w:pStyle w:val="TextBody"/>
        <w:bidi w:val="0"/>
        <w:jc w:val="center"/>
        <w:rPr>
          <w:rFonts w:ascii="Times New Roman" w:hAnsi="Times New Roman"/>
          <w:sz w:val="20"/>
        </w:rPr>
      </w:pPr>
      <w:r>
        <w:rPr>
          <w:rFonts w:ascii="Times New Roman" w:hAnsi="Times New Roman"/>
          <w:color w:val="000000"/>
          <w:sz w:val="24"/>
        </w:rPr>
        <w:t>- 7</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ind w:left="720" w:right="0" w:hanging="0"/>
        <w:jc w:val="left"/>
        <w:rPr/>
      </w:pPr>
      <w:r>
        <w:rPr/>
        <w:t> </w:t>
      </w:r>
    </w:p>
    <w:p>
      <w:pPr>
        <w:pStyle w:val="TextBody"/>
        <w:bidi w:val="0"/>
        <w:spacing w:before="240" w:after="283"/>
        <w:jc w:val="both"/>
        <w:rPr/>
      </w:pPr>
      <w:r>
        <w:rPr>
          <w:rFonts w:ascii="Times New Roman" w:hAnsi="Times New Roman"/>
          <w:color w:val="000000"/>
          <w:sz w:val="24"/>
        </w:rPr>
        <w:t>any action and execute all documents and instruments, including, without limitation, stock powers which may be necessary to transfer the certificate or certificates evidencing such unvested Shares of Restricted Stock to the Company upon such termination.</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Escrow Holder will take all steps necessary to accomplish the transfer of Shares of Restricted Stock to Participant after they vest following Participant’s request that the Escrow Holder do so.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Subject to the terms hereof, Participant shall have all the rights of a stockholder with respect to such Shares while they are held in escrow, including without limitation, the right to vote the Shares and receive any cash dividends declared thereon.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of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the Shares of Restricted Stock will be increased, reduced or otherwise changed, and by virtue of any such change Participant in his or her capacity as owner of unvested Shares of Restricted Stock will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may instruct the transfer agent for its Common Stock to place a legend on the certificates representing the Restricted Stock or otherwise note its records as to the restrictions on transfer set forth in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b/>
          <w:color w:val="000000"/>
          <w:sz w:val="24"/>
        </w:rPr>
        <w:t>Address for Notices</w:t>
      </w:r>
      <w:r>
        <w:rPr>
          <w:rFonts w:ascii="Times New Roman" w:hAnsi="Times New Roman"/>
          <w:color w:val="000000"/>
          <w:sz w:val="24"/>
        </w:rPr>
        <w:t>. Any notice to be given to the Company under the terms of this Award Agreement will be addressed to the Company at Sarcos Technology and Robotics Corporation, 650 South 500 West, Suite 150, Salt Lake City, Utah 84101, or at such other address as the Company may hereafter designate in writing.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b/>
          <w:color w:val="000000"/>
          <w:sz w:val="24"/>
        </w:rPr>
        <w:t>Successors and Assigns</w:t>
      </w:r>
      <w:r>
        <w:rPr>
          <w:rFonts w:ascii="Times New Roman" w:hAnsi="Times New Roman"/>
          <w:color w:val="000000"/>
          <w:sz w:val="24"/>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pStyle w:val="TextBody"/>
        <w:bidi w:val="0"/>
        <w:jc w:val="center"/>
        <w:rPr>
          <w:rFonts w:ascii="Times New Roman" w:hAnsi="Times New Roman"/>
          <w:sz w:val="20"/>
        </w:rPr>
      </w:pPr>
      <w:r>
        <w:rPr>
          <w:rFonts w:ascii="Times New Roman" w:hAnsi="Times New Roman"/>
          <w:color w:val="000000"/>
          <w:sz w:val="24"/>
        </w:rPr>
        <w:t>- 8</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ind w:left="720" w:right="0" w:hanging="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b/>
          <w:color w:val="000000"/>
          <w:sz w:val="24"/>
        </w:rPr>
        <w:t>Additional Conditions to Issuance of Stock</w:t>
      </w:r>
      <w:r>
        <w:rPr>
          <w:rFonts w:ascii="Times New Roman" w:hAnsi="Times New Roman"/>
          <w:color w:val="000000"/>
          <w:sz w:val="24"/>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Participant (or his or her estate) or the Escrow Holder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(or make any entry on the books of the Company or of a duly authorized transfer agent of the Company of) Shares hereunder prior to the lapse of such reasonable period of time following the Date of Grant of the Shares of Restricted Stock as the Administrator may establish from time to time for reasons of administrative convenience.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b/>
          <w:color w:val="000000"/>
          <w:sz w:val="24"/>
        </w:rPr>
        <w:t>Language</w:t>
      </w:r>
      <w:r>
        <w:rPr>
          <w:rFonts w:ascii="Times New Roman" w:hAnsi="Times New Roman"/>
          <w:color w:val="000000"/>
          <w:sz w:val="24"/>
        </w:rPr>
        <w:t>. If Participant has received this Award Agreement or any other document related to the Plan translated into a language other than English and if the meaning of the translated version is different than the English version, the English version will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b/>
          <w:color w:val="000000"/>
          <w:sz w:val="24"/>
        </w:rPr>
        <w:t>Interpretation</w:t>
      </w:r>
      <w:r>
        <w:rPr>
          <w:rFonts w:ascii="Times New Roman" w:hAnsi="Times New Roman"/>
          <w:color w:val="000000"/>
          <w:sz w:val="24"/>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b/>
          <w:color w:val="000000"/>
          <w:sz w:val="24"/>
        </w:rPr>
        <w:t>Electronic Delivery and Acceptance</w:t>
      </w:r>
      <w:r>
        <w:rPr>
          <w:rFonts w:ascii="Times New Roman" w:hAnsi="Times New Roman"/>
          <w:color w:val="000000"/>
          <w:sz w:val="24"/>
        </w:rPr>
        <w:t>. The Company may, in its sole discretion, decide to deliver any documents related to the Shares of Restricted Stock awarded under the Plan or future Shares of Restricted Stock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b/>
          <w:color w:val="000000"/>
          <w:sz w:val="24"/>
        </w:rPr>
        <w:t>Captions</w:t>
      </w:r>
      <w:r>
        <w:rPr>
          <w:rFonts w:ascii="Times New Roman" w:hAnsi="Times New Roman"/>
          <w:color w:val="000000"/>
          <w:sz w:val="24"/>
        </w:rPr>
        <w:t>. Captions provided herein are for convenience only and are not to serve as a basis for interpretation or construction of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b/>
          <w:color w:val="000000"/>
          <w:sz w:val="24"/>
        </w:rPr>
        <w:t>Amendment, Suspension or Termination of the Plan</w:t>
      </w:r>
      <w:r>
        <w:rPr>
          <w:rFonts w:ascii="Times New Roman" w:hAnsi="Times New Roman"/>
          <w:color w:val="000000"/>
          <w:sz w:val="24"/>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Administrator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b/>
          <w:color w:val="000000"/>
          <w:sz w:val="24"/>
        </w:rPr>
        <w:t>Country Addendum</w:t>
      </w:r>
      <w:r>
        <w:rPr>
          <w:rFonts w:ascii="Times New Roman" w:hAnsi="Times New Roman"/>
          <w:color w:val="000000"/>
          <w:sz w:val="24"/>
        </w:rPr>
        <w:t xml:space="preserve">. Notwithstanding any provisions in this Award Agreement, the Restricted Stock grant shall be subject to any special terms and conditions set forth in an appendix (if </w:t>
      </w:r>
    </w:p>
    <w:p>
      <w:pPr>
        <w:pStyle w:val="TextBody"/>
        <w:bidi w:val="0"/>
        <w:jc w:val="center"/>
        <w:rPr>
          <w:rFonts w:ascii="Times New Roman" w:hAnsi="Times New Roman"/>
          <w:sz w:val="20"/>
        </w:rPr>
      </w:pPr>
      <w:r>
        <w:rPr>
          <w:rFonts w:ascii="Times New Roman" w:hAnsi="Times New Roman"/>
          <w:color w:val="000000"/>
          <w:sz w:val="24"/>
        </w:rPr>
        <w:t>- 9</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ind w:left="720" w:right="0" w:hanging="0"/>
        <w:jc w:val="left"/>
        <w:rPr/>
      </w:pPr>
      <w:r>
        <w:rPr/>
        <w:t> </w:t>
      </w:r>
    </w:p>
    <w:p>
      <w:pPr>
        <w:pStyle w:val="TextBody"/>
        <w:bidi w:val="0"/>
        <w:spacing w:before="240" w:after="283"/>
        <w:jc w:val="both"/>
        <w:rPr/>
      </w:pPr>
      <w:r>
        <w:rPr>
          <w:rFonts w:ascii="Times New Roman" w:hAnsi="Times New Roman"/>
          <w:color w:val="000000"/>
          <w:sz w:val="24"/>
        </w:rPr>
        <w:t>any) to this Award Agreement for any country whose laws are applicable to Participant and this Award of Restricted Stock (as determined by the Administrator in its sole discretion) (the “</w:t>
      </w:r>
      <w:r>
        <w:rPr>
          <w:rFonts w:ascii="Times New Roman" w:hAnsi="Times New Roman"/>
          <w:b/>
          <w:color w:val="000000"/>
          <w:sz w:val="24"/>
        </w:rPr>
        <w:t>Country Addendum</w:t>
      </w:r>
      <w:r>
        <w:rPr>
          <w:color w:val="000000"/>
        </w:rPr>
        <w:t>”</w:t>
      </w:r>
      <w:r>
        <w:rPr>
          <w:rFonts w:ascii="Times New Roman" w:hAnsi="Times New Roman"/>
          <w:color w:val="000000"/>
          <w:sz w:val="24"/>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b/>
          <w:color w:val="000000"/>
          <w:sz w:val="24"/>
        </w:rPr>
        <w:t>Modifications to the Award Agreement</w:t>
      </w:r>
      <w:r>
        <w:rPr>
          <w:rFonts w:ascii="Times New Roman" w:hAnsi="Times New Roman"/>
          <w:color w:val="000000"/>
          <w:sz w:val="24"/>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Shares of Restricted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rFonts w:ascii="Times New Roman" w:hAnsi="Times New Roman"/>
          <w:b/>
          <w:color w:val="000000"/>
          <w:sz w:val="24"/>
        </w:rPr>
        <w:t>No Waiver</w:t>
      </w:r>
      <w:r>
        <w:rPr>
          <w:rFonts w:ascii="Times New Roman" w:hAnsi="Times New Roman"/>
          <w:color w:val="000000"/>
          <w:sz w:val="24"/>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pPr>
      <w:r>
        <w:rPr>
          <w:rFonts w:ascii="Times New Roman" w:hAnsi="Times New Roman"/>
          <w:b/>
          <w:color w:val="000000"/>
          <w:sz w:val="24"/>
        </w:rPr>
        <w:t>Governing Law; Severability</w:t>
      </w:r>
      <w:r>
        <w:rPr>
          <w:rFonts w:ascii="Times New Roman" w:hAnsi="Times New Roman"/>
          <w:color w:val="000000"/>
          <w:sz w:val="24"/>
        </w:rPr>
        <w:t>. This Award Agreement and the Shares of Restricted Stock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both"/>
        <w:rPr/>
      </w:pPr>
      <w:r>
        <w:rPr>
          <w:rFonts w:ascii="Times New Roman" w:hAnsi="Times New Roman"/>
          <w:b/>
          <w:color w:val="000000"/>
          <w:sz w:val="24"/>
        </w:rPr>
        <w:t>Entire Agreement</w:t>
      </w:r>
      <w:r>
        <w:rPr>
          <w:rFonts w:ascii="Times New Roman" w:hAnsi="Times New Roman"/>
          <w:color w:val="000000"/>
          <w:sz w:val="24"/>
        </w:rPr>
        <w:t>. The Plan is incorporated herein by reference.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Participant with respect to the subject matter hereof, and may not be modified adversely to Participant’s interest except by means of a writing signed by the Company and Participant.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jc w:val="center"/>
        <w:rPr>
          <w:rFonts w:ascii="Times New Roman" w:hAnsi="Times New Roman"/>
          <w:sz w:val="20"/>
        </w:rPr>
      </w:pPr>
      <w:r>
        <w:rPr>
          <w:rFonts w:ascii="Times New Roman" w:hAnsi="Times New Roman"/>
          <w:color w:val="000000"/>
          <w:sz w:val="24"/>
        </w:rPr>
        <w:t>- 10</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ind w:left="720" w:right="0" w:hanging="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APPENDIX A</w:t>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SARCOS TECHNOLOGY AND ROBOTICS CORPORATION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2021 EQUITY INCENTIVE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COUNTRY ADDENDUM TO RESTRICTED STOCK AWARD AGREEMENT</w:t>
      </w:r>
    </w:p>
    <w:p>
      <w:pPr>
        <w:pStyle w:val="TextBody"/>
        <w:bidi w:val="0"/>
        <w:spacing w:before="240" w:after="283"/>
        <w:jc w:val="both"/>
        <w:rPr>
          <w:rFonts w:ascii="Times New Roman" w:hAnsi="Times New Roman"/>
          <w:sz w:val="20"/>
        </w:rPr>
      </w:pPr>
      <w:r>
        <w:rPr>
          <w:rFonts w:ascii="Times New Roman" w:hAnsi="Times New Roman"/>
          <w:color w:val="000000"/>
          <w:sz w:val="24"/>
        </w:rPr>
        <w:t>Unless otherwise defined herein, capitalized terms used in this Country Addendum to Restricted Stock Award Agreement (the “</w:t>
      </w:r>
      <w:r>
        <w:rPr>
          <w:rFonts w:ascii="Times New Roman" w:hAnsi="Times New Roman"/>
          <w:b/>
          <w:color w:val="000000"/>
          <w:sz w:val="24"/>
        </w:rPr>
        <w:t>Country Addendum</w:t>
      </w:r>
      <w:r>
        <w:rPr>
          <w:rFonts w:ascii="Times New Roman" w:hAnsi="Times New Roman"/>
          <w:color w:val="000000"/>
          <w:sz w:val="20"/>
        </w:rPr>
        <w:t>”</w:t>
      </w:r>
      <w:r>
        <w:rPr>
          <w:rFonts w:ascii="Times New Roman" w:hAnsi="Times New Roman"/>
          <w:color w:val="000000"/>
          <w:sz w:val="24"/>
        </w:rPr>
        <w:t>) will be ascribed the same defined meanings as set forth in the Restricted Stock Award Agreement of which this Country Addendum forms a part (or the Plan or other written agreement as specified in the Restricted Stock Award Agreement).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sz w:val="20"/>
        </w:rPr>
      </w:pPr>
      <w:r>
        <w:rPr>
          <w:rFonts w:ascii="Times New Roman" w:hAnsi="Times New Roman"/>
          <w:color w:val="000000"/>
          <w:sz w:val="24"/>
        </w:rPr>
        <w:t>This Country Addendum includes additional terms and conditions that govern the Award of Restricted Stock granted pursuant to the terms and conditions of the Sarcos Technology and Robotics Corporation 2021 Equity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and the Restricted Stock Award Agreement to which this Country Addendum is attached (the “</w:t>
      </w:r>
      <w:r>
        <w:rPr>
          <w:rFonts w:ascii="Times New Roman" w:hAnsi="Times New Roman"/>
          <w:b/>
          <w:color w:val="000000"/>
          <w:sz w:val="24"/>
        </w:rPr>
        <w:t>Restricted Stock Award Agreement</w:t>
      </w:r>
      <w:r>
        <w:rPr>
          <w:rFonts w:ascii="Times New Roman" w:hAnsi="Times New Roman"/>
          <w:color w:val="000000"/>
          <w:sz w:val="20"/>
        </w:rPr>
        <w:t>”</w:t>
      </w:r>
      <w:r>
        <w:rPr>
          <w:rFonts w:ascii="Times New Roman" w:hAnsi="Times New Roman"/>
          <w:color w:val="000000"/>
          <w:sz w:val="24"/>
        </w:rPr>
        <w:t>) to the extent the individual to whom the Shares of Restricted Stock were granted (“</w:t>
      </w:r>
      <w:r>
        <w:rPr>
          <w:rFonts w:ascii="Times New Roman" w:hAnsi="Times New Roman"/>
          <w:b/>
          <w:color w:val="000000"/>
          <w:sz w:val="24"/>
        </w:rPr>
        <w:t>Participant</w:t>
      </w:r>
      <w:r>
        <w:rPr>
          <w:rFonts w:ascii="Times New Roman" w:hAnsi="Times New Roman"/>
          <w:color w:val="000000"/>
          <w:sz w:val="20"/>
        </w:rPr>
        <w:t>”</w:t>
      </w:r>
      <w:r>
        <w:rPr>
          <w:rFonts w:ascii="Times New Roman" w:hAnsi="Times New Roman"/>
          <w:color w:val="000000"/>
          <w:sz w:val="24"/>
        </w:rPr>
        <w:t>) resides and/or works in one of the countries listed below. If Participant is a citizen or resident (or is considered as such for local law purposes) of a country other than the country in which Participant is currently residing and/or working, or if Participant relocates to another country after the Award of Restricted Stock is granted, the Company, in its discretion, will determine to what extent the terms and conditions contained herein will apply to Participant.</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color w:val="000000"/>
          <w:sz w:val="24"/>
        </w:rPr>
        <w:t>This Country Addendum also may include information regarding exchange controls and certain other issues of which Participant should be aware with respect to his or her participation in the Plan. The information is based on the securities, exchange control and other Applicable Laws in effect in the respective countries as of [______], 20[___]. Such Applicable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Shares of Restricted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In addition, the information contained in this Country Addendum is general in nature and may not apply to Participant’s particular situation, and the Company is not in a position to assure Participant of any particular result. Participant should seek appropriate professional advice as to how the Applicable Laws in Participant’s country may apply to his or her situation.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Finally, if Participant is a citizen or resident of a country other than the one in which Participant currently is residing and/or working, transfers residence and/or employment to another country after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ind w:left="720" w:right="0" w:hanging="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the grant of the Shares of Restricted Stock, or is considered a resident of another country for local law purposes, the information in this Country Addendum may not apply to Participant in the same manner.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[Jurisdiction specific provisions to be added by local counsel.]</w:t>
      </w:r>
    </w:p>
    <w:p>
      <w:pPr>
        <w:pStyle w:val="TextBody"/>
        <w:bidi w:val="0"/>
        <w:jc w:val="center"/>
        <w:rPr>
          <w:rFonts w:ascii="Times New Roman" w:hAnsi="Times New Roman"/>
          <w:sz w:val="20"/>
        </w:rPr>
      </w:pPr>
      <w:r>
        <w:rPr>
          <w:rFonts w:ascii="Times New Roman" w:hAnsi="Times New Roman"/>
          <w:color w:val="000000"/>
          <w:sz w:val="24"/>
        </w:rPr>
        <w:t>- 2</w:t>
      </w:r>
      <w:r>
        <w:rPr>
          <w:rFonts w:ascii="Times New Roman" w:hAnsi="Times New Roman"/>
          <w:color w:val="000000"/>
          <w:sz w:val="20"/>
        </w:rPr>
        <w:t xml:space="preserve"> </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4" w:name="strc-ex21.htm"/>
      <w:bookmarkStart w:id="55" w:name="ksstrcex21"/>
      <w:bookmarkEnd w:id="54"/>
      <w:bookmarkEnd w:id="55"/>
      <w:r>
        <w:rPr>
          <w:rFonts w:ascii="Times New Roman" w:hAnsi="Times New Roman"/>
          <w:b/>
          <w:color w:val="000000"/>
          <w:sz w:val="20"/>
        </w:rPr>
        <w:t>Exhibit 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Sarcos Technology and Robotics Corporation.</w:t>
      </w:r>
    </w:p>
    <w:p>
      <w:pPr>
        <w:pStyle w:val="TextBody"/>
        <w:bidi w:val="0"/>
        <w:jc w:val="center"/>
        <w:rPr>
          <w:rFonts w:ascii="Times New Roman" w:hAnsi="Times New Roman"/>
          <w:b/>
          <w:color w:val="000000"/>
          <w:sz w:val="20"/>
        </w:rPr>
      </w:pPr>
      <w:r>
        <w:rPr>
          <w:rFonts w:ascii="Times New Roman" w:hAnsi="Times New Roman"/>
          <w:b/>
          <w:color w:val="000000"/>
          <w:sz w:val="20"/>
        </w:rPr>
        <w:t>List of Subsidiaries (as of December 31, 2023)</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are the subsidiaries of Sarcos Technology and Robotics Corporation., omitting certain subsidiaries which, considered in the aggregate, would not constitute a significant subsidiary:</w:t>
      </w:r>
    </w:p>
    <w:tbl>
      <w:tblPr>
        <w:tblW w:w="4562" w:type="dxa"/>
        <w:jc w:val="left"/>
        <w:tblInd w:w="0" w:type="dxa"/>
        <w:tblLayout w:type="fixed"/>
        <w:tblCellMar>
          <w:top w:w="28" w:type="dxa"/>
          <w:left w:w="28" w:type="dxa"/>
          <w:bottom w:w="28" w:type="dxa"/>
          <w:right w:w="28" w:type="dxa"/>
        </w:tblCellMar>
      </w:tblPr>
      <w:tblGrid>
        <w:gridCol w:w="1786"/>
        <w:gridCol w:w="2776"/>
      </w:tblGrid>
      <w:tr>
        <w:trPr/>
        <w:tc>
          <w:tcPr>
            <w:tcW w:w="178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78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Subsidiary</w:t>
            </w:r>
          </w:p>
        </w:tc>
        <w:tc>
          <w:tcPr>
            <w:tcW w:w="2776" w:type="dxa"/>
            <w:tcBorders>
              <w:top w:val="single" w:sz="6" w:space="0" w:color="000000"/>
              <w:bottom w:val="single" w:sz="6" w:space="0" w:color="000000"/>
              <w:right w:val="single" w:sz="6" w:space="0" w:color="000000"/>
            </w:tcBorders>
            <w:tcMar>
              <w:lef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State or Other Jurisdiction of</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Incorporation or Organization</w:t>
            </w:r>
          </w:p>
        </w:tc>
      </w:tr>
      <w:tr>
        <w:trPr/>
        <w:tc>
          <w:tcPr>
            <w:tcW w:w="178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Sarcos Corp.</w:t>
            </w:r>
          </w:p>
        </w:tc>
        <w:tc>
          <w:tcPr>
            <w:tcW w:w="277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Utah</w:t>
            </w:r>
          </w:p>
        </w:tc>
      </w:tr>
      <w:tr>
        <w:trPr/>
        <w:tc>
          <w:tcPr>
            <w:tcW w:w="178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Sarcos Group LC</w:t>
            </w:r>
          </w:p>
        </w:tc>
        <w:tc>
          <w:tcPr>
            <w:tcW w:w="277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Utah</w:t>
            </w:r>
          </w:p>
        </w:tc>
      </w:tr>
      <w:tr>
        <w:trPr/>
        <w:tc>
          <w:tcPr>
            <w:tcW w:w="178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Rememdia LC</w:t>
            </w:r>
          </w:p>
        </w:tc>
        <w:tc>
          <w:tcPr>
            <w:tcW w:w="277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Utah</w:t>
            </w:r>
          </w:p>
        </w:tc>
      </w:tr>
      <w:tr>
        <w:trPr/>
        <w:tc>
          <w:tcPr>
            <w:tcW w:w="178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ZeptoVision, Inc.</w:t>
            </w:r>
          </w:p>
        </w:tc>
        <w:tc>
          <w:tcPr>
            <w:tcW w:w="277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178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RE2 LLC</w:t>
            </w:r>
          </w:p>
        </w:tc>
        <w:tc>
          <w:tcPr>
            <w:tcW w:w="277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6" w:name="strc-ex23.htm"/>
      <w:bookmarkStart w:id="57" w:name="ksstrcex23"/>
      <w:bookmarkEnd w:id="56"/>
      <w:bookmarkEnd w:id="57"/>
      <w:r>
        <w:rPr>
          <w:rFonts w:ascii="Times New Roman" w:hAnsi="Times New Roman"/>
          <w:b/>
          <w:color w:val="000000"/>
          <w:sz w:val="20"/>
        </w:rPr>
        <w:t>Exhibit 23</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consent to the incorporation by reference in the Registration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Registration Statement (Form S-8 No. 333-261553) pertaining to the Sarcos Technology and Robotics Corporation 2021 Equity Incentive Plan; Sarcos Technology and Robotics Corporation 2021 Employee Stock Purchase Plan; and Sarcos Corp. 2015 Equity Incentive Plan of Sarcos Technology and Robotics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Registration Statement (Form S-8 No. 333-264500) pertaining to the RE2, Inc. 2005 Stock Option Plan Amended and Restated (5-7-07); and RE2, Inc. Stock Incentive Plan of 2014 of Sarcos Technology and Robotics Corporation,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S-3 No. 333-268399) of Sarcos Technology and Robotics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S-3 No. 333-264952) (Post-Effective Amendment No. 2 to Form S-1) of Sarcos Technology and Robotics Corporation,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Registration Statement (Form S-3 No. 333-260296) (Post-Effective Amendment No. 2 to Form S-1) of Sarcos Technology and Robotics Corporation,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of our report dated February 28, 2024, with respect to the consolidated financial statements of Sarcos Technology and Robotics Corporation included in this Annual Report (Form 10-K) of Sarcos Technology and Robotics Corporation for the year ended December 31,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Salt Lake City, Utah</w:t>
      </w:r>
    </w:p>
    <w:p>
      <w:pPr>
        <w:pStyle w:val="TextBody"/>
        <w:bidi w:val="0"/>
        <w:jc w:val="left"/>
        <w:rPr>
          <w:rFonts w:ascii="Times New Roman" w:hAnsi="Times New Roman"/>
          <w:color w:val="000000"/>
          <w:sz w:val="20"/>
        </w:rPr>
      </w:pPr>
      <w:r>
        <w:rPr>
          <w:rFonts w:ascii="Times New Roman" w:hAnsi="Times New Roman"/>
          <w:color w:val="000000"/>
          <w:sz w:val="20"/>
        </w:rPr>
        <w:t>February 28, 2024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8" w:name="strc-ex31_1.htm"/>
      <w:bookmarkStart w:id="59" w:name="ksstrcex31_1"/>
      <w:bookmarkEnd w:id="58"/>
      <w:bookmarkEnd w:id="59"/>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Benjamin G. Wolff,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Sarcos Technology and Robotics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 15(f) and 15d 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932" w:type="dxa"/>
        <w:jc w:val="left"/>
        <w:tblInd w:w="0" w:type="dxa"/>
        <w:tblLayout w:type="fixed"/>
        <w:tblCellMar>
          <w:top w:w="28" w:type="dxa"/>
          <w:left w:w="28" w:type="dxa"/>
          <w:bottom w:w="28" w:type="dxa"/>
          <w:right w:w="28" w:type="dxa"/>
        </w:tblCellMar>
      </w:tblPr>
      <w:tblGrid>
        <w:gridCol w:w="2086"/>
        <w:gridCol w:w="109"/>
        <w:gridCol w:w="406"/>
        <w:gridCol w:w="33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Benjamin G. Wolff</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Benjamin G. Wolff</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0" w:name="strc-ex31_2.htm"/>
      <w:bookmarkStart w:id="61" w:name="ksstrcex31_2"/>
      <w:bookmarkEnd w:id="60"/>
      <w:bookmarkEnd w:id="61"/>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Andrew Hamer,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Sarcos Technology and Robotics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 15(f) and 15d 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02" w:type="dxa"/>
        <w:jc w:val="left"/>
        <w:tblInd w:w="0" w:type="dxa"/>
        <w:tblLayout w:type="fixed"/>
        <w:tblCellMar>
          <w:top w:w="28" w:type="dxa"/>
          <w:left w:w="28" w:type="dxa"/>
          <w:bottom w:w="28" w:type="dxa"/>
          <w:right w:w="28" w:type="dxa"/>
        </w:tblCellMar>
      </w:tblPr>
      <w:tblGrid>
        <w:gridCol w:w="2086"/>
        <w:gridCol w:w="109"/>
        <w:gridCol w:w="406"/>
        <w:gridCol w:w="210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Hamer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Hamer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2" w:name="strc-ex32_1.htm"/>
      <w:bookmarkStart w:id="63" w:name="ksstrcex32_1"/>
      <w:bookmarkEnd w:id="62"/>
      <w:bookmarkEnd w:id="63"/>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Sarcos Technology and Robotics Corporation (the “Company”) on Form 10-K for the period ending December 31, 2023 as filed with the Securities and Exchange Commission on the date hereof (the “Report”), I, Benjamin G. Wolff,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932" w:type="dxa"/>
        <w:jc w:val="left"/>
        <w:tblInd w:w="0" w:type="dxa"/>
        <w:tblLayout w:type="fixed"/>
        <w:tblCellMar>
          <w:top w:w="28" w:type="dxa"/>
          <w:left w:w="28" w:type="dxa"/>
          <w:bottom w:w="28" w:type="dxa"/>
          <w:right w:w="28" w:type="dxa"/>
        </w:tblCellMar>
      </w:tblPr>
      <w:tblGrid>
        <w:gridCol w:w="2086"/>
        <w:gridCol w:w="109"/>
        <w:gridCol w:w="406"/>
        <w:gridCol w:w="333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Benjamin G. Wolff</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Benjamin G. Wolff</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4" w:name="strc-ex32_2.htm"/>
      <w:bookmarkStart w:id="65" w:name="ksstrcex32_2"/>
      <w:bookmarkEnd w:id="64"/>
      <w:bookmarkEnd w:id="65"/>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Sarcos Technology and Robotics Corporation (the “Company”) on Form 10-K for the period ending December 31, 2023 as filed with the Securities and Exchange Commission on the date hereof (the “Report”), I, Andrew Hamer,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02" w:type="dxa"/>
        <w:jc w:val="left"/>
        <w:tblInd w:w="0" w:type="dxa"/>
        <w:tblLayout w:type="fixed"/>
        <w:tblCellMar>
          <w:top w:w="28" w:type="dxa"/>
          <w:left w:w="28" w:type="dxa"/>
          <w:bottom w:w="28" w:type="dxa"/>
          <w:right w:w="28" w:type="dxa"/>
        </w:tblCellMar>
      </w:tblPr>
      <w:tblGrid>
        <w:gridCol w:w="2086"/>
        <w:gridCol w:w="109"/>
        <w:gridCol w:w="406"/>
        <w:gridCol w:w="210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Hamer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Andrew Hamer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66" w:name="strc-ex97.htm"/>
      <w:bookmarkStart w:id="67" w:name="ksstrcex97"/>
      <w:bookmarkEnd w:id="66"/>
      <w:bookmarkEnd w:id="67"/>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97</w:t>
      </w:r>
    </w:p>
    <w:p>
      <w:pPr>
        <w:pStyle w:val="TextBody"/>
        <w:bidi w:val="0"/>
        <w:spacing w:before="240" w:after="283"/>
        <w:jc w:val="center"/>
        <w:rPr>
          <w:rFonts w:ascii="Times New Roman" w:hAnsi="Times New Roman"/>
          <w:sz w:val="20"/>
        </w:rPr>
      </w:pPr>
      <w:r>
        <w:rPr>
          <w:rFonts w:ascii="Times New Roman" w:hAnsi="Times New Roman"/>
          <w:b/>
          <w:color w:val="000000"/>
          <w:sz w:val="22"/>
        </w:rPr>
        <w:t>SARCOS TECHNOLOGY AND ROBOTICS CORPORATION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COMPENSATION RECOVERY POLICY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(Adopted on November 16, 2023)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Sarcos Technology and Robotics Corporation (the “Company”) is committed to strong corporate governance. As part of this commitment, the Compensation Committee (the “Committee”) of the Company’s Board of Directors (the “Board”) has adopted this clawback policy called the Compensation Recovery Policy (the “Policy”). The Policy is intended to further the Company’s pay-for-performance philosophy and to comply with applicable laws by providing rules relating to the reasonably prompt recovery of certain compensation received by Covered Executives in the event of an Accounting Restatement. The application of the Policy to Covered Executives is not discretionary, except to the limited extent provided below, and applies without regard to whether a Covered Executive was at fault. Capitalized terms used in the Policy are defined below, and the definitions have substantive impact on its application so reviewing them carefully is important to your understanding.</w:t>
      </w:r>
    </w:p>
    <w:p>
      <w:pPr>
        <w:pStyle w:val="TextBody"/>
        <w:bidi w:val="0"/>
        <w:spacing w:before="240" w:after="283"/>
        <w:jc w:val="both"/>
        <w:rPr>
          <w:rFonts w:ascii="Times New Roman" w:hAnsi="Times New Roman"/>
          <w:sz w:val="20"/>
        </w:rPr>
      </w:pPr>
      <w:r>
        <w:rPr>
          <w:rFonts w:ascii="Times New Roman" w:hAnsi="Times New Roman"/>
          <w:color w:val="000000"/>
          <w:sz w:val="22"/>
        </w:rPr>
        <w:t>The Policy is intended to comply with, and will be interpreted in a manner consistent with, Section 10D of the Securities Exchange Act of 1934 (the “Exchange Act”), with Exchange Act Rule 10D-1 and with the listing standards of the national securities exchange (the “Exchange”) on which the securities of the Company are listed,</w:t>
      </w:r>
      <w:r>
        <w:rPr>
          <w:rFonts w:ascii="Times New Roman" w:hAnsi="Times New Roman"/>
          <w:color w:val="FF0000"/>
          <w:sz w:val="20"/>
        </w:rPr>
        <w:t xml:space="preserve"> </w:t>
      </w:r>
      <w:r>
        <w:rPr>
          <w:rFonts w:ascii="Times New Roman" w:hAnsi="Times New Roman"/>
          <w:color w:val="000000"/>
          <w:sz w:val="22"/>
        </w:rPr>
        <w:t>including any official interpretive guidance.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Persons Covered by the Policy</w:t>
      </w:r>
    </w:p>
    <w:p>
      <w:pPr>
        <w:pStyle w:val="TextBody"/>
        <w:bidi w:val="0"/>
        <w:spacing w:before="240" w:after="283"/>
        <w:jc w:val="both"/>
        <w:rPr>
          <w:rFonts w:ascii="Times New Roman" w:hAnsi="Times New Roman"/>
          <w:color w:val="262626"/>
          <w:sz w:val="22"/>
        </w:rPr>
      </w:pPr>
      <w:r>
        <w:rPr>
          <w:rFonts w:ascii="Times New Roman" w:hAnsi="Times New Roman"/>
          <w:color w:val="262626"/>
          <w:sz w:val="22"/>
        </w:rPr>
        <w:t>The Policy is binding and enforceable against all “Covered Executives.” A Covered Executive is each individual who is or was ever designated as an “officer” by the Board in accordance with Exchange Act Rule 16a-1(f) (a “Section 16 Officer”). The Committee may (but is not obligated to) request or require a Covered Executive to sign and return to the Company an acknowledgement that such Covered Executive will be bound by the terms and comply with the Policy. The Policy is binding on each Covered Executive whether or not the Covered Executive signs and/or returns any acknowledgment.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Administration of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Committee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Accounting Restatements Requiring Application of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“Accounting Restatement”), then the Committee must determine the Excess Compensation, if any, that must be recovered. The Company’s obligation to recover Excess Compensation is not dependent on if or when restated financial statements are filed.</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Compensation Covered by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Policy applies to certain Incentive-Based Compensation (certain terms used in this Section are defined below) that is Received on or after October 2, 2023 (the “Effective Date”), during the Covered Period while the Company has a class of securities listed on a national securities exchange. Such Incentive-Based Compensation is considered “Clawback Eligible Incentive-Based Compensation” if the Incentive-Based Compensation is Received by a person after such person became a Section 16 Officer and the person served as a Section 16 Officer at any time during the performance period for the Incentive-Based Compensation. “Excess Compensation” 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Excess Compensation must be computed without regard to any taxes paid and is referred to in the listings standards as “erroneously awarded compensation”.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that documentation to the Exchange.</w:t>
      </w:r>
    </w:p>
    <w:p>
      <w:pPr>
        <w:pStyle w:val="TextBody"/>
        <w:bidi w:val="0"/>
        <w:spacing w:before="240" w:after="283"/>
        <w:jc w:val="both"/>
        <w:rPr/>
      </w:pPr>
      <w:r>
        <w:rPr>
          <w:color w:val="000000"/>
        </w:rPr>
        <w:t>“</w:t>
      </w:r>
      <w:r>
        <w:rPr>
          <w:rFonts w:ascii="Times New Roman" w:hAnsi="Times New Roman"/>
          <w:color w:val="000000"/>
          <w:sz w:val="22"/>
        </w:rPr>
        <w:t>Incentive-Based Compensation” 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color w:val="000000"/>
          <w:sz w:val="22"/>
        </w:rPr>
        <w:t>Financial Reporting Measures”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Incentive-Based Compensation is “Received” 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pStyle w:val="TextBody"/>
        <w:bidi w:val="0"/>
        <w:spacing w:before="240" w:after="283"/>
        <w:jc w:val="both"/>
        <w:rPr/>
      </w:pPr>
      <w:r>
        <w:rPr>
          <w:color w:val="000000"/>
        </w:rPr>
        <w:t>“</w:t>
      </w:r>
      <w:r>
        <w:rPr>
          <w:rFonts w:ascii="Times New Roman" w:hAnsi="Times New Roman"/>
          <w:color w:val="000000"/>
          <w:sz w:val="22"/>
        </w:rPr>
        <w:t>Covered Period” means the three completed fiscal years immediately preceding the Accounting Restatement Determination Date. In addition, Covered Period can include certain transition periods resulting from a change in the Company’s fiscal year.</w:t>
      </w:r>
      <w:r>
        <w:rPr>
          <w:rFonts w:ascii="Times New Roman" w:hAnsi="Times New Roman"/>
          <w:color w:val="000000"/>
          <w:sz w:val="20"/>
        </w:rPr>
        <w:t xml:space="preserve"> </w:t>
      </w:r>
    </w:p>
    <w:p>
      <w:pPr>
        <w:pStyle w:val="TextBody"/>
        <w:bidi w:val="0"/>
        <w:spacing w:before="240" w:after="283"/>
        <w:jc w:val="both"/>
        <w:rPr>
          <w:color w:val="000000"/>
        </w:rPr>
      </w:pPr>
      <w:r>
        <w:rPr>
          <w:color w:val="000000"/>
        </w:rPr>
        <w:t>“</w:t>
      </w:r>
      <w:r>
        <w:rPr>
          <w:rFonts w:ascii="Times New Roman" w:hAnsi="Times New Roman"/>
          <w:color w:val="000000"/>
          <w:sz w:val="22"/>
        </w:rPr>
        <w:t>Accounting Restatement Determination Date” means the earlier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Repayment of Excess Compensation</w:t>
      </w:r>
    </w:p>
    <w:p>
      <w:pPr>
        <w:pStyle w:val="TextBody"/>
        <w:bidi w:val="0"/>
        <w:spacing w:before="240" w:after="283"/>
        <w:jc w:val="both"/>
        <w:rPr>
          <w:rFonts w:ascii="Times New Roman" w:hAnsi="Times New Roman"/>
          <w:sz w:val="20"/>
        </w:rPr>
      </w:pPr>
      <w:r>
        <w:rPr>
          <w:rFonts w:ascii="Times New Roman" w:hAnsi="Times New Roman"/>
          <w:color w:val="000000"/>
          <w:sz w:val="22"/>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Committee determines to be appropriate (these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determinations do not need to be identical as to each Covered Executive). These means include (but are not limited 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requiring reimbursement of cash Incentive-Based Compensation previously paid;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seeking recovery of any gain realized on the vesting, exercise, settlement, sale, transfer or other disposition of any equity-based awards (including time-based vesting awards), without regard to whether such awards are Incentive-Based Compensation or vest based on the achievement of performance goals;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offsetting the amount to be recovered from any unpaid or future compensation to be paid by the Company or any affiliate of the Company to the Covered Executive, including payments of severance that might otherwise be due in connection with a Covered Executive’s termination of employment and without regard to whether such amounts are Incentive-Based Compensation;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cancelling outstanding vested or unvested equity awards (including time-based vesting awards), without regard to whether such awards are Incentive-Based Compensation; and/or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taking any other remedial and recovery action permitted by law, as determined by the Committee. </w:t>
      </w:r>
    </w:p>
    <w:p>
      <w:pPr>
        <w:pStyle w:val="TextBody"/>
        <w:bidi w:val="0"/>
        <w:spacing w:before="240" w:after="283"/>
        <w:jc w:val="both"/>
        <w:rPr>
          <w:rFonts w:ascii="Times New Roman" w:hAnsi="Times New Roman"/>
          <w:sz w:val="20"/>
        </w:rPr>
      </w:pPr>
      <w:r>
        <w:rPr>
          <w:rFonts w:ascii="Times New Roman" w:hAnsi="Times New Roman"/>
          <w:color w:val="000000"/>
          <w:sz w:val="22"/>
        </w:rPr>
        <w:t>The repayment of Excess Compensation must be made by a Covered Executive notwithstanding any Covered Executive’s belief (whether or not legitimate) that the Excess Compensation had been previously earned under applicable law and therefore is not subject to clawback.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addition to its rights to recovery under the Policy, the Company or any affiliate of the Company may take any legal actions it determines appropriate to enforce a Covered Executive’s obligations to the Company or to discipline a Covered Executive. Failure of a 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For avoidance of doubt, any decisions of the Company or the Covered Executive’s employer to discipline a Covered Executive or terminate the employment of a Covered Executive are independent of determinations under this Policy. For example, if a Covered Executive was involved in activities that led to an Accounting Restatement, the Company’s decision as to whether to not to terminate such Covered Executive’s employment would be made under its employment arrangements with such Covered Executive and the requirement to apply this no-fault and non-discretionary clawback policy will not be determinative of whether any such termination is for cause, although failure to comply with the Policy might be something that could result in a termination for cause depending on the terms of such arrangements.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Limited Exceptions to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must recover the Excess Compensation in accordance with the Policy except to the limited extent that any of the conditions set forth below is met, and the Committee determines that recovery of the Excess Compensation would be impracticable: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Recovery would likely cause an otherwise tax-qualified retirement plan, under which benefits are broadly available to employees of the Company, to fail to meet the legal requirements as such.</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Other Important Information in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pStyle w:val="TextBody"/>
        <w:bidi w:val="0"/>
        <w:spacing w:before="240" w:after="283"/>
        <w:jc w:val="both"/>
        <w:rPr>
          <w:rFonts w:ascii="Times New Roman" w:hAnsi="Times New Roman"/>
          <w:sz w:val="20"/>
        </w:rPr>
      </w:pPr>
      <w:r>
        <w:rPr>
          <w:rFonts w:ascii="Times New Roman" w:hAnsi="Times New Roman"/>
          <w:color w:val="000000"/>
          <w:sz w:val="22"/>
        </w:rPr>
        <w:t>Notwithstanding the terms of any of the Company’s organizational documents (including the Company’s bylaws), any corporate policy or any contract (including any indemnification agreement), neither the Company nor any affiliate of the Company will indemnify or provide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Committee or Board may review and modify the Policy from time to time.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Policy will terminate and no longer be enforceable when the Company ceases to be a listed issuer within the meaning of Section 10D of the Exchange Act.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ACKNOWLEDGEMENT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acknowledge that I have received and read the Compensation Recovery Policy (the “Policy”) of Sarcos Technology and Robotics Corporation (the “Company”).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agree to be bound by and to comply with the Policy and understand that determinations of the Committee (as such term is used in the Policy) will be final and binding and will be given the maximum deference permitted by law.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and agree that my current indemnification rights, whether in an individual agreement or the Company’s organizational documents, exclude the right to be indemnified for amounts required to be recovered under the Policy.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that my failure to comply in all respects with the Policy is a basis for termination of my employment with the Company and any affiliate of the Company as well as any other appropriate discipline.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that neither the Policy, nor the application of the Policy to me, gives rise to a resignation for good reason (or similar concept) by me under any applicable employment agreement or arrangement.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acknowledge that if I have questions concerning the meaning or application of the Policy, it is my responsibility to seek guidance from the Chief Legal Officer, the Legal Department or my own personal advisers.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acknowledge that neither this Acknowledgement nor the Policy is meant to constitute an employment contract.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Please review, sign and return this form to the Legal Department.</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2"/>
              </w:rPr>
            </w:pPr>
            <w:r>
              <w:rPr>
                <w:rFonts w:ascii="Times New Roman" w:hAnsi="Times New Roman"/>
                <w:b/>
                <w:color w:val="000000"/>
                <w:sz w:val="22"/>
              </w:rPr>
              <w:t>Covered Executive</w:t>
            </w:r>
          </w:p>
        </w:tc>
      </w:tr>
      <w:tr>
        <w:trPr/>
        <w:tc>
          <w:tcPr>
            <w:tcW w:w="2026" w:type="dxa"/>
            <w:tcBorders/>
            <w:tcMar>
              <w:top w:w="0" w:type="dxa"/>
              <w:left w:w="0" w:type="dxa"/>
              <w:bottom w:w="0" w:type="dxa"/>
              <w:right w:w="0" w:type="dxa"/>
            </w:tcMar>
            <w:vAlign w:val="center"/>
          </w:tcPr>
          <w:p>
            <w:pPr>
              <w:pStyle w:val="TableContents"/>
              <w:bidi w:val="0"/>
              <w:spacing w:before="360" w:after="283"/>
              <w:jc w:val="left"/>
              <w:rPr/>
            </w:pPr>
            <w:r>
              <w:rPr/>
              <w:t> </w:t>
            </w:r>
          </w:p>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print name</w:t>
            </w:r>
            <w:r>
              <w:rPr>
                <w:rFonts w:ascii="Times New Roman" w:hAnsi="Times New Roman"/>
                <w:color w:val="000000"/>
                <w:sz w:val="22"/>
              </w:rPr>
              <w:t>)</w:t>
            </w:r>
          </w:p>
        </w:tc>
      </w:tr>
      <w:tr>
        <w:trPr/>
        <w:tc>
          <w:tcPr>
            <w:tcW w:w="2026" w:type="dxa"/>
            <w:tcBorders/>
            <w:tcMar>
              <w:top w:w="0" w:type="dxa"/>
              <w:left w:w="0" w:type="dxa"/>
              <w:bottom w:w="0" w:type="dxa"/>
              <w:right w:w="0" w:type="dxa"/>
            </w:tcMar>
            <w:vAlign w:val="center"/>
          </w:tcPr>
          <w:p>
            <w:pPr>
              <w:pStyle w:val="TableContents"/>
              <w:bidi w:val="0"/>
              <w:spacing w:before="360" w:after="283"/>
              <w:jc w:val="left"/>
              <w:rPr/>
            </w:pPr>
            <w:r>
              <w:rPr/>
              <w:t> </w:t>
            </w:r>
          </w:p>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signature</w:t>
            </w:r>
            <w:r>
              <w:rPr>
                <w:rFonts w:ascii="Times New Roman" w:hAnsi="Times New Roman"/>
                <w:color w:val="000000"/>
                <w:sz w:val="22"/>
              </w:rPr>
              <w:t>)</w:t>
            </w:r>
          </w:p>
        </w:tc>
      </w:tr>
      <w:tr>
        <w:trPr/>
        <w:tc>
          <w:tcPr>
            <w:tcW w:w="2026" w:type="dxa"/>
            <w:tcBorders/>
            <w:tcMar>
              <w:top w:w="0" w:type="dxa"/>
              <w:left w:w="0" w:type="dxa"/>
              <w:bottom w:w="0" w:type="dxa"/>
              <w:right w:w="0" w:type="dxa"/>
            </w:tcMar>
            <w:vAlign w:val="center"/>
          </w:tcPr>
          <w:p>
            <w:pPr>
              <w:pStyle w:val="TableContents"/>
              <w:bidi w:val="0"/>
              <w:spacing w:before="360" w:after="283"/>
              <w:jc w:val="left"/>
              <w:rPr/>
            </w:pPr>
            <w:r>
              <w:rPr/>
              <w:t> </w:t>
            </w:r>
          </w:p>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(date)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6681/000121390021020283/ea139001ex2-1_rotoracq.htm" TargetMode="External"/><Relationship Id="rId4" Type="http://schemas.openxmlformats.org/officeDocument/2006/relationships/hyperlink" Target="https://www.sec.gov/Archives/edgar/data/1826681/000156459021046200/rot-ex21_8.htm" TargetMode="External"/><Relationship Id="rId5" Type="http://schemas.openxmlformats.org/officeDocument/2006/relationships/hyperlink" Target="https://www.sec.gov/Archives/edgar/data/1826681/000156459022012046/strc-ex21_6.htm" TargetMode="External"/><Relationship Id="rId6" Type="http://schemas.openxmlformats.org/officeDocument/2006/relationships/hyperlink" Target="https://www.sec.gov/Archives/edgar/data/1826681/000156459021049662/strc-ex31_83.htm" TargetMode="External"/><Relationship Id="rId7" Type="http://schemas.openxmlformats.org/officeDocument/2006/relationships/hyperlink" Target="https://www.sec.gov/Archives/edgar/data/1826681/000095017022023251/strc-ex3_1.htm" TargetMode="External"/><Relationship Id="rId8" Type="http://schemas.openxmlformats.org/officeDocument/2006/relationships/hyperlink" Target="https://www.sec.gov/Archives/edgar/data/1826681/000095017023028943/strc-ex3_1.htm" TargetMode="External"/><Relationship Id="rId9" Type="http://schemas.openxmlformats.org/officeDocument/2006/relationships/hyperlink" Target="https://www.sec.gov/Archives/edgar/data/1826681/000121390020045501/fs12020a1ex4-4_rotoracq.htm" TargetMode="External"/><Relationship Id="rId10" Type="http://schemas.openxmlformats.org/officeDocument/2006/relationships/hyperlink" Target="https://www.sec.gov/Archives/edgar/data/1826681/000121390020045501/fs12020a1ex4-3_rotoracq.htm" TargetMode="External"/><Relationship Id="rId11" Type="http://schemas.openxmlformats.org/officeDocument/2006/relationships/hyperlink" Target="https://www.sec.gov/Archives/edgar/data/1826681/000156459021049662/strc-ex41_82.htm" TargetMode="External"/><Relationship Id="rId12" Type="http://schemas.openxmlformats.org/officeDocument/2006/relationships/hyperlink" Target="https://www.sec.gov/Archives/edgar/data/1826681/000121390021003229/ea133550ex10-4_rotoracqui.htm" TargetMode="External"/><Relationship Id="rId13" Type="http://schemas.openxmlformats.org/officeDocument/2006/relationships/hyperlink" Target="https://www.sec.gov/Archives/edgar/data/1826681/000121390021003229/ea133550ex10-5_rotoracqui.htm" TargetMode="External"/><Relationship Id="rId14" Type="http://schemas.openxmlformats.org/officeDocument/2006/relationships/hyperlink" Target="https://www.sec.gov/Archives/edgar/data/1826681/000121390021020283/ea139001ex10-3_rotoracq.htm" TargetMode="External"/><Relationship Id="rId15" Type="http://schemas.openxmlformats.org/officeDocument/2006/relationships/hyperlink" Target="https://www.sec.gov/Archives/edgar/data/1826681/000121390021020283/ea139001ex10-4_rotoracq.htm" TargetMode="External"/><Relationship Id="rId16" Type="http://schemas.openxmlformats.org/officeDocument/2006/relationships/hyperlink" Target="https://www.sec.gov/Archives/edgar/data/1826681/000121390021020283/ea139001ex10-5_rotoracq.htm" TargetMode="External"/><Relationship Id="rId17" Type="http://schemas.openxmlformats.org/officeDocument/2006/relationships/hyperlink" Target="https://www.sec.gov/Archives/edgar/data/1826681/000156459021049662/strc-ex108_81.htm" TargetMode="External"/><Relationship Id="rId18" Type="http://schemas.openxmlformats.org/officeDocument/2006/relationships/hyperlink" Target="https://www.sec.gov/Archives/edgar/data/1826681/000156459021049662/strc-ex109_80.htm" TargetMode="External"/><Relationship Id="rId19" Type="http://schemas.openxmlformats.org/officeDocument/2006/relationships/hyperlink" Target="https://www.sec.gov/Archives/edgar/data/1826681/000095012321013204/strc-ex1010_795.htm" TargetMode="External"/><Relationship Id="rId20" Type="http://schemas.openxmlformats.org/officeDocument/2006/relationships/hyperlink" Target="https://www.sec.gov/Archives/edgar/data/1826681/000095017024005812/strc-ex10_1.htm" TargetMode="External"/><Relationship Id="rId21" Type="http://schemas.openxmlformats.org/officeDocument/2006/relationships/hyperlink" Target="https://www.sec.gov/Archives/edgar/data/1826681/000156459022033854/strc-ex101_33.htm" TargetMode="External"/><Relationship Id="rId22" Type="http://schemas.openxmlformats.org/officeDocument/2006/relationships/hyperlink" Target="https://www.sec.gov/Archives/edgar/data/1826681/000095017023028608/strc-ex10_2.htm" TargetMode="External"/><Relationship Id="rId23" Type="http://schemas.openxmlformats.org/officeDocument/2006/relationships/hyperlink" Target="https://www.sec.gov/Archives/edgar/data/1826681/000095017023028608/strc-ex10_1.htm" TargetMode="External"/><Relationship Id="rId24" Type="http://schemas.openxmlformats.org/officeDocument/2006/relationships/hyperlink" Target="https://www.sec.gov/Archives/edgar/data/1826681/000095017023046091/strc-ex10_1.htm" TargetMode="External"/><Relationship Id="rId25" Type="http://schemas.openxmlformats.org/officeDocument/2006/relationships/hyperlink" Target="https://www.sec.gov/Archives/edgar/data/1826681/000095017023051924/strc-ex10_1.htm" TargetMode="External"/><Relationship Id="rId26" Type="http://schemas.openxmlformats.org/officeDocument/2006/relationships/hyperlink" Target="https://www.sec.gov/Archives/edgar/data/1826681/000156459021049662/strc-ex1016_79.htm" TargetMode="External"/><Relationship Id="rId27" Type="http://schemas.openxmlformats.org/officeDocument/2006/relationships/hyperlink" Target="https://www.sec.gov/Archives/edgar/data/1826681/000156459021049662/strc-ex1010_78.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90819</Words>
  <Characters>498682</Characters>
  <CharactersWithSpaces>588894</CharactersWithSpaces>
  <Paragraphs>7148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