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dyn-20260630.htm"/>
      <w:bookmarkStart w:id="1" w:name="kspdyn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4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40"/>
        <w:jc w:val="center"/>
        <w:rPr/>
      </w:pPr>
      <w:r>
        <w:rPr/>
        <w:t> </w:t>
      </w:r>
    </w:p>
    <w:p>
      <w:pPr>
        <w:pStyle w:val="TextBody"/>
        <w:bidi w:val="0"/>
        <w:spacing w:before="5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 to 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001-39897</w:t>
      </w:r>
    </w:p>
    <w:p>
      <w:pPr>
        <w:pStyle w:val="TextBody"/>
        <w:pBdr>
          <w:bottom w:val="single" w:sz="4" w:space="1" w:color="000000"/>
        </w:pBdr>
        <w:bidi w:val="0"/>
        <w:spacing w:before="40" w:after="4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Palladyne AI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902" w:type="dxa"/>
        <w:jc w:val="left"/>
        <w:tblInd w:w="0" w:type="dxa"/>
        <w:tblLayout w:type="fixed"/>
        <w:tblCellMar>
          <w:top w:w="28" w:type="dxa"/>
          <w:left w:w="28" w:type="dxa"/>
          <w:bottom w:w="28" w:type="dxa"/>
          <w:right w:w="28" w:type="dxa"/>
        </w:tblCellMar>
      </w:tblPr>
      <w:tblGrid>
        <w:gridCol w:w="2656"/>
        <w:gridCol w:w="1246"/>
      </w:tblGrid>
      <w:tr>
        <w:trPr/>
        <w:tc>
          <w:tcPr>
            <w:tcW w:w="26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85-2838301</w:t>
            </w:r>
          </w:p>
        </w:tc>
      </w:tr>
      <w:tr>
        <w:trPr/>
        <w:tc>
          <w:tcPr>
            <w:tcW w:w="26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650 South 500 West, Suite 150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Salt Lake City, Utah</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84101</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(888) 927-7296</w:t>
      </w:r>
    </w:p>
    <w:p>
      <w:pPr>
        <w:pStyle w:val="TextBody"/>
        <w:pBdr>
          <w:bottom w:val="single" w:sz="4" w:space="1" w:color="000000"/>
        </w:pBdr>
        <w:bidi w:val="0"/>
        <w:spacing w:before="60" w:after="283"/>
        <w:jc w:val="center"/>
        <w:rPr/>
      </w:pPr>
      <w:r>
        <w:rPr/>
        <w:t> </w:t>
      </w:r>
    </w:p>
    <w:p>
      <w:pPr>
        <w:pStyle w:val="TextBody"/>
        <w:bidi w:val="0"/>
        <w:spacing w:before="80" w:after="283"/>
        <w:jc w:val="center"/>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spacing w:before="8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095"/>
        <w:gridCol w:w="146"/>
        <w:gridCol w:w="864"/>
        <w:gridCol w:w="146"/>
        <w:gridCol w:w="2954"/>
      </w:tblGrid>
      <w:tr>
        <w:trPr/>
        <w:tc>
          <w:tcPr>
            <w:tcW w:w="6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r>
      <w:tr>
        <w:trPr/>
        <w:tc>
          <w:tcPr>
            <w:tcW w:w="609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center"/>
              <w:rPr/>
            </w:pPr>
            <w:r>
              <w:rPr/>
              <w:t> </w:t>
            </w:r>
          </w:p>
        </w:tc>
        <w:tc>
          <w:tcPr>
            <w:tcW w:w="864"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center"/>
              <w:rPr/>
            </w:pPr>
            <w:r>
              <w:rPr/>
              <w:t> </w:t>
            </w:r>
          </w:p>
        </w:tc>
        <w:tc>
          <w:tcPr>
            <w:tcW w:w="2954"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6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PDYN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5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pPr>
            <w:r>
              <w:rPr/>
              <w:t> </w:t>
            </w:r>
          </w:p>
        </w:tc>
      </w:tr>
      <w:tr>
        <w:trPr/>
        <w:tc>
          <w:tcPr>
            <w:tcW w:w="6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Redeemable warrants, exercisable for shares of Common Stock at an exercise price of $69.00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PDYNW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5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July 29, 2026 the registrant had 49,338,510</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oci">
              <w:r>
                <w:rPr>
                  <w:rStyle w:val="InternetLink"/>
                  <w:rFonts w:ascii="Times New Roman" w:hAnsi="Times New Roman"/>
                  <w:color w:val="0000FF"/>
                  <w:sz w:val="20"/>
                  <w:u w:val="single"/>
                </w:rPr>
                <w:t>Condensed Consolidated Statements of Comprehensive (Loss) Income</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stockholders">
              <w:r>
                <w:rPr>
                  <w:rStyle w:val="InternetLink"/>
                  <w:rFonts w:ascii="Times New Roman" w:hAnsi="Times New Roman"/>
                  <w:color w:val="0000FF"/>
                  <w:sz w:val="20"/>
                  <w:u w:val="single"/>
                </w:rPr>
                <w:t>Condensed Consolidated Statements of Stockholders' Equity (Deficit)</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_basis_of_presentation">
              <w:r>
                <w:rPr>
                  <w:rStyle w:val="InternetLink"/>
                  <w:rFonts w:ascii="Times New Roman" w:hAnsi="Times New Roman"/>
                  <w:color w:val="0000FF"/>
                  <w:sz w:val="20"/>
                  <w:u w:val="single"/>
                </w:rPr>
                <w:t>Notes to Unaudited 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
              <w:r>
                <w:rPr>
                  <w:rStyle w:val="InternetLink"/>
                  <w:rFonts w:ascii="Times New Roman" w:hAnsi="Times New Roman"/>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Part II, Item 1A Risk Factors of this report. The following is a summary of the principal risks we face: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early stage company with a history of losses, and expect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yet to achieve positive operating cash flow and our ability to generate positive cash flow is uncertain.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or limited previous history or experience with commercializing our products and may not be able to do so efficiently, effectively or at all. We were unsuccessful in our efforts to commercialize our legacy hardware technologies that we and our predecessor companies developed over the past several decades.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issues in the development and use of our AI/ML Foundational Technology or AI-enabled products, or issues in products developed by others, may result in reputational harm or liability.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AI/ML Foundational Technology and other technologies and products are new and customer trials and discussions may not result in purchases.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successfully introduce and implement enhancements, new features or modifications to our technologies and products, our business will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fail to attract or retain customers at sufficient rates or in sufficient numbers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previous history with our licensing sales model for our software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Important assumptions about market demand, pricing, adoption rates and sales cycles for our products and services may be inaccurate.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Some of our products require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competitive industry that is subject to rapid technological change, and we expect competition to increase. Our products may not be competitive with other alternatives.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successfully enhance our product offerings through our research and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Real or perceived design flaws, errors, defects, glitches, bugs or malfunctions in our technologies, products and services, failure of our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"open source" software, which could negatively affect our ability to offer our technologies and products and subject us to possible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and prospects depend significantly on our ability to build our brands. We may not succeed in establishing, maintaining and strengthening effective brands, and our brands and reputation could be harmed by negative publicity regarding us or our technologies, products or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effectively manage our business, we may not be able to develop, market and commercialize our technologies and products successfully.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adequately control the costs associated with our operations in order to achieve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incur substantial research and development costs and devote significant resources to developing and commercializing our AI/ML Foundational Technology, other technologies and products, and we may never reach profitability and/or achieve significant or any revenue.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results may vary significantly from period to period due to fluctuations in our operating costs, revenues, product demand and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the services of our senior management and other key employees and, if we are unable to attract, integrate and retain a sufficient number of qualified employees, our ability to design and commercialize our technologies and products, offer our services, operate our business and compete could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and may in the future be subject to risks associated with strategic relationships, acquisitions or transactions and may not identify or form desired strategic relationships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manufacturing or engineering processes and services do not comply with applicable regulatory requirements, or if we manufacture or design products containing defects, demand for our services may decline and we may be subject to product or other liability claims.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involves significant risks and uncertainties that may not be covered by indemnity or insurance.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new or changing governmental regulations relating to the design, manufacturing, development, marketing, licensing, distribution or use of our technology and products or to the providing of customer service or in connection with the entry into certain transactions with foreign entities, and a failure to comply with such regulations could lead to delays in launching our products and/or withdrawal of our products from the market, delay our projected revenues, increase costs and/or make our business unviable.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I—FINANCIAL</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PALLADYNE AI CORP.</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 except share data</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2"/>
        <w:gridCol w:w="146"/>
        <w:gridCol w:w="212"/>
        <w:gridCol w:w="814"/>
        <w:gridCol w:w="166"/>
        <w:gridCol w:w="146"/>
        <w:gridCol w:w="243"/>
        <w:gridCol w:w="933"/>
        <w:gridCol w:w="393"/>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18,219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52,557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95,712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5,666</w:t>
            </w:r>
          </w:p>
        </w:tc>
        <w:tc>
          <w:tcPr>
            <w:tcW w:w="393"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165,000,000</w:t>
            </w:r>
            <w:r>
              <w:rPr>
                <w:rFonts w:ascii="Times New Roman" w:hAnsi="Times New Roman"/>
                <w:color w:val="000000"/>
                <w:sz w:val="20"/>
              </w:rPr>
              <w:t> </w:t>
            </w:r>
            <w:r>
              <w:rPr>
                <w:rFonts w:ascii="Times New Roman" w:hAnsi="Times New Roman"/>
                <w:color w:val="000000"/>
                <w:sz w:val="18"/>
              </w:rPr>
              <w:t>shares authorized as of June 30, 2026 and December 31, 2025; 49,143,403</w:t>
            </w:r>
            <w:r>
              <w:rPr>
                <w:rFonts w:ascii="Times New Roman" w:hAnsi="Times New Roman"/>
                <w:color w:val="000000"/>
                <w:sz w:val="20"/>
              </w:rPr>
              <w:t> </w:t>
            </w:r>
            <w:r>
              <w:rPr>
                <w:rFonts w:ascii="Times New Roman" w:hAnsi="Times New Roman"/>
                <w:color w:val="000000"/>
                <w:sz w:val="18"/>
              </w:rPr>
              <w:t>and 46,117,164</w:t>
            </w:r>
            <w:r>
              <w:rPr>
                <w:rFonts w:ascii="Times New Roman" w:hAnsi="Times New Roman"/>
                <w:color w:val="000000"/>
                <w:sz w:val="20"/>
              </w:rPr>
              <w:t> </w:t>
            </w:r>
            <w:r>
              <w:rPr>
                <w:rFonts w:ascii="Times New Roman" w:hAnsi="Times New Roman"/>
                <w:color w:val="000000"/>
                <w:sz w:val="18"/>
              </w:rPr>
              <w:t>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555,451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(480,792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74,675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95,712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PALLADYNE AI CORP.</w:t>
      </w:r>
    </w:p>
    <w:p>
      <w:pPr>
        <w:pStyle w:val="TextBody"/>
        <w:bidi w:val="0"/>
        <w:jc w:val="center"/>
        <w:rPr>
          <w:rFonts w:ascii="Times New Roman" w:hAnsi="Times New Roman"/>
          <w:sz w:val="20"/>
        </w:rPr>
      </w:pPr>
      <w:bookmarkStart w:id="5" w:name="consolidated_statements_of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 except share and per share data</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4"/>
        <w:gridCol w:w="146"/>
        <w:gridCol w:w="196"/>
        <w:gridCol w:w="916"/>
        <w:gridCol w:w="166"/>
        <w:gridCol w:w="146"/>
        <w:gridCol w:w="196"/>
        <w:gridCol w:w="916"/>
        <w:gridCol w:w="166"/>
        <w:gridCol w:w="146"/>
        <w:gridCol w:w="196"/>
        <w:gridCol w:w="916"/>
        <w:gridCol w:w="166"/>
        <w:gridCol w:w="146"/>
        <w:gridCol w:w="196"/>
        <w:gridCol w:w="916"/>
        <w:gridCol w:w="591"/>
      </w:tblGrid>
      <w:tr>
        <w:trPr/>
        <w:tc>
          <w:tcPr>
            <w:tcW w:w="4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revenue (exclusive of items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34,653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(loss) on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45,986,936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37,746,302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45,531,239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36,231,623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45,986,936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37,746,302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45,531,239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39,567,022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PALLADYNE AI CORP.</w:t>
      </w:r>
    </w:p>
    <w:p>
      <w:pPr>
        <w:pStyle w:val="TextBody"/>
        <w:bidi w:val="0"/>
        <w:jc w:val="center"/>
        <w:rPr>
          <w:rFonts w:ascii="Times New Roman" w:hAnsi="Times New Roman"/>
          <w:sz w:val="20"/>
        </w:rPr>
      </w:pPr>
      <w:bookmarkStart w:id="6" w:name="condensed_consolidated_statements_of_oci"/>
      <w:bookmarkEnd w:id="6"/>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73"/>
        <w:gridCol w:w="146"/>
        <w:gridCol w:w="239"/>
        <w:gridCol w:w="809"/>
        <w:gridCol w:w="202"/>
        <w:gridCol w:w="178"/>
        <w:gridCol w:w="239"/>
        <w:gridCol w:w="699"/>
        <w:gridCol w:w="166"/>
        <w:gridCol w:w="146"/>
        <w:gridCol w:w="218"/>
        <w:gridCol w:w="737"/>
        <w:gridCol w:w="184"/>
        <w:gridCol w:w="163"/>
        <w:gridCol w:w="218"/>
        <w:gridCol w:w="671"/>
        <w:gridCol w:w="617"/>
      </w:tblGrid>
      <w:tr>
        <w:trPr/>
        <w:tc>
          <w:tcPr>
            <w:tcW w:w="4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5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23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Change in unrealized gain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57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0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8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6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(12,325</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(24,945</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15,260</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PALLADYNE AI CORP.</w:t>
      </w:r>
    </w:p>
    <w:p>
      <w:pPr>
        <w:pStyle w:val="TextBody"/>
        <w:bidi w:val="0"/>
        <w:jc w:val="center"/>
        <w:rPr>
          <w:rFonts w:ascii="Times New Roman" w:hAnsi="Times New Roman"/>
          <w:b/>
          <w:color w:val="000000"/>
          <w:sz w:val="20"/>
        </w:rPr>
      </w:pPr>
      <w:bookmarkStart w:id="7" w:name="consolidated_statements_of_stockholders"/>
      <w:bookmarkEnd w:id="7"/>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623"/>
        <w:gridCol w:w="146"/>
        <w:gridCol w:w="916"/>
        <w:gridCol w:w="146"/>
        <w:gridCol w:w="271"/>
        <w:gridCol w:w="480"/>
        <w:gridCol w:w="146"/>
        <w:gridCol w:w="205"/>
        <w:gridCol w:w="726"/>
        <w:gridCol w:w="146"/>
        <w:gridCol w:w="585"/>
        <w:gridCol w:w="900"/>
        <w:gridCol w:w="166"/>
        <w:gridCol w:w="233"/>
        <w:gridCol w:w="893"/>
        <w:gridCol w:w="166"/>
        <w:gridCol w:w="281"/>
        <w:gridCol w:w="863"/>
        <w:gridCol w:w="313"/>
      </w:tblGrid>
      <w:tr>
        <w:trPr/>
        <w:tc>
          <w:tcPr>
            <w:tcW w:w="2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33,883,894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net of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22,759</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35,712,516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28,299</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net of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40,370,914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53,832</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23"/>
        <w:gridCol w:w="146"/>
        <w:gridCol w:w="916"/>
        <w:gridCol w:w="146"/>
        <w:gridCol w:w="271"/>
        <w:gridCol w:w="480"/>
        <w:gridCol w:w="146"/>
        <w:gridCol w:w="205"/>
        <w:gridCol w:w="726"/>
        <w:gridCol w:w="146"/>
        <w:gridCol w:w="585"/>
        <w:gridCol w:w="900"/>
        <w:gridCol w:w="166"/>
        <w:gridCol w:w="233"/>
        <w:gridCol w:w="893"/>
        <w:gridCol w:w="166"/>
        <w:gridCol w:w="261"/>
        <w:gridCol w:w="883"/>
        <w:gridCol w:w="313"/>
      </w:tblGrid>
      <w:tr>
        <w:trPr/>
        <w:tc>
          <w:tcPr>
            <w:tcW w:w="2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46,117,164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74,675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net of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(12,608</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47,244,225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69,915</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net of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49,143,403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70,843</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PALLADYNE AI CORP.</w:t>
      </w:r>
    </w:p>
    <w:p>
      <w:pPr>
        <w:pStyle w:val="TextBody"/>
        <w:bidi w:val="0"/>
        <w:jc w:val="center"/>
        <w:rPr>
          <w:rFonts w:ascii="Times New Roman" w:hAnsi="Times New Roman"/>
          <w:b/>
          <w:color w:val="000000"/>
          <w:sz w:val="18"/>
        </w:rPr>
      </w:pPr>
      <w:bookmarkStart w:id="8" w:name="consolidated_statements_of_cash_flows"/>
      <w:bookmarkEnd w:id="8"/>
      <w:r>
        <w:rPr>
          <w:rFonts w:ascii="Times New Roman" w:hAnsi="Times New Roman"/>
          <w:b/>
          <w:color w:val="000000"/>
          <w:sz w:val="18"/>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8687" w:type="dxa"/>
        <w:jc w:val="left"/>
        <w:tblInd w:w="0" w:type="dxa"/>
        <w:tblLayout w:type="fixed"/>
        <w:tblCellMar>
          <w:top w:w="28" w:type="dxa"/>
          <w:left w:w="28" w:type="dxa"/>
          <w:bottom w:w="28" w:type="dxa"/>
          <w:right w:w="28" w:type="dxa"/>
        </w:tblCellMar>
      </w:tblPr>
      <w:tblGrid>
        <w:gridCol w:w="5896"/>
        <w:gridCol w:w="146"/>
        <w:gridCol w:w="216"/>
        <w:gridCol w:w="729"/>
        <w:gridCol w:w="183"/>
        <w:gridCol w:w="161"/>
        <w:gridCol w:w="216"/>
        <w:gridCol w:w="729"/>
        <w:gridCol w:w="411"/>
      </w:tblGrid>
      <w:tr>
        <w:trPr/>
        <w:tc>
          <w:tcPr>
            <w:tcW w:w="5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investment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net of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Unbilled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 &amp;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 and 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(20,401</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(12,842</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41,000</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obligations under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equipment financing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offering costs related to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transaction costs related to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18,219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33,774</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included in accounts payable at period-end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PALLADYNE AI CORP.</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60" w:after="283"/>
        <w:jc w:val="left"/>
        <w:rPr>
          <w:rFonts w:ascii="Times New Roman" w:hAnsi="Times New Roman"/>
          <w:b/>
          <w:color w:val="000000"/>
          <w:sz w:val="20"/>
        </w:rPr>
      </w:pPr>
      <w:bookmarkStart w:id="9" w:name="note_1_basis_of_presentation"/>
      <w:bookmarkEnd w:id="9"/>
      <w:r>
        <w:rPr>
          <w:rFonts w:ascii="Times New Roman" w:hAnsi="Times New Roman"/>
          <w:b/>
          <w:color w:val="000000"/>
          <w:sz w:val="20"/>
        </w:rPr>
        <w:t>1. Basis of Presentation and Summary of Significant Accounting Policies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Description of the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 U.S.-based technology company developing and offering embodied artificial intelligence (“AI”) software and collaborative autonomy solutions, advanced avionics, unmanned aerial vehicles ("UAVs"), advanced UAV engineering services and precision-manufactured components for aerospace, defense and commercial/industrial markets. The Company’s core AI software offerings, Palladyne IQ and SwarmOS/Palladyne Pilot, consist of full-stack, closed-loop autonomy software that is intended to enhance the functionality and operational effectiveness of third-party robotic systems across a range of applications. These products are designed to be hardware agnostic, enabling integration across a wide range of robotic platforms, whether third-party or our own proprietary platforms, including industrial robots, collaborative robots (“cobots”), UAVs, unmanned ground vehicles (“UGVs”), and remotely operated vehicles (“ROVs”) across multiple domains.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 and Consolidation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accompanying interim unaudited condensed consolidated financial statements have been prepared in accordance with accounting principles generally accepted in the United States ("GAAP"). </w:t>
      </w:r>
    </w:p>
    <w:p>
      <w:pPr>
        <w:pStyle w:val="TextBody"/>
        <w:bidi w:val="0"/>
        <w:jc w:val="both"/>
        <w:rPr>
          <w:rFonts w:ascii="Times New Roman" w:hAnsi="Times New Roman"/>
          <w:color w:val="000000"/>
          <w:sz w:val="20"/>
        </w:rPr>
      </w:pPr>
      <w:r>
        <w:rPr>
          <w:rFonts w:ascii="Times New Roman" w:hAnsi="Times New Roman"/>
          <w:color w:val="000000"/>
          <w:sz w:val="20"/>
        </w:rPr>
        <w:t>The condensed consolidated financial statements as of June 30, 2026 are unaudited. The condensed consolidated balance sheet as of December 31, 2025 included herein was derived from the audited consolidated financial statements as of that date. Certain information and note disclosures normally included in annual financial statements prepared in accordance with GAAP have been condensed or omitted. As such, the information included herein should be read in conjunction with the consolidated financial statements and accompanying notes as of and for the year ended December 31, 2025 included in the Company’s Annual Report on Form 10-K filed with the SEC on March 5, 2026.</w:t>
      </w:r>
    </w:p>
    <w:p>
      <w:pPr>
        <w:pStyle w:val="TextBody"/>
        <w:bidi w:val="0"/>
        <w:jc w:val="both"/>
        <w:rPr>
          <w:rFonts w:ascii="Times New Roman" w:hAnsi="Times New Roman"/>
          <w:color w:val="000000"/>
          <w:sz w:val="20"/>
        </w:rPr>
      </w:pPr>
      <w:r>
        <w:rPr>
          <w:rFonts w:ascii="Times New Roman" w:hAnsi="Times New Roman"/>
          <w:color w:val="000000"/>
          <w:sz w:val="20"/>
        </w:rPr>
        <w:t>The condensed consolidated financial statements include the accounts of the Company and its wholly owned subsidiaries. All intercompany accounts and transactions have been eliminated in consolidation. Certain prior year amounts have been reclassified to conform to current year presentation. The Company’s fiscal year begins on January 1 and ends on December 31.</w:t>
      </w:r>
    </w:p>
    <w:p>
      <w:pPr>
        <w:pStyle w:val="TextBody"/>
        <w:bidi w:val="0"/>
        <w:jc w:val="both"/>
        <w:rPr>
          <w:rFonts w:ascii="Times New Roman" w:hAnsi="Times New Roman"/>
          <w:color w:val="000000"/>
          <w:sz w:val="20"/>
        </w:rPr>
      </w:pPr>
      <w:r>
        <w:rPr>
          <w:rFonts w:ascii="Times New Roman" w:hAnsi="Times New Roman"/>
          <w:color w:val="000000"/>
          <w:sz w:val="20"/>
        </w:rPr>
        <w:t xml:space="preserve">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2026.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Summary of Significant Accounting Policies and Use of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have been no changes to the Company’s significant accounting policies and use of estimates and assumptions described in the annual consolidated financial statements for the year ended December 31, 2025 that have had a material impact on the Company’s condensed consolidated financial statements and related notes.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Cash, cash equivalents and marketable securities were $43.7 million as of June 30, 2026, compared to $47.1 million as of December 31, 2025. The Company has incurred losses from operations and negative cash flows from operations since inception and is likely to continue to incur losses and negative cash flows from operations in the near term. As of June 30, 2026, the Company had an accumulated deficit of approximately $505.7 million and working capital of $43.8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have been prepared in accordance with GAAP and on the basis that the Company will continue as a going concern, which contemplates the realization of assets and the satisfaction of liabilities and commitments in the normal course of business. The Company’s main source of liquidity has been cash generated by equity offerings.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and success of sales and marketing activities, revenue growth rate, customer retention, the introduction of new and enhanced product offerings and market acceptance of the Company’s products. The Company believes it has sufficient financial resources for at least the next 12 months from the date of this report.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(1)</w:t>
      </w:r>
    </w:p>
    <w:p>
      <w:pPr>
        <w:pStyle w:val="TextBody"/>
        <w:bidi w:val="0"/>
        <w:jc w:val="both"/>
        <w:rPr/>
      </w:pPr>
      <w:r>
        <w:rPr>
          <w:rFonts w:ascii="Times New Roman" w:hAnsi="Times New Roman"/>
          <w:i/>
          <w:color w:val="000000"/>
          <w:sz w:val="20"/>
        </w:rPr>
        <w:t>Identify the contract with a customer:</w:t>
      </w:r>
      <w:r>
        <w:rPr>
          <w:color w:val="000000"/>
        </w:rPr>
        <w:t xml:space="preserve"> </w:t>
      </w:r>
      <w:r>
        <w:rPr>
          <w:rFonts w:ascii="Times New Roman" w:hAnsi="Times New Roman"/>
          <w:color w:val="000000"/>
          <w:sz w:val="20"/>
        </w:rPr>
        <w:t>A contract with a customer exists when (a) the Company enters into an enforceable contract with a customer that defines each party's rights and obligations regarding the products and services to be transferred and identifies the payment terms related to these products and services, (b) the contract has commercial substance and (c)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(2)</w:t>
      </w:r>
    </w:p>
    <w:p>
      <w:pPr>
        <w:pStyle w:val="TextBody"/>
        <w:bidi w:val="0"/>
        <w:jc w:val="both"/>
        <w:rPr/>
      </w:pPr>
      <w:r>
        <w:rPr>
          <w:rFonts w:ascii="Times New Roman" w:hAnsi="Times New Roman"/>
          <w:i/>
          <w:color w:val="000000"/>
          <w:sz w:val="20"/>
        </w:rPr>
        <w:t>Identify the performance obligations in the contract:</w:t>
      </w:r>
      <w:r>
        <w:rPr>
          <w:color w:val="000000"/>
        </w:rPr>
        <w:t xml:space="preserve"> </w:t>
      </w:r>
      <w:r>
        <w:rPr>
          <w:rFonts w:ascii="Times New Roman" w:hAnsi="Times New Roman"/>
          <w:color w:val="000000"/>
          <w:sz w:val="20"/>
        </w:rPr>
        <w:t>The Company enters into contracts that can include combinations of products and 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requires judgment.</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(3)</w:t>
      </w:r>
    </w:p>
    <w:p>
      <w:pPr>
        <w:pStyle w:val="TextBody"/>
        <w:bidi w:val="0"/>
        <w:jc w:val="both"/>
        <w:rPr/>
      </w:pPr>
      <w:r>
        <w:rPr>
          <w:rFonts w:ascii="Times New Roman" w:hAnsi="Times New Roman"/>
          <w:i/>
          <w:color w:val="000000"/>
          <w:sz w:val="20"/>
        </w:rPr>
        <w:t>Determine the transaction price:</w:t>
      </w:r>
      <w:r>
        <w:rPr>
          <w:color w:val="000000"/>
        </w:rPr>
        <w:t xml:space="preserve"> </w:t>
      </w:r>
      <w:r>
        <w:rPr>
          <w:rFonts w:ascii="Times New Roman" w:hAnsi="Times New Roman"/>
          <w:color w:val="000000"/>
          <w:sz w:val="20"/>
        </w:rPr>
        <w:t xml:space="preserve">The transaction price is determined based on the consideration to which the Company will be entitled in 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 </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(4)</w:t>
      </w:r>
    </w:p>
    <w:p>
      <w:pPr>
        <w:pStyle w:val="TextBody"/>
        <w:bidi w:val="0"/>
        <w:jc w:val="both"/>
        <w:rPr/>
      </w:pPr>
      <w:r>
        <w:rPr>
          <w:rFonts w:ascii="Times New Roman" w:hAnsi="Times New Roman"/>
          <w:i/>
          <w:color w:val="000000"/>
          <w:sz w:val="20"/>
        </w:rPr>
        <w:t>Allocate the transaction price to performance obligations in the contract:</w:t>
      </w:r>
      <w:r>
        <w:rPr>
          <w:color w:val="000000"/>
        </w:rPr>
        <w:t xml:space="preserve"> </w:t>
      </w:r>
      <w:r>
        <w:rPr>
          <w:rFonts w:ascii="Times New Roman" w:hAnsi="Times New Roman"/>
          <w:color w:val="000000"/>
          <w:sz w:val="20"/>
        </w:rPr>
        <w:t>Once the Company has determined the transaction price, the total 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some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(5)</w:t>
      </w:r>
    </w:p>
    <w:p>
      <w:pPr>
        <w:pStyle w:val="TextBody"/>
        <w:bidi w:val="0"/>
        <w:jc w:val="both"/>
        <w:rPr/>
      </w:pPr>
      <w:r>
        <w:rPr>
          <w:rFonts w:ascii="Times New Roman" w:hAnsi="Times New Roman"/>
          <w:i/>
          <w:color w:val="000000"/>
          <w:sz w:val="20"/>
        </w:rPr>
        <w:t>Recognize revenue when or as the Company satisfies a performance obligation</w:t>
      </w:r>
      <w:r>
        <w:rPr>
          <w:rFonts w:ascii="Times New Roman" w:hAnsi="Times New Roman"/>
          <w:color w:val="000000"/>
          <w:sz w:val="20"/>
        </w:rPr>
        <w:t>: For each performance obligation identified, the Company 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from Contracts with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derives its revenue from multiple sources, including the sale of software and hardware products, product development contracts, manufacturing operations, and engineering and design services. Product revenue includes the sale of the Company’s proprietary AI software products based on our AI Foundational Technology. Product revenue also includes the sale of current and legacy hardware products, including the BRAIN family of guidance and navigation computer chips, and the sale of precision machined and fabricated components, subassemblies and structures and integrated assembly services for both defense and commercial customers in a variety of industries. Product development contract revenue consists of product development contracts with customers that support our software and hardware products under development. The Company also derives revenue from contracted engineering design services to aerospace customers focused on developing high-performance unmanned systems.</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 Revenue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Software product revenue consists of the sale of the Company's commercially available software products. The Company is in the early stages of its sales activities for its software products and has no software product revenue to date. Software product revenue will be recorded based on the nature and type of software license agreements.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Hardware product revenue consists of the sale of the Company's commercially available hardware products, and certain miscellaneous parts. Additionally, through its precision U.S. manufacturing capabilities, the Company sells precision machined and fabricated components, subassemblies and structures and integrated assembly services to both Defense and Commercial customers, which sales are included in hardware product revenue. The Company provides a limited one-year warranty on some of its products.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Contract Revenue</w:t>
      </w:r>
    </w:p>
    <w:p>
      <w:pPr>
        <w:pStyle w:val="TextBody"/>
        <w:bidi w:val="0"/>
        <w:jc w:val="both"/>
        <w:rPr>
          <w:rFonts w:ascii="Times New Roman" w:hAnsi="Times New Roman"/>
          <w:sz w:val="20"/>
        </w:rPr>
      </w:pPr>
      <w:r>
        <w:rPr>
          <w:rFonts w:ascii="Times New Roman" w:hAnsi="Times New Roman"/>
          <w:i/>
          <w:color w:val="000000"/>
          <w:sz w:val="20"/>
        </w:rPr>
        <w:t>Cost-type contracts</w:t>
      </w:r>
      <w:r>
        <w:rPr>
          <w:rFonts w:ascii="Times New Roman" w:hAnsi="Times New Roman"/>
          <w:color w:val="000000"/>
          <w:sz w:val="20"/>
        </w:rPr>
        <w:t xml:space="preserve"> – Contracts to develop, design and modify our technology and related products, including cost-plus-fixed fee and time and material contracts, relate primarily to the Company's AI/ML software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pStyle w:val="TextBody"/>
        <w:bidi w:val="0"/>
        <w:jc w:val="both"/>
        <w:rPr>
          <w:rFonts w:ascii="Times New Roman" w:hAnsi="Times New Roman"/>
          <w:sz w:val="20"/>
        </w:rPr>
      </w:pPr>
      <w:r>
        <w:rPr>
          <w:rFonts w:ascii="Times New Roman" w:hAnsi="Times New Roman"/>
          <w:i/>
          <w:color w:val="000000"/>
          <w:sz w:val="20"/>
        </w:rPr>
        <w:t>Fixed-price contracts</w:t>
      </w:r>
      <w:r>
        <w:rPr>
          <w:rFonts w:ascii="Times New Roman" w:hAnsi="Times New Roman"/>
          <w:color w:val="000000"/>
          <w:sz w:val="20"/>
        </w:rPr>
        <w:t xml:space="preserve"> – Fixed-price development contracts relate primarily to the development of technology in the area of robotic platforms. Fixed-price 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it will generate more or less profit or could incur a loss. The Company will recognize losses at the contract level in earnings in the period in which they are incurred.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Time and materials contracts</w:t>
      </w:r>
      <w:r>
        <w:rPr>
          <w:rFonts w:ascii="Times New Roman" w:hAnsi="Times New Roman"/>
          <w:color w:val="000000"/>
          <w:sz w:val="20"/>
        </w:rPr>
        <w:t xml:space="preserve"> – Time and materials contracts relate primarily to design-to-field advanced engineering design services that take aerospace programs from early concept through flight-ready prototype in compressed timelines, while engineering every stage for manufacturability and scale. Revenue on time and materials contracts is generally recognized over time as services are provided and materials are purchased and used in the project.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recognized for the three and six months ended June 30, 2026 and 2025, were as follows:</w:t>
      </w:r>
    </w:p>
    <w:p>
      <w:pPr>
        <w:pStyle w:val="TextBody"/>
        <w:bidi w:val="0"/>
        <w:jc w:val="left"/>
        <w:rPr/>
      </w:pPr>
      <w:r>
        <w:rPr/>
        <w:t> </w:t>
      </w:r>
    </w:p>
    <w:tbl>
      <w:tblPr>
        <w:tblW w:w="8476" w:type="dxa"/>
        <w:jc w:val="left"/>
        <w:tblInd w:w="0" w:type="dxa"/>
        <w:tblLayout w:type="fixed"/>
        <w:tblCellMar>
          <w:top w:w="28" w:type="dxa"/>
          <w:left w:w="28" w:type="dxa"/>
          <w:bottom w:w="28" w:type="dxa"/>
          <w:right w:w="28" w:type="dxa"/>
        </w:tblCellMar>
      </w:tblPr>
      <w:tblGrid>
        <w:gridCol w:w="2971"/>
        <w:gridCol w:w="146"/>
        <w:gridCol w:w="281"/>
        <w:gridCol w:w="732"/>
        <w:gridCol w:w="209"/>
        <w:gridCol w:w="209"/>
        <w:gridCol w:w="281"/>
        <w:gridCol w:w="732"/>
        <w:gridCol w:w="146"/>
        <w:gridCol w:w="146"/>
        <w:gridCol w:w="256"/>
        <w:gridCol w:w="669"/>
        <w:gridCol w:w="191"/>
        <w:gridCol w:w="191"/>
        <w:gridCol w:w="256"/>
        <w:gridCol w:w="669"/>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Development Contract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Engineering 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5,783</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 Balances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timing of revenue recognition, billing and cash collection results in the recognition of accounts receivable, unbilled receivables, contract assets and deferred revenue in the Company's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Cash funds received in excess of revenue recognized that is contingent upon the satisfaction of performance obligations is accounted for as deferred revenue.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Contract assets include unbilled receivables which are amounts resulting from timing differences between revenue recognition and billing in accordance with agreed-upon contractual terms, which typically occur subsequent to revenue being recognized.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opening and closing balances of our accounts receivable, unbilled receivables, contract assets and deferred revenue as of June 30, 2026 and December 31, 2025,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7"/>
        <w:gridCol w:w="146"/>
        <w:gridCol w:w="455"/>
        <w:gridCol w:w="1194"/>
        <w:gridCol w:w="146"/>
        <w:gridCol w:w="146"/>
        <w:gridCol w:w="439"/>
        <w:gridCol w:w="1153"/>
        <w:gridCol w:w="146"/>
        <w:gridCol w:w="146"/>
        <w:gridCol w:w="533"/>
        <w:gridCol w:w="780"/>
        <w:gridCol w:w="146"/>
        <w:gridCol w:w="146"/>
        <w:gridCol w:w="402"/>
        <w:gridCol w:w="1055"/>
        <w:gridCol w:w="195"/>
      </w:tblGrid>
      <w:tr>
        <w:trPr/>
        <w:tc>
          <w:tcPr>
            <w:tcW w:w="2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Accounts 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Unbilled 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Contract Assets</w:t>
              <w:b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Revenue</w:t>
              <w:br/>
              <w:t>(Current)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its current contract assets and current deferred revenue within prepaid expenses and other current assets and accrued liabilities, respectively. During the three and six months ended June 30, 2026, the Company recognized $0.1 million and $0.2 million, respectively, of the deferred revenue which existed at December 31, 2025. During the three and six months ended June 30, 2025, the Company recognized all of the deferred revenue which existed at December 31, 2024.</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had backlog of $24.6 million. The Company expects most of this backlog to be recognized over the next 12 to 18 months. The Company’s backlog, or revenue related to remaining performance obligations, represents the total value of committed customer contracts and purchase orders, both funded and unfunded, less revenue recognized to date.</w:t>
      </w:r>
    </w:p>
    <w:p>
      <w:pPr>
        <w:pStyle w:val="TextBody"/>
        <w:bidi w:val="0"/>
        <w:jc w:val="both"/>
        <w:rPr>
          <w:rFonts w:ascii="Times New Roman" w:hAnsi="Times New Roman"/>
          <w:sz w:val="20"/>
        </w:rPr>
      </w:pPr>
      <w:r>
        <w:rPr>
          <w:rFonts w:ascii="Times New Roman" w:hAnsi="Times New Roman"/>
          <w:color w:val="000000"/>
          <w:sz w:val="20"/>
        </w:rPr>
        <w:br/>
      </w:r>
      <w:r>
        <w:rPr>
          <w:rFonts w:ascii="Times New Roman" w:hAnsi="Times New Roman"/>
          <w:b/>
          <w:color w:val="000000"/>
          <w:sz w:val="20"/>
        </w:rPr>
        <w:t xml:space="preserve">Recently Issued Accounting Standard Pronouncements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the FASB issued ASU No.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Fair Value Measurements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ASC Topic 820, </w:t>
      </w:r>
      <w:r>
        <w:rPr>
          <w:rFonts w:ascii="Times New Roman" w:hAnsi="Times New Roman"/>
          <w:i/>
          <w:color w:val="000000"/>
          <w:sz w:val="20"/>
        </w:rPr>
        <w:t>Fair Value Measurement</w:t>
      </w:r>
      <w:r>
        <w:rPr>
          <w:rFonts w:ascii="Times New Roman" w:hAnsi="Times New Roman"/>
          <w:color w:val="000000"/>
          <w:sz w:val="20"/>
        </w:rPr>
        <w: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1—Fair value is based on observable inputs such as quoted prices for identical assets or liabilities in active markets.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2—Fair value is determined using quoted prices for similar assets or liabilities in active markets or quoted prices for identical or similar assets or liabilities in markets that are not active or are directly or indirectly observable.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3—Fair value is determined using one or more significant inputs that are unobservable in active markets at the measurement date, such as an option pricing model, discounted cash flow or similar technique.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Financial Assets and Liabilities Measured at Fair Value on a Recurring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 recurring basis, the Company measures certain of its financial assets and liabilities at fair value. The fair value of the Company’s financial assets and liabilities measured at fair value on a recurring basis was determined using the following inputs as of June 30, 2026 and December 31, 2025:</w:t>
      </w:r>
    </w:p>
    <w:p>
      <w:pPr>
        <w:pStyle w:val="TextBody"/>
        <w:bidi w:val="0"/>
        <w:jc w:val="left"/>
        <w:rPr/>
      </w:pPr>
      <w:r>
        <w:rPr/>
        <w:t> </w:t>
      </w:r>
    </w:p>
    <w:tbl>
      <w:tblPr>
        <w:tblW w:w="6295" w:type="dxa"/>
        <w:jc w:val="left"/>
        <w:tblInd w:w="0" w:type="dxa"/>
        <w:tblLayout w:type="fixed"/>
        <w:tblCellMar>
          <w:top w:w="28" w:type="dxa"/>
          <w:left w:w="28" w:type="dxa"/>
          <w:bottom w:w="28" w:type="dxa"/>
          <w:right w:w="28" w:type="dxa"/>
        </w:tblCellMar>
      </w:tblPr>
      <w:tblGrid>
        <w:gridCol w:w="2116"/>
        <w:gridCol w:w="146"/>
        <w:gridCol w:w="196"/>
        <w:gridCol w:w="511"/>
        <w:gridCol w:w="146"/>
        <w:gridCol w:w="146"/>
        <w:gridCol w:w="221"/>
        <w:gridCol w:w="424"/>
        <w:gridCol w:w="146"/>
        <w:gridCol w:w="146"/>
        <w:gridCol w:w="196"/>
        <w:gridCol w:w="511"/>
        <w:gridCol w:w="146"/>
        <w:gridCol w:w="146"/>
        <w:gridCol w:w="196"/>
        <w:gridCol w:w="511"/>
        <w:gridCol w:w="3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75" w:type="dxa"/>
        <w:jc w:val="left"/>
        <w:tblInd w:w="0" w:type="dxa"/>
        <w:tblLayout w:type="fixed"/>
        <w:tblCellMar>
          <w:top w:w="28" w:type="dxa"/>
          <w:left w:w="28" w:type="dxa"/>
          <w:bottom w:w="28" w:type="dxa"/>
          <w:right w:w="28" w:type="dxa"/>
        </w:tblCellMar>
      </w:tblPr>
      <w:tblGrid>
        <w:gridCol w:w="2116"/>
        <w:gridCol w:w="146"/>
        <w:gridCol w:w="196"/>
        <w:gridCol w:w="601"/>
        <w:gridCol w:w="146"/>
        <w:gridCol w:w="146"/>
        <w:gridCol w:w="221"/>
        <w:gridCol w:w="424"/>
        <w:gridCol w:w="146"/>
        <w:gridCol w:w="146"/>
        <w:gridCol w:w="196"/>
        <w:gridCol w:w="511"/>
        <w:gridCol w:w="146"/>
        <w:gridCol w:w="146"/>
        <w:gridCol w:w="196"/>
        <w:gridCol w:w="601"/>
        <w:gridCol w:w="3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 xml:space="preserve">As of June 30, 2026, the Company held $10.0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receivable, unbilled receivables, accounts payable and accrued expenses approximate their fair values because of the relatively short periods until they are required to be settled. The contingent consideration relates to the acquisition of GuideTech during 2025, as discussed in </w:t>
      </w:r>
      <w:r>
        <w:rPr>
          <w:rFonts w:ascii="Times New Roman" w:hAnsi="Times New Roman"/>
          <w:i/>
          <w:color w:val="000000"/>
          <w:sz w:val="20"/>
        </w:rPr>
        <w:t xml:space="preserve">Note 4, Acquisitions. </w:t>
      </w:r>
      <w:r>
        <w:rPr>
          <w:rFonts w:ascii="Times New Roman" w:hAnsi="Times New Roman"/>
          <w:color w:val="000000"/>
          <w:sz w:val="20"/>
        </w:rPr>
        <w:t>The contingent consideration was initially valued as of November 14, 2025, the acquisition date, and will be remeasured at fair value at each reporting date, or more frequently, if events or changes in circumstances indicate that a remeasurement is warranted. The valuation of the contingent consideration requires the use of a valuation model and assumptions such as projected cash flows and discount rates.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a reconciliation from the opening balances to the closing balances for Level 3 values:</w:t>
      </w:r>
    </w:p>
    <w:p>
      <w:pPr>
        <w:pStyle w:val="TextBody"/>
        <w:bidi w:val="0"/>
        <w:jc w:val="both"/>
        <w:rPr/>
      </w:pPr>
      <w:r>
        <w:rPr/>
        <w:t> </w:t>
      </w:r>
    </w:p>
    <w:tbl>
      <w:tblPr>
        <w:tblW w:w="6081" w:type="dxa"/>
        <w:jc w:val="left"/>
        <w:tblInd w:w="0" w:type="dxa"/>
        <w:tblLayout w:type="fixed"/>
        <w:tblCellMar>
          <w:top w:w="28" w:type="dxa"/>
          <w:left w:w="28" w:type="dxa"/>
          <w:bottom w:w="28" w:type="dxa"/>
          <w:right w:w="28" w:type="dxa"/>
        </w:tblCellMar>
      </w:tblPr>
      <w:tblGrid>
        <w:gridCol w:w="2281"/>
        <w:gridCol w:w="146"/>
        <w:gridCol w:w="237"/>
        <w:gridCol w:w="619"/>
        <w:gridCol w:w="146"/>
        <w:gridCol w:w="146"/>
        <w:gridCol w:w="584"/>
        <w:gridCol w:w="1531"/>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Contingent Consideration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Balance Sheet Components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Inventories,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inventories, net consisted of the following:</w:t>
      </w:r>
    </w:p>
    <w:p>
      <w:pPr>
        <w:pStyle w:val="TextBody"/>
        <w:bidi w:val="0"/>
        <w:jc w:val="left"/>
        <w:rPr/>
      </w:pPr>
      <w:r>
        <w:rPr/>
        <w:t> </w:t>
      </w:r>
    </w:p>
    <w:tbl>
      <w:tblPr>
        <w:tblW w:w="5045" w:type="dxa"/>
        <w:jc w:val="left"/>
        <w:tblInd w:w="0" w:type="dxa"/>
        <w:tblLayout w:type="fixed"/>
        <w:tblCellMar>
          <w:top w:w="28" w:type="dxa"/>
          <w:left w:w="28" w:type="dxa"/>
          <w:bottom w:w="28" w:type="dxa"/>
          <w:right w:w="28" w:type="dxa"/>
        </w:tblCellMar>
      </w:tblPr>
      <w:tblGrid>
        <w:gridCol w:w="1516"/>
        <w:gridCol w:w="146"/>
        <w:gridCol w:w="396"/>
        <w:gridCol w:w="759"/>
        <w:gridCol w:w="146"/>
        <w:gridCol w:w="146"/>
        <w:gridCol w:w="528"/>
        <w:gridCol w:w="1017"/>
        <w:gridCol w:w="3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Work-in-process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property and equipment, net consist of the following:</w:t>
      </w:r>
    </w:p>
    <w:p>
      <w:pPr>
        <w:pStyle w:val="TextBody"/>
        <w:bidi w:val="0"/>
        <w:jc w:val="left"/>
        <w:rPr/>
      </w:pPr>
      <w:r>
        <w:rPr/>
        <w:t> </w:t>
      </w:r>
    </w:p>
    <w:tbl>
      <w:tblPr>
        <w:tblW w:w="7485" w:type="dxa"/>
        <w:jc w:val="left"/>
        <w:tblInd w:w="0" w:type="dxa"/>
        <w:tblLayout w:type="fixed"/>
        <w:tblCellMar>
          <w:top w:w="28" w:type="dxa"/>
          <w:left w:w="28" w:type="dxa"/>
          <w:bottom w:w="28" w:type="dxa"/>
          <w:right w:w="28" w:type="dxa"/>
        </w:tblCellMar>
      </w:tblPr>
      <w:tblGrid>
        <w:gridCol w:w="3916"/>
        <w:gridCol w:w="146"/>
        <w:gridCol w:w="284"/>
        <w:gridCol w:w="871"/>
        <w:gridCol w:w="166"/>
        <w:gridCol w:w="146"/>
        <w:gridCol w:w="379"/>
        <w:gridCol w:w="1166"/>
        <w:gridCol w:w="4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Robotics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Financed lease robotics and 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Land and building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and fixtures, and other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expenses were $0.4 million and $0.2 million for the three months ended June 30, 2026 and 2025, respectively. Depreciation expenses were $0.8 million and $0.4 million for the six months ended June 30, 2026 and 2025,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Accrued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accrued liabilities consist of the following:</w:t>
      </w:r>
    </w:p>
    <w:p>
      <w:pPr>
        <w:pStyle w:val="TextBody"/>
        <w:bidi w:val="0"/>
        <w:jc w:val="left"/>
        <w:rPr/>
      </w:pPr>
      <w:r>
        <w:rPr/>
        <w:t> </w:t>
      </w:r>
    </w:p>
    <w:tbl>
      <w:tblPr>
        <w:tblW w:w="6845" w:type="dxa"/>
        <w:jc w:val="left"/>
        <w:tblInd w:w="0" w:type="dxa"/>
        <w:tblLayout w:type="fixed"/>
        <w:tblCellMar>
          <w:top w:w="28" w:type="dxa"/>
          <w:left w:w="28" w:type="dxa"/>
          <w:bottom w:w="28" w:type="dxa"/>
          <w:right w:w="28" w:type="dxa"/>
        </w:tblCellMar>
      </w:tblPr>
      <w:tblGrid>
        <w:gridCol w:w="3316"/>
        <w:gridCol w:w="146"/>
        <w:gridCol w:w="320"/>
        <w:gridCol w:w="835"/>
        <w:gridCol w:w="146"/>
        <w:gridCol w:w="146"/>
        <w:gridCol w:w="427"/>
        <w:gridCol w:w="1118"/>
        <w:gridCol w:w="3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services 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accrued expenses and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Other non-current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non-current liabilities consist of the following:</w:t>
      </w:r>
    </w:p>
    <w:p>
      <w:pPr>
        <w:pStyle w:val="TextBody"/>
        <w:bidi w:val="0"/>
        <w:jc w:val="both"/>
        <w:rPr/>
      </w:pPr>
      <w:r>
        <w:rPr/>
        <w:t> </w:t>
      </w:r>
    </w:p>
    <w:tbl>
      <w:tblPr>
        <w:tblW w:w="6160" w:type="dxa"/>
        <w:jc w:val="left"/>
        <w:tblInd w:w="0" w:type="dxa"/>
        <w:tblLayout w:type="fixed"/>
        <w:tblCellMar>
          <w:top w:w="28" w:type="dxa"/>
          <w:left w:w="28" w:type="dxa"/>
          <w:bottom w:w="28" w:type="dxa"/>
          <w:right w:w="28" w:type="dxa"/>
        </w:tblCellMar>
      </w:tblPr>
      <w:tblGrid>
        <w:gridCol w:w="2631"/>
        <w:gridCol w:w="146"/>
        <w:gridCol w:w="320"/>
        <w:gridCol w:w="835"/>
        <w:gridCol w:w="146"/>
        <w:gridCol w:w="146"/>
        <w:gridCol w:w="427"/>
        <w:gridCol w:w="1118"/>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Equipment financing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Acquisitions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November 14, 2025, the Company acquired 100 percent of the equity interests of GuideTech, LLC (“GuideTech”), Warnke Precision Machining, LLC (“Warnke Precision Machining”) and MKR Fabrication, LLC (“MKR Fabricators”). These transactions (collectively, the “2025 Acquisitions”) were undertaken pursuant to two separate purchase agreements entered into on November 14,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GuideTech is an engineering and aerospace avionics products and services provider. MKR Fabricators and Warnke Precision Machining are U.S.-based precision manufacturing and fabrication businesses supporting defense and industrial customers. Through the 2025 Acquisitions, the Company acquired engineering design services, advanced avionics products and manufacturing and machining capabilities to complement its AI/ML Foundational Technology and related products and offer vertically integrated solutions for defense and commercial markets.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aggregate consideration transferred for the 2025 Acquisitions was $22.6 million, consisting of $5.4 million of cash, $15.9 million comprised of 2,672,013 shares of common stock, and contingent consideration valued at $1.4 million. The contingent consideration arrangement provides for up to $25 million in earnout payments payable in cash or stock if certain revenue targets are achieved over a five-year period.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2025 Acquisitions have been accounted for as business combinations and the total purchase consideration was allocated to the net tangible and intangible assets and liabilities based on their fair values on the acquisition date and the excess was recorded as goodwill.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values assigned to the assets acquired and liabilities assumed are based on preliminary estimates of fair value available as of the issuance date of these condensed consolidated financial statements and may be adjusted during the measurement period of up to 12 months from the date of acquisition as further information becomes available. Any changes in the fair values of the assets acquired and liabilities assumed during the measurement period may result in adjustments to goodwill or identified intangible assets. As of June 30, 2026, the primary areas that remain preliminary relate to the valuation of certain intangible items and various tax implications resulting from the acquisition.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preliminary purchase consideration allocation recorded in the Company’s consolidated balance sheet as of the acquisition date:</w:t>
      </w:r>
    </w:p>
    <w:p>
      <w:pPr>
        <w:pStyle w:val="TextBody"/>
        <w:bidi w:val="0"/>
        <w:jc w:val="both"/>
        <w:rPr/>
      </w:pPr>
      <w:r>
        <w:rPr/>
        <w:t> </w:t>
      </w:r>
    </w:p>
    <w:tbl>
      <w:tblPr>
        <w:tblW w:w="4415" w:type="dxa"/>
        <w:jc w:val="left"/>
        <w:tblInd w:w="0" w:type="dxa"/>
        <w:tblLayout w:type="fixed"/>
        <w:tblCellMar>
          <w:top w:w="28" w:type="dxa"/>
          <w:left w:w="28" w:type="dxa"/>
          <w:bottom w:w="28" w:type="dxa"/>
          <w:right w:w="28" w:type="dxa"/>
        </w:tblCellMar>
      </w:tblPr>
      <w:tblGrid>
        <w:gridCol w:w="3061"/>
        <w:gridCol w:w="146"/>
        <w:gridCol w:w="196"/>
        <w:gridCol w:w="601"/>
        <w:gridCol w:w="4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Unbilled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non-current liabilities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acquisition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non-current liabilities includes $3.7 million of debt obligations which were repaid prior to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components of identifiable intangible assets acquired and their estimated useful lives as of the date of acquisition:</w:t>
      </w:r>
    </w:p>
    <w:p>
      <w:pPr>
        <w:pStyle w:val="TextBody"/>
        <w:bidi w:val="0"/>
        <w:jc w:val="left"/>
        <w:rPr/>
      </w:pPr>
      <w:r>
        <w:rPr/>
        <w:t> </w:t>
      </w:r>
    </w:p>
    <w:tbl>
      <w:tblPr>
        <w:tblW w:w="6340" w:type="dxa"/>
        <w:jc w:val="left"/>
        <w:tblInd w:w="0" w:type="dxa"/>
        <w:tblLayout w:type="fixed"/>
        <w:tblCellMar>
          <w:top w:w="28" w:type="dxa"/>
          <w:left w:w="28" w:type="dxa"/>
          <w:bottom w:w="28" w:type="dxa"/>
          <w:right w:w="28" w:type="dxa"/>
        </w:tblCellMar>
      </w:tblPr>
      <w:tblGrid>
        <w:gridCol w:w="1881"/>
        <w:gridCol w:w="146"/>
        <w:gridCol w:w="302"/>
        <w:gridCol w:w="928"/>
        <w:gridCol w:w="146"/>
        <w:gridCol w:w="146"/>
        <w:gridCol w:w="616"/>
        <w:gridCol w:w="1784"/>
        <w:gridCol w:w="391"/>
      </w:tblGrid>
      <w:tr>
        <w:trPr/>
        <w:tc>
          <w:tcPr>
            <w:tcW w:w="1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Useful Life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years)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Non-compete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Goodwill represents the future economic benefits arising from other assets that could not be individually identified and separately recognized, such as the acquired assembled workforce and synergies expected to be achieved from the integration of the 2025 Acquisitions. Goodwill is not deductible for tax purposes.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results of operations of the 2025 Acquisitions have been included in the Company’s condensed consolidated financial statements from the date of acquisition. Pro forma revenue and results of operations have not been presented because the historical results of the 2025 Acquisitions are not material to the Company’s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Intangible Assets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Goodwill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was no impairment of goodwill or other changes in the carrying amount of goodwill from December 31, 2025 to June 30,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Acquired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Acquired intangible assets, net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2"/>
        <w:gridCol w:w="146"/>
        <w:gridCol w:w="392"/>
        <w:gridCol w:w="1209"/>
        <w:gridCol w:w="146"/>
        <w:gridCol w:w="146"/>
        <w:gridCol w:w="628"/>
        <w:gridCol w:w="1208"/>
        <w:gridCol w:w="146"/>
        <w:gridCol w:w="146"/>
        <w:gridCol w:w="409"/>
        <w:gridCol w:w="1072"/>
        <w:gridCol w:w="146"/>
        <w:gridCol w:w="146"/>
        <w:gridCol w:w="775"/>
        <w:gridCol w:w="1763"/>
        <w:gridCol w:w="195"/>
      </w:tblGrid>
      <w:tr>
        <w:trPr/>
        <w:tc>
          <w:tcPr>
            <w:tcW w:w="1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Weighted Average Remaining Useful Life </w:t>
              <w:br/>
              <w:t>(In years)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Non-compete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$0.4 million and $0.7 million of amortization expense during the three and six months ended June 30, 2026, respectively, which was recorded as intangible amortization expense in the consolidated statement of operations. The Company had no intangible amortization expense during the three and six months ended June 30, 2025.</w:t>
      </w:r>
    </w:p>
    <w:p>
      <w:pPr>
        <w:pStyle w:val="TextBody"/>
        <w:bidi w:val="0"/>
        <w:jc w:val="both"/>
        <w:rPr>
          <w:rFonts w:ascii="Times New Roman" w:hAnsi="Times New Roman"/>
          <w:color w:val="000000"/>
          <w:sz w:val="20"/>
        </w:rPr>
      </w:pPr>
      <w:r>
        <w:rPr>
          <w:rFonts w:ascii="Times New Roman" w:hAnsi="Times New Roman"/>
          <w:color w:val="000000"/>
          <w:sz w:val="20"/>
        </w:rPr>
        <w:br/>
        <w:t>As of June 30, 2026, future amortization expense related to acquired intangible assets was as follows:</w:t>
      </w:r>
    </w:p>
    <w:p>
      <w:pPr>
        <w:pStyle w:val="TextBody"/>
        <w:bidi w:val="0"/>
        <w:jc w:val="both"/>
        <w:rPr/>
      </w:pPr>
      <w:r>
        <w:rPr/>
        <w:t> </w:t>
      </w:r>
    </w:p>
    <w:tbl>
      <w:tblPr>
        <w:tblW w:w="3838" w:type="dxa"/>
        <w:jc w:val="left"/>
        <w:tblInd w:w="0" w:type="dxa"/>
        <w:tblLayout w:type="fixed"/>
        <w:tblCellMar>
          <w:top w:w="28" w:type="dxa"/>
          <w:left w:w="28" w:type="dxa"/>
          <w:bottom w:w="28" w:type="dxa"/>
          <w:right w:w="28" w:type="dxa"/>
        </w:tblCellMar>
      </w:tblPr>
      <w:tblGrid>
        <w:gridCol w:w="1486"/>
        <w:gridCol w:w="146"/>
        <w:gridCol w:w="503"/>
        <w:gridCol w:w="1312"/>
        <w:gridCol w:w="3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Amortization Expense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Earn-Out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24, 2021 (the "Closing Date"), Rotor Acquisition Corp. ("Rotor"), a Delaware corporation, consummated the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 To reflect the Company's transition from a hardware-focused company to an AI software-focused company, in March 2024 the Company changed its name from Sarcos Technology and Robotics Corporation to Palladyne AI Corp.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the Business Combination, each holder of Old Sarcos capital stock is entitled to Contingent Merger Consideration following the closing of the Business Combination in the form of earn-outs, up to an aggregate of 4,687,500 shares of Common Stock (the "Earn-Out Shares"). On September 24, 2025, the four-year anniversary of the Closing Date, 2,343,750 of the Earn-Out Shares expired without having been released as the closing share price of a share of Common Stock of the Company did not equal or exceed $90.00 for 20 trading days in any 30 consecutive trading-day period at any time beginning on the first anniversary of the Closing Date and ending on the fourth anniversary of the Closing Date. The remaining 2,343,750 Earn-Out Shares will become payable if the closing share price of a share of Common Stock of the Company is equal to or exceeds $120.00 for 20 trading days in any 30 consecutive trading-day period at any time during the period beginning on the first anniversary of the Closing Date and ending on the fifth anniversary of the Closing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Earn-Out Shares are treated as equity-linked instruments as opposed to shares outstanding, and as such are not included in shares outstanding on the Company's condensed consolidated balance sheets. As of June 30, 2026, there remained 2,343,750 Earn-Out Shares potentially issuable.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DeSPAC Warrants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20, 2021, Rotor consummated the initial public offering ("IPO") of 27,600,000 units (the "Units"), including the full exercise by the underwriters of their over-allotment option. Each Unit included one sixth of a share of Class A Common Stock and one half of one warrant (the "deSPAC Public Warrants"). Simultaneously with the closing of the IPO, Rotor consummated the sale of 7,270,000 warrants (the "deSPAC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deSPAC Public Warrants, and the deSPAC Private Placement Warrants (together the "deSPAC Warrants"). The deSPAC Public Warrants are listed and traded under the PDYNW ticker symbol on the Nasdaq Global Market.</w:t>
      </w:r>
    </w:p>
    <w:p>
      <w:pPr>
        <w:pStyle w:val="TextBody"/>
        <w:bidi w:val="0"/>
        <w:jc w:val="both"/>
        <w:rPr>
          <w:rFonts w:ascii="Times New Roman" w:hAnsi="Times New Roman"/>
          <w:color w:val="000000"/>
          <w:sz w:val="20"/>
        </w:rPr>
      </w:pPr>
      <w:r>
        <w:rPr>
          <w:rFonts w:ascii="Times New Roman" w:hAnsi="Times New Roman"/>
          <w:color w:val="000000"/>
          <w:sz w:val="20"/>
        </w:rPr>
        <w:t>Each whole deSPAC Warrant entitles the registered holder to purchase one sixth of a share of the Company's Common Stock at a price of $11.50 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deSPAC Warrants and a current prospectus relating to them is available (or the Company permits holders to exercise their deSPAC Warrants on a cashless basis under the circumstances specified in the warrant agreement (the "deSPAC Warrant Agreement") entered into between Continental Stock Transfer &amp; Trust Company and Rotor and such shares are registered, qualified or exempt from registration under the securities laws of the state of residence of the holder. Pursuant to the deSPAC Warrant Agreement, a deSPAC Warrant holder may exercise its deSPAC Warrants only for a whole number of shares of the Company's Common Stock. The deSPAC Warrants will expire five years after the completion of the Business Combination, or September 24, 2026, at 5:00 p.m., New York City time, or earlier upon redemption or liquidation. As of June 30, 2026, there were 20,549,453 DeSPAC Warrants outstanding.</w:t>
      </w:r>
    </w:p>
    <w:p>
      <w:pPr>
        <w:pStyle w:val="TextBody"/>
        <w:bidi w:val="0"/>
        <w:jc w:val="both"/>
        <w:rPr>
          <w:rFonts w:ascii="Times New Roman" w:hAnsi="Times New Roman"/>
          <w:color w:val="000000"/>
          <w:sz w:val="20"/>
        </w:rPr>
      </w:pPr>
      <w:r>
        <w:rPr>
          <w:rFonts w:ascii="Times New Roman" w:hAnsi="Times New Roman"/>
          <w:color w:val="000000"/>
          <w:sz w:val="20"/>
        </w:rPr>
        <w:t>The Company will not be obligated to deliver any Common Stock pursuant to the exercise of a deSPAC Warrant and will have no obligation to settle such deSPAC Warrant exercise unless a registration statement under the Securities Act with respect to the shares of Common Stock underlying the deSPAC Warrants is then effective and a prospectus relating thereto is current, subject to the Company satisfying its obligations described below with respect to registration, or a valid exemption from registration is available. No deSPAC Warrant will be exercisable, and the Company will not be obligated to issue a share of Common Stock upon exercise of a deSPAC Warrant unless the share of the Company's Common Stock issuable upon such deSPAC Warrant exercise has been registered, qualified or deemed to be exempt under the securities laws of the state of residence of the registered holder of the deSPAC Warrants. If the conditions in the two immediately preceding sentences are not satisfied with respect to a deSPAC Warrant, the holder of such deSPAC Warrant will not be entitled to exercise such deSPAC Warrant and such deSPAC Warrant may have no value and expire worthless. In no event will the Company be required to net cash settle any deSPAC Warrant. In the event a registration statement is not effective for the exercised deSPAC Warrants, the purchaser in the Rotor IPO of a Unit containing such deSPAC Warrant will have paid the full purchase price for the Unit solely for the share of the Company's Common Stock underlying such Unit.</w:t>
      </w:r>
    </w:p>
    <w:p>
      <w:pPr>
        <w:pStyle w:val="TextBody"/>
        <w:bidi w:val="0"/>
        <w:jc w:val="both"/>
        <w:rPr>
          <w:rFonts w:ascii="Times New Roman" w:hAnsi="Times New Roman"/>
          <w:color w:val="000000"/>
          <w:sz w:val="20"/>
        </w:rPr>
      </w:pPr>
      <w:r>
        <w:rPr>
          <w:rFonts w:ascii="Times New Roman" w:hAnsi="Times New Roman"/>
          <w:color w:val="000000"/>
          <w:sz w:val="20"/>
        </w:rPr>
        <w:t>Except as described herein, the deSPAC Private Placement Warrants have terms and provisions that are identical to those of the deSPAC Public Warrants. If the deSPAC Private Placement Warrants are held by holders other than the initial purchasers or their permitted transferees, the deSPAC Private Placement Warrants will be redeemable by the Company in all redemption scenarios and exercisable by the holders on the same basis as the deSPAC Public Warrants. The deSPAC Private Placement Warrants will not be redeemable by the Company so long as they are held by the initial purchasers or their permitted transferees, subject to certain exceptions. The initial purchasers or their permitted transferees, have the option to exercise the deSPAC Private Placement Warrants on a cashless basis.</w:t>
      </w:r>
    </w:p>
    <w:p>
      <w:pPr>
        <w:pStyle w:val="TextBody"/>
        <w:bidi w:val="0"/>
        <w:jc w:val="both"/>
        <w:rPr>
          <w:rFonts w:ascii="Times New Roman" w:hAnsi="Times New Roman"/>
          <w:sz w:val="20"/>
        </w:rPr>
      </w:pPr>
      <w:r>
        <w:rPr>
          <w:rFonts w:ascii="Times New Roman" w:hAnsi="Times New Roman"/>
          <w:i/>
          <w:color w:val="000000"/>
          <w:sz w:val="20"/>
        </w:rPr>
        <w:t>Redemption of deSPAC</w:t>
      </w:r>
      <w:r>
        <w:rPr>
          <w:rFonts w:ascii="Times New Roman" w:hAnsi="Times New Roman"/>
          <w:color w:val="000000"/>
          <w:sz w:val="20"/>
        </w:rPr>
        <w:t xml:space="preserve"> </w:t>
      </w:r>
      <w:r>
        <w:rPr>
          <w:rFonts w:ascii="Times New Roman" w:hAnsi="Times New Roman"/>
          <w:i/>
          <w:color w:val="000000"/>
          <w:sz w:val="20"/>
        </w:rPr>
        <w:t>Warrants When the Price per Share of the Company's</w:t>
      </w:r>
      <w:r>
        <w:rPr>
          <w:rFonts w:ascii="Times New Roman" w:hAnsi="Times New Roman"/>
          <w:color w:val="000000"/>
          <w:sz w:val="20"/>
        </w:rPr>
        <w:t xml:space="preserve"> </w:t>
      </w:r>
      <w:r>
        <w:rPr>
          <w:rFonts w:ascii="Times New Roman" w:hAnsi="Times New Roman"/>
          <w:i/>
          <w:color w:val="000000"/>
          <w:sz w:val="20"/>
        </w:rPr>
        <w:t xml:space="preserve">Common Stock Equals or Exceeds $108.00. </w:t>
      </w:r>
      <w:r>
        <w:rPr>
          <w:rFonts w:ascii="Times New Roman" w:hAnsi="Times New Roman"/>
          <w:color w:val="000000"/>
          <w:sz w:val="20"/>
        </w:rPr>
        <w:t>Once the deSPAC Warrants become exercisable, the Company may call the deSPAC Warrants for redemption: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at a price of $0.01</w:t>
      </w:r>
      <w:r>
        <w:rPr>
          <w:color w:val="000000"/>
        </w:rPr>
        <w:t xml:space="preserve"> </w:t>
      </w:r>
      <w:r>
        <w:rPr>
          <w:rFonts w:ascii="Times New Roman" w:hAnsi="Times New Roman"/>
          <w:color w:val="000000"/>
          <w:sz w:val="20"/>
        </w:rPr>
        <w:t>per deSPAC Warrant;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not less than 30 days' prior written notice of redemption (the "30-day redemption period") to each deSPAC Warrant holder;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and only if, the last reported sale price of the shares of the Company's Common Stock for any 20 trading days within a 30-trading day period commencing after the deSPAC Warrants become exercisable and ending three business days before the Company sends the notice of redemption to the deSPAC Warrant holders (which is referred to as the "Reference Value") equals or exceeds $108.00 per share (as adjusted for stock splits, stock dividends, reorganizations, recapitalizations and the like).</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and when the deSPAC Warrants become redeemable by the Company, the Company may exercise its redemption right even if it is unable to register or qualify the underlying securities for sale under all applicable state securities laws. However, the Company will not redeem the deSPAC Warrants unless an effective registration statement under the Securities Act covering the shares of the Company's Common Stock issuable upon exercise of the deSPAC Warrants is effective and a current prospectus relating to those shares of the Company's Common Stock is available throughout the 30-day redemption period.</w:t>
      </w:r>
    </w:p>
    <w:p>
      <w:pPr>
        <w:pStyle w:val="TextBody"/>
        <w:bidi w:val="0"/>
        <w:jc w:val="both"/>
        <w:rPr>
          <w:rFonts w:ascii="Times New Roman" w:hAnsi="Times New Roman"/>
          <w:sz w:val="20"/>
        </w:rPr>
      </w:pPr>
      <w:r>
        <w:rPr>
          <w:rFonts w:ascii="Times New Roman" w:hAnsi="Times New Roman"/>
          <w:i/>
          <w:color w:val="000000"/>
          <w:sz w:val="20"/>
        </w:rPr>
        <w:t xml:space="preserve">Redemption of deSPAC Warrants When the Price per Share of Our Common Stock Equals or Exceeds $60.00. </w:t>
      </w:r>
      <w:r>
        <w:rPr>
          <w:rFonts w:ascii="Times New Roman" w:hAnsi="Times New Roman"/>
          <w:color w:val="000000"/>
          <w:sz w:val="20"/>
        </w:rPr>
        <w:t>Once the deSPAC Warrants become exercisable, the Company may redeem the outstanding deSPAC Warrants (except as described herein with respect to the deSPAC Private Placement Warrants if the Company does not utilize this redemption provision):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$0.10 per deSPAC Warrant upon a minimum of 30 days' prior written notice of redemption; provided that holders will be able to exercise their deSPAC Warrants on a cashless basis prior to redemption and receive that number of shares determined by reference to an agreed table based on the redemption date and the "fair market value" of the Company's Common Stock;</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and only if, the Reference Value (as defined above) equals or exceeds $60.00 per share (as adjusted for stock splits, stock dividends, reorganizations, recapitalizations and the like);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Reference Value is less than $108.00 per share (as adjusted for stock splits, stock dividends, reorganizations, recapitalizations and the like) the deSPAC Private Placement Warrants must also be concurrently called for redemption on the same terms (except as described above with respect to a holder's ability to cashless exercise its deSPAC Warrants) as the outstanding deSPAC Public Warrants, as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Both the deSPAC Public Warrants and the deSPAC Private Placement Warrants are recorded as warrant liabilities on the Company's consolidated balance sheets. The Company values both the deSPAC Public and deSPAC Private Placement Warrants using the closing price of the deSPAC Public Warrants on the Nasdaq Global Market as of the reporting date. The fair value measurement for the deSPAC Public Warrants is considered a level 1 fair value measurement, and the fair value measurement for the deSPAC Private Placement Warrants is considered a level 2 fair value measurement, as the deSPAC Private Placement Warrants are substantially the same, but not identical to, the deSPAC Public Warrants.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recognized gains of $0.8 million and losses of $2.1 million related to the change in fair value of the deSPAC Warrants during the three months ended June 30, 2026 and 2025, respectively. The Company recognized gains of $0.6 million and $7.9 million related to the change in fair value of the deSPAC Warrants during the six months ended June 30, 2026 and 2025, respectively.</w:t>
      </w:r>
    </w:p>
    <w:p>
      <w:pPr>
        <w:pStyle w:val="TextBody"/>
        <w:bidi w:val="0"/>
        <w:jc w:val="both"/>
        <w:rPr/>
      </w:pPr>
      <w:r>
        <w:rPr/>
        <w:t> </w:t>
      </w:r>
    </w:p>
    <w:p>
      <w:pPr>
        <w:pStyle w:val="TextBody"/>
        <w:bidi w:val="0"/>
        <w:spacing w:before="0" w:after="200"/>
        <w:jc w:val="both"/>
        <w:rPr>
          <w:rFonts w:ascii="Times New Roman" w:hAnsi="Times New Roman"/>
          <w:b/>
          <w:color w:val="000000"/>
          <w:sz w:val="20"/>
        </w:rPr>
      </w:pPr>
      <w:r>
        <w:rPr>
          <w:rFonts w:ascii="Times New Roman" w:hAnsi="Times New Roman"/>
          <w:b/>
          <w:color w:val="000000"/>
          <w:sz w:val="20"/>
        </w:rPr>
        <w:t>8. 2024 Warrants</w:t>
      </w:r>
    </w:p>
    <w:p>
      <w:pPr>
        <w:pStyle w:val="TextBody"/>
        <w:bidi w:val="0"/>
        <w:spacing w:before="0" w:after="200"/>
        <w:jc w:val="both"/>
        <w:rPr>
          <w:rFonts w:ascii="Times New Roman" w:hAnsi="Times New Roman"/>
          <w:color w:val="212529"/>
          <w:sz w:val="20"/>
        </w:rPr>
      </w:pPr>
      <w:r>
        <w:rPr>
          <w:rFonts w:ascii="Times New Roman" w:hAnsi="Times New Roman"/>
          <w:color w:val="212529"/>
          <w:sz w:val="20"/>
        </w:rPr>
        <w:t xml:space="preserve">On November 1, 2024, the Company closed a registered direct offering for an aggregate of 2,790,700 shares of its common stock at a purchase price of $2.15 per share. In a concurrent private placement, the Company agreed to issue to the same investor warrants to purchase up to 2,790,700 shares of common stock (the "2024 Private Placement Warrants"). The 2024 Private Placement Warrants had an exercise price of $2.30 per share and were exercised in full May 2025, as discussed below. </w:t>
      </w:r>
    </w:p>
    <w:p>
      <w:pPr>
        <w:pStyle w:val="TextBody"/>
        <w:bidi w:val="0"/>
        <w:jc w:val="both"/>
        <w:rPr>
          <w:rFonts w:ascii="Times New Roman" w:hAnsi="Times New Roman"/>
          <w:color w:val="212529"/>
          <w:sz w:val="20"/>
        </w:rPr>
      </w:pPr>
      <w:r>
        <w:rPr>
          <w:rFonts w:ascii="Times New Roman" w:hAnsi="Times New Roman"/>
          <w:color w:val="212529"/>
          <w:sz w:val="20"/>
        </w:rPr>
        <w:t xml:space="preserve">In a separate concurrent private placement, the Company's Chief Executive Officer and certain other members of the Board of Directors purchased 430,105 shares of common stock at a price of $2.20 per share, which represented the consolidated closing bid price of the Company's common stock on the Nasdaq Global Market on October 30, 2024, and warrants to purchase up to 430,105 shares of common stock, at a price of $0.125 per warrant (the "2024 Concurrent Private Placement Warrants"). The 2024 Concurrent Private Placement Warrants have an exercise price of $2.30 per share and will expire five and one-half years following the date of issue. </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The Company received gross proceeds of approximately $7 million, before deducting placement agency fees and offering expenses from the registered direct offering, the 2024 Private Placement Warrants and the 2024 Concurrent Private Placement Warrants (together the "2024 Warrants").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212529"/>
          <w:sz w:val="20"/>
        </w:rPr>
        <w:t xml:space="preserve">On May 9, 2025, all 2,790,700 of the 2024 Private Placement Warrants were exercised. </w:t>
      </w:r>
      <w:r>
        <w:rPr>
          <w:rFonts w:ascii="Times New Roman" w:hAnsi="Times New Roman"/>
          <w:color w:val="000000"/>
          <w:sz w:val="20"/>
        </w:rPr>
        <w:t xml:space="preserve">As of June 30, 2026, all 430,105 of the 2024 Concurrent Private Placement Warrants were outstanding. </w:t>
      </w:r>
      <w:r>
        <w:rPr>
          <w:rFonts w:ascii="Times New Roman" w:hAnsi="Times New Roman"/>
          <w:color w:val="212529"/>
          <w:sz w:val="20"/>
        </w:rPr>
        <w:t xml:space="preserve">The 2024 Warrants are recorded as warrant liabilities on the Company's consolidated balance sheet. The Company estimated the fair value of the 2024 Warrants using the Black-Scholes valuation model, which is considered a level 3 fair value measurement. The valuation model inputs are based on </w:t>
      </w:r>
      <w:r>
        <w:rPr>
          <w:rFonts w:ascii="Times New Roman" w:hAnsi="Times New Roman"/>
          <w:color w:val="000000"/>
          <w:sz w:val="20"/>
        </w:rPr>
        <w:t>assumptions related to expected volatility, expected life, risk-free interest rate and expected dividends</w:t>
      </w:r>
      <w:r>
        <w:rPr>
          <w:rFonts w:ascii="Times New Roman" w:hAnsi="Times New Roman"/>
          <w:color w:val="212529"/>
          <w:sz w:val="20"/>
        </w:rPr>
        <w:t xml:space="preserve">. These estimates, especially the expected volatility, are highly judgmental and could differ materially in the future. The Company did not recognize any gains or losses related to changes in fair value of the 2024 Warrants during the three months ended June 30, 2026 and gains of $2.2 million during the three months ended June 30, 2025. The Company recognized losses of $0.8 million and gains of $21.4 million related to the change in fair value of the 2024 Warrants during the six months ended June 30, 2026 and 2025, respectively, which are recorded as a (loss) gain on warrant liabilities within the consolidated statements of operations.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quantitative information regarding assumptions used in the valuation model to determine the fair value of the 2024 Warrants:</w:t>
      </w:r>
    </w:p>
    <w:p>
      <w:pPr>
        <w:pStyle w:val="TextBody"/>
        <w:bidi w:val="0"/>
        <w:jc w:val="both"/>
        <w:rPr/>
      </w:pPr>
      <w:r>
        <w:rPr/>
        <w:t> </w:t>
      </w:r>
    </w:p>
    <w:tbl>
      <w:tblPr>
        <w:tblW w:w="4585" w:type="dxa"/>
        <w:jc w:val="left"/>
        <w:tblInd w:w="0" w:type="dxa"/>
        <w:tblLayout w:type="fixed"/>
        <w:tblCellMar>
          <w:top w:w="28" w:type="dxa"/>
          <w:left w:w="28" w:type="dxa"/>
          <w:bottom w:w="28" w:type="dxa"/>
          <w:right w:w="28" w:type="dxa"/>
        </w:tblCellMar>
      </w:tblPr>
      <w:tblGrid>
        <w:gridCol w:w="1426"/>
        <w:gridCol w:w="146"/>
        <w:gridCol w:w="320"/>
        <w:gridCol w:w="835"/>
        <w:gridCol w:w="256"/>
        <w:gridCol w:w="146"/>
        <w:gridCol w:w="320"/>
        <w:gridCol w:w="835"/>
        <w:gridCol w:w="30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2021 Stock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Amended and Restated 2021 Equity Incentive Plan (the "2021 Plan") provides stock options, restricted stock units ("RSUs"), restricted stock awards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(a) 9.5 million shares of Common Stock of the Company plus (b)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(b) equal to 2.1 million shares of Common Stock. As of June 30, 2026, 5.9 million shares were available to grant under the 2021 Plan.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2015 Stock Plan</w:t>
      </w:r>
    </w:p>
    <w:p>
      <w:pPr>
        <w:pStyle w:val="TextBody"/>
        <w:bidi w:val="0"/>
        <w:jc w:val="both"/>
        <w:rPr>
          <w:rFonts w:ascii="Times New Roman" w:hAnsi="Times New Roman"/>
          <w:color w:val="000000"/>
          <w:sz w:val="20"/>
        </w:rPr>
      </w:pPr>
      <w:r>
        <w:rPr>
          <w:rFonts w:ascii="Times New Roman" w:hAnsi="Times New Roman"/>
          <w:color w:val="000000"/>
          <w:sz w:val="20"/>
        </w:rPr>
        <w:t xml:space="preserve">The Old Sarcos 2015 Equity Incentive Plan (the "2015 Plan") provided stock options, RSUs, RSAs, SARS and performance awards for issuance to Old Sarcos'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2024 Inducement Plan</w:t>
      </w:r>
    </w:p>
    <w:p>
      <w:pPr>
        <w:pStyle w:val="TextBody"/>
        <w:bidi w:val="0"/>
        <w:jc w:val="both"/>
        <w:rPr>
          <w:rFonts w:ascii="Times New Roman" w:hAnsi="Times New Roman"/>
          <w:color w:val="000000"/>
          <w:sz w:val="20"/>
        </w:rPr>
      </w:pPr>
      <w:r>
        <w:rPr>
          <w:rFonts w:ascii="Times New Roman" w:hAnsi="Times New Roman"/>
          <w:color w:val="000000"/>
          <w:sz w:val="20"/>
        </w:rPr>
        <w:t>The Company adopted the 2024 Inducement Equity Incentive Plan (the "Inducement Plan") with an effective date of December 15, 2024 to be used exclusively for grants of nonstatutory stock options, RSUs, RSAs, SARS and performance awards to individuals who were not previously employees or directors of the Company (or who are returning to employment following a bona fide period of non-employment), as an inducement material to the individual's entry into employment with the Company. The Inducement Plan was adopted and approved without stockholder approval pursuant to Nasdaq Listing Rule 5635(c)(4). As of June 30, 2026, 64,428 shares were available to grant under the Inducement Plan.</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2021 Employee Stock Purchase Plan</w:t>
      </w:r>
    </w:p>
    <w:p>
      <w:pPr>
        <w:pStyle w:val="TextBody"/>
        <w:bidi w:val="0"/>
        <w:jc w:val="both"/>
        <w:rPr>
          <w:rFonts w:ascii="Times New Roman" w:hAnsi="Times New Roman"/>
          <w:color w:val="000000"/>
          <w:sz w:val="20"/>
        </w:rPr>
      </w:pPr>
      <w:r>
        <w:rPr>
          <w:rFonts w:ascii="Times New Roman" w:hAnsi="Times New Roman"/>
          <w:color w:val="000000"/>
          <w:sz w:val="20"/>
        </w:rPr>
        <w:t>The 2021 Employee Stock Purchase Plan (the "ESPP") provides for the issuance of shares of Common Stock pursuant to purchase rights granted to employees over designated offering periods, by funds accumulated primarily through elective payroll deductions. Offerings under the ESPP commenced in December 2024. As of June 30, 2026, 450,404 shares were available for sale under the ESPP.</w:t>
      </w:r>
    </w:p>
    <w:p>
      <w:pPr>
        <w:pStyle w:val="TextBody"/>
        <w:bidi w:val="0"/>
        <w:jc w:val="both"/>
        <w:rPr>
          <w:rFonts w:ascii="Times New Roman" w:hAnsi="Times New Roman"/>
          <w:color w:val="000000"/>
          <w:sz w:val="20"/>
        </w:rPr>
      </w:pPr>
      <w:r>
        <w:rPr>
          <w:rFonts w:ascii="Times New Roman" w:hAnsi="Times New Roman"/>
          <w:color w:val="000000"/>
          <w:sz w:val="20"/>
        </w:rPr>
        <w:t>Offering periods are generally six months long and begin on June 1 and December 1 of each year. The purchase price for shares of Common Stock purchased under the ESPP is calculated as 85% of the lesser of the fair market value of the Common Stock on (1) the first trading day of the applicable offering period or (2) the last trading day of the offering period.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 Option Activity</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summarizes the Company’s stock option activity for the six months ended June 30, 2026: </w:t>
      </w:r>
    </w:p>
    <w:p>
      <w:pPr>
        <w:pStyle w:val="TextBody"/>
        <w:bidi w:val="0"/>
        <w:jc w:val="left"/>
        <w:rPr/>
      </w:pPr>
      <w:r>
        <w:rPr/>
        <w:t> </w:t>
      </w:r>
    </w:p>
    <w:tbl>
      <w:tblPr>
        <w:tblW w:w="10150" w:type="dxa"/>
        <w:jc w:val="left"/>
        <w:tblInd w:w="0" w:type="dxa"/>
        <w:tblLayout w:type="fixed"/>
        <w:tblCellMar>
          <w:top w:w="28" w:type="dxa"/>
          <w:left w:w="28" w:type="dxa"/>
          <w:bottom w:w="28" w:type="dxa"/>
          <w:right w:w="28" w:type="dxa"/>
        </w:tblCellMar>
      </w:tblPr>
      <w:tblGrid>
        <w:gridCol w:w="2566"/>
        <w:gridCol w:w="146"/>
        <w:gridCol w:w="227"/>
        <w:gridCol w:w="1288"/>
        <w:gridCol w:w="166"/>
        <w:gridCol w:w="146"/>
        <w:gridCol w:w="481"/>
        <w:gridCol w:w="1034"/>
        <w:gridCol w:w="146"/>
        <w:gridCol w:w="146"/>
        <w:gridCol w:w="468"/>
        <w:gridCol w:w="1063"/>
        <w:gridCol w:w="146"/>
        <w:gridCol w:w="146"/>
        <w:gridCol w:w="439"/>
        <w:gridCol w:w="1151"/>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Intrinsic</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Contractual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Forfeited or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2025 Executive RSU Awards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2025, the Board of Directors approved certain Executive Restricted Stock Unit ("2025 Executive RSU") awards covering an aggregate of 5.4 million shares to certain senior executives outside of the 2021 Plan. In June 2026, shareholders approved the 2025 Executive RSU awards. Each 2025 Executive RSU award is divided into 10 equally-sized tranches, each tied to progressively higher stock price goals. The stock price goal for each tranche will be met only when the closing price per share of our common stock meets or exceeds the stock price goal on a sustained basis for a period of 60 consecutive trading days. A tranche for which the stock price is met will vest only if the associated service-based vesting condition is satisfied. If the stock price goal for a tranche is achieved, the number of restricted stock units that will be eligible for vesting for that tranche will be based on the increase in value of the Company's stock from the time of grant to the time of vesting. The increase in value will be determined by multiplying (a) the number of units subject to the tranche scheduled to vest on that vesting date by (b) (i) the excess, if any, of the volume-weighted average closing price of the Company's common shares for the 20-trading day period prior to and including the vesting date over the volume-weighted average closing price of the Company's common shares for the 20-trading day period ending on and including November 15, 2025 divided by (ii) by the volume-weighted average closing price of the Company's common shares for the 20-trading day period prior to and including the vesting date. If a stock price goal is not met by November 15, 2030, the tranche of the award tied to such stock price goal will be forfeited.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2025 Executive RSU awards contain a market condition. The Company used a Monte Carlo valuation model to estimate the fair value of the award as of the grant-date. The associated compensation cost is recognized over the derived service period regardless of whether the market condition is ultimately satisfied. The Company calculated the grant-date fair value of the 2025 Executive RSU awards using the following weighted-average assumptions:</w:t>
      </w:r>
    </w:p>
    <w:p>
      <w:pPr>
        <w:pStyle w:val="TextBody"/>
        <w:bidi w:val="0"/>
        <w:jc w:val="both"/>
        <w:rPr/>
      </w:pPr>
      <w:r>
        <w:rPr/>
        <w:t> </w:t>
      </w:r>
    </w:p>
    <w:tbl>
      <w:tblPr>
        <w:tblW w:w="3535" w:type="dxa"/>
        <w:jc w:val="left"/>
        <w:tblInd w:w="0" w:type="dxa"/>
        <w:tblLayout w:type="fixed"/>
        <w:tblCellMar>
          <w:top w:w="28" w:type="dxa"/>
          <w:left w:w="28" w:type="dxa"/>
          <w:bottom w:w="28" w:type="dxa"/>
          <w:right w:w="28" w:type="dxa"/>
        </w:tblCellMar>
      </w:tblPr>
      <w:tblGrid>
        <w:gridCol w:w="2341"/>
        <w:gridCol w:w="146"/>
        <w:gridCol w:w="146"/>
        <w:gridCol w:w="601"/>
        <w:gridCol w:w="30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2025 Executive RSU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Restricted Stock Units Activity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 summary of the Company’s RSU activity for the six months ended June 30, 2026, including the 2025 Executive RSU awards discussed above:</w:t>
      </w:r>
    </w:p>
    <w:p>
      <w:pPr>
        <w:pStyle w:val="TextBody"/>
        <w:bidi w:val="0"/>
        <w:jc w:val="left"/>
        <w:rPr/>
      </w:pPr>
      <w:r>
        <w:rPr/>
        <w:t> </w:t>
      </w:r>
    </w:p>
    <w:tbl>
      <w:tblPr>
        <w:tblW w:w="8644" w:type="dxa"/>
        <w:jc w:val="left"/>
        <w:tblInd w:w="0" w:type="dxa"/>
        <w:tblLayout w:type="fixed"/>
        <w:tblCellMar>
          <w:top w:w="28" w:type="dxa"/>
          <w:left w:w="28" w:type="dxa"/>
          <w:bottom w:w="28" w:type="dxa"/>
          <w:right w:w="28" w:type="dxa"/>
        </w:tblCellMar>
      </w:tblPr>
      <w:tblGrid>
        <w:gridCol w:w="2566"/>
        <w:gridCol w:w="346"/>
        <w:gridCol w:w="226"/>
        <w:gridCol w:w="1289"/>
        <w:gridCol w:w="248"/>
        <w:gridCol w:w="218"/>
        <w:gridCol w:w="1066"/>
        <w:gridCol w:w="2294"/>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Restricted Stock Units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Weighted-Average Grant-Date Fair Value </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1,577,394</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6,186,449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(391,002</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Forfeited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(166,769</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June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7,206,072</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Restricted Stock Awards Activity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summarizes the Company’s employee RSA activity for the six months ended June 30, 2026:</w:t>
      </w:r>
    </w:p>
    <w:p>
      <w:pPr>
        <w:pStyle w:val="TextBody"/>
        <w:bidi w:val="0"/>
        <w:jc w:val="both"/>
        <w:rPr/>
      </w:pPr>
      <w:r>
        <w:rPr/>
        <w:t> </w:t>
      </w:r>
    </w:p>
    <w:tbl>
      <w:tblPr>
        <w:tblW w:w="8308" w:type="dxa"/>
        <w:jc w:val="left"/>
        <w:tblInd w:w="0" w:type="dxa"/>
        <w:tblLayout w:type="fixed"/>
        <w:tblCellMar>
          <w:top w:w="28" w:type="dxa"/>
          <w:left w:w="28" w:type="dxa"/>
          <w:bottom w:w="28" w:type="dxa"/>
          <w:right w:w="28" w:type="dxa"/>
        </w:tblCellMar>
      </w:tblPr>
      <w:tblGrid>
        <w:gridCol w:w="2566"/>
        <w:gridCol w:w="146"/>
        <w:gridCol w:w="236"/>
        <w:gridCol w:w="1337"/>
        <w:gridCol w:w="236"/>
        <w:gridCol w:w="236"/>
        <w:gridCol w:w="1066"/>
        <w:gridCol w:w="2294"/>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Restricted Stock Awards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Weighted-Average Grant-Date Fair Value </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cs="Times New Roman"/>
                <w:color w:val="000000"/>
                <w:szCs w:val="18"/>
              </w:rPr>
            </w:pPr>
            <w:r>
              <w:rPr>
                <w:rFonts w:cs="Times New Roman"/>
                <w:color w:val="000000"/>
                <w:szCs w:val="18"/>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1,500,000</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3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1,500,000</w:t>
            </w:r>
          </w:p>
        </w:tc>
        <w:tc>
          <w:tcPr>
            <w:tcW w:w="2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recognized stock-based compensation expense in the condensed consolidated statement of operations and comprehensive loss as follows: </w:t>
      </w:r>
    </w:p>
    <w:p>
      <w:pPr>
        <w:pStyle w:val="TextBody"/>
        <w:bidi w:val="0"/>
        <w:jc w:val="left"/>
        <w:rPr/>
      </w:pPr>
      <w:r>
        <w:rPr/>
        <w:t> </w:t>
      </w:r>
    </w:p>
    <w:tbl>
      <w:tblPr>
        <w:tblW w:w="8706" w:type="dxa"/>
        <w:jc w:val="left"/>
        <w:tblInd w:w="0" w:type="dxa"/>
        <w:tblLayout w:type="fixed"/>
        <w:tblCellMar>
          <w:top w:w="28" w:type="dxa"/>
          <w:left w:w="28" w:type="dxa"/>
          <w:bottom w:w="28" w:type="dxa"/>
          <w:right w:w="28" w:type="dxa"/>
        </w:tblCellMar>
      </w:tblPr>
      <w:tblGrid>
        <w:gridCol w:w="3201"/>
        <w:gridCol w:w="146"/>
        <w:gridCol w:w="281"/>
        <w:gridCol w:w="732"/>
        <w:gridCol w:w="209"/>
        <w:gridCol w:w="209"/>
        <w:gridCol w:w="281"/>
        <w:gridCol w:w="732"/>
        <w:gridCol w:w="146"/>
        <w:gridCol w:w="146"/>
        <w:gridCol w:w="256"/>
        <w:gridCol w:w="669"/>
        <w:gridCol w:w="191"/>
        <w:gridCol w:w="191"/>
        <w:gridCol w:w="256"/>
        <w:gridCol w:w="669"/>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2,319</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there was approximately $40.1 million of unrecognized stock-based compensation cost, which is expected to be recognized over a weighted average period of 2.8 years.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Net (Loss) Income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the computation of the basic and diluted net (loss) income per share attributable to common stockholders for the three and six months ended June 30, 2026 and 2025: </w:t>
      </w:r>
    </w:p>
    <w:p>
      <w:pPr>
        <w:pStyle w:val="TextBody"/>
        <w:bidi w:val="0"/>
        <w:jc w:val="left"/>
        <w:rPr/>
      </w:pPr>
      <w:r>
        <w:rPr/>
        <w:t> </w:t>
      </w:r>
    </w:p>
    <w:tbl>
      <w:tblPr>
        <w:tblW w:w="9732" w:type="dxa"/>
        <w:jc w:val="left"/>
        <w:tblInd w:w="0" w:type="dxa"/>
        <w:tblLayout w:type="fixed"/>
        <w:tblCellMar>
          <w:top w:w="28" w:type="dxa"/>
          <w:left w:w="28" w:type="dxa"/>
          <w:bottom w:w="28" w:type="dxa"/>
          <w:right w:w="28" w:type="dxa"/>
        </w:tblCellMar>
      </w:tblPr>
      <w:tblGrid>
        <w:gridCol w:w="3811"/>
        <w:gridCol w:w="146"/>
        <w:gridCol w:w="196"/>
        <w:gridCol w:w="916"/>
        <w:gridCol w:w="166"/>
        <w:gridCol w:w="146"/>
        <w:gridCol w:w="196"/>
        <w:gridCol w:w="916"/>
        <w:gridCol w:w="166"/>
        <w:gridCol w:w="146"/>
        <w:gridCol w:w="196"/>
        <w:gridCol w:w="916"/>
        <w:gridCol w:w="166"/>
        <w:gridCol w:w="146"/>
        <w:gridCol w:w="196"/>
        <w:gridCol w:w="916"/>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Weighted average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45,986,936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37,746,302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45,531,239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36,231,623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Dilutive effect of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3,335,399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Weighted average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45,986,936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37,746,302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45,531,239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39,567,022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 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 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Anti-dilutive securities, excluded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16,026,027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12,626,958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16,026,027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8,245,129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Potentially dilutive shares, which are based on the weighted-average shares of common stock, stock options, unvested stock units, unvested stock awards, purchase rights granted under the employee stock purchase plan and warrants using the treasury stock method are included when calculating diluted net (loss) income per share attributable to the Company when their effect is dilutive. Because the Company incurred a net loss for the three months ended June 30, 2026 and 2025 and the six months ended June 30, 2026, none of the potentially dilutive common shares were included in the diluted share calculation for that period as they would have been anti-dilutive.</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Income Taxes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had no significant income tax expense for the three and six months ended June 30, 2026 and 2025. The provision for income taxes for the three and six months ended June 30, 2026 and 2025 is based on the Company’s estimated annualized effective tax rate for the fiscal years ending December 31, 2026 and 2025, respectively. For the three and six months ended June 30, 2026, the Company’s recognized effective tax rate differs from the U.S. federal statutory rate as the Company recorded net taxable losses during the periods with a corresponding full valuation allowance on the net deferred tax assets created from the losses.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June 30, 2026 and December 31, 2025, respectively.</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Indemnifications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June 30, 2026 and December 31, 2025,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Segment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determined that it has a single operating segment. The Company derives revenues from engineering and research and development service contracts, product sales, including our AI/ML software products, and precision machining and fabrication services. The accounting policies of the segment are the same as those described in Note 1, Basis of Presentation and Summary of Significant Accounting Policies.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Chief Executive Officer is the Chief Operating Decision Maker ("CODM"). The CODM allocates resources and makes operating decisions based on consolidated net income. The CODM does not evaluate profitability below the level of the consolidated company. Net (loss) income is used to monitor results on a budget versus actual basis. Net (loss) income is adjusted for various non-recurring and non-cash transactions such as stock compensation expenses and impairment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significant segment expenses:</w:t>
      </w:r>
    </w:p>
    <w:p>
      <w:pPr>
        <w:pStyle w:val="TextBody"/>
        <w:bidi w:val="0"/>
        <w:jc w:val="both"/>
        <w:rPr/>
      </w:pPr>
      <w:r>
        <w:rPr/>
        <w:t> </w:t>
      </w:r>
    </w:p>
    <w:tbl>
      <w:tblPr>
        <w:tblW w:w="8147" w:type="dxa"/>
        <w:jc w:val="left"/>
        <w:tblInd w:w="0" w:type="dxa"/>
        <w:tblLayout w:type="fixed"/>
        <w:tblCellMar>
          <w:top w:w="28" w:type="dxa"/>
          <w:left w:w="28" w:type="dxa"/>
          <w:bottom w:w="28" w:type="dxa"/>
          <w:right w:w="28" w:type="dxa"/>
        </w:tblCellMar>
      </w:tblPr>
      <w:tblGrid>
        <w:gridCol w:w="2601"/>
        <w:gridCol w:w="146"/>
        <w:gridCol w:w="247"/>
        <w:gridCol w:w="835"/>
        <w:gridCol w:w="209"/>
        <w:gridCol w:w="184"/>
        <w:gridCol w:w="247"/>
        <w:gridCol w:w="721"/>
        <w:gridCol w:w="166"/>
        <w:gridCol w:w="146"/>
        <w:gridCol w:w="216"/>
        <w:gridCol w:w="729"/>
        <w:gridCol w:w="183"/>
        <w:gridCol w:w="161"/>
        <w:gridCol w:w="216"/>
        <w:gridCol w:w="729"/>
        <w:gridCol w:w="411"/>
      </w:tblGrid>
      <w:tr>
        <w:trPr/>
        <w:tc>
          <w:tcPr>
            <w:tcW w:w="2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Revenue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5,783</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loss on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(12,326</w:t>
            </w:r>
          </w:p>
        </w:tc>
        <w:tc>
          <w:tcPr>
            <w:tcW w:w="2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(24,934</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15,272</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revenue includes revenue from legacy product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for the three months ended June 30, 2026 includes $2.3 million of stock compensation expenses and $0.1 million of severance charges. Other for the three months ended June 30, 2025 includes $1.1 million of stock compensation expenses and $0.2 million of severance charges. Other for the six months ended June 30, 2026 includes $3.6 million of stock compensation expenses and $0.1 million of severance charges. Other for the six months ended June 30, 2025 includes $2.3 million of stock compensation expenses and $0.2 million of severance charges.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and six months ended June 30, 2026 and 2025, the Company had no revenue earned from customers located outside the United States. </w:t>
      </w:r>
    </w:p>
    <w:p>
      <w:pPr>
        <w:pStyle w:val="TextBody"/>
        <w:bidi w:val="0"/>
        <w:jc w:val="both"/>
        <w:rPr>
          <w:rFonts w:ascii="Times New Roman" w:hAnsi="Times New Roman"/>
          <w:color w:val="000000"/>
          <w:sz w:val="20"/>
        </w:rPr>
      </w:pPr>
      <w:r>
        <w:rPr>
          <w:rFonts w:ascii="Times New Roman" w:hAnsi="Times New Roman"/>
          <w:color w:val="000000"/>
          <w:sz w:val="20"/>
        </w:rPr>
        <w:t>All long-lived assets are maintained in the United States. All losses are attributable to operations within the United States.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0" w:name="item_2_managements_discussion"/>
      <w:bookmarkEnd w:id="10"/>
      <w:r>
        <w:rPr>
          <w:rFonts w:ascii="Times New Roman" w:hAnsi="Times New Roman"/>
          <w:b/>
          <w:color w:val="000000"/>
          <w:sz w:val="20"/>
        </w:rPr>
        <w:t>Item 2. Management</w:t>
      </w:r>
      <w:r>
        <w:rPr>
          <w:rFonts w:ascii="Times New Roman" w:hAnsi="Times New Roman"/>
          <w:color w:val="000000"/>
          <w:sz w:val="20"/>
        </w:rPr>
        <w:t>’</w:t>
      </w:r>
      <w:r>
        <w:rPr>
          <w:rFonts w:ascii="Times New Roman" w:hAnsi="Times New Roman"/>
          <w:b/>
          <w:color w:val="000000"/>
          <w:sz w:val="20"/>
        </w:rPr>
        <w:t>s Discussion and Analysis of Financial Condition and Results of Operations.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Throughout this section, unless otherwise noted, the “Company,” “Palladyne AI Corp.,” “Palladyne,” “we,” “us,” and “our” refers to Palladyne AI Corp.,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2025 (the “2025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integrate acquired businesses and achieve the expected benefits of the acquisitions;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develop and sell our full-stack, closed-loop autonomy software ("AI/ML Foundational Technology") and related products and the capabilities and functionality of our AI/ML Foundational Technology and related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provide vertically integrated aerospace engineering design services, enhanced avionics compute hardware and machining and fabrication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expected timeline for commercial release of our products and receipt of corresponding revenues;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manage and overcome supply chain challenges, including increases in the cost of and an interruption in the supply or shortage of materials;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nature and size of the markets that we are targeting;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 roadmaps, including expected timing of new product releases and target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respond to rapid technological changes;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competition from existing or future businesses and technologies and the potential advantages of our products as compared to competitors;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manage our growth and expenses;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comply with evolving laws and regulations applicable to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attract and retain qualified personnel with the necessary experience, including employees who are instrumental to our business strategy;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projected financial and operating information and estimates of market size and opportunities;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introduce new products that meet our customers’ requirements and to successfully transition to high volume manufacturing of our products by third-party manufacturers or by us;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implement contingency plans to further limit operations and reduce costs and/or seek additional financing should revenue not materialize in time or sufficient amount to support our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 of natural disasters, health epidemics and global economic and geopolitical conditions and international conflicts on our business and the business of our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the markets for our products and services;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expansion plans and opportunities;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capital requirements and sources and uses of cash;</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defend and the outcome of any litigation or regulatory proceedings;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maintain, protect and enhance our intellectual property;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maintain and protect our brand;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statements preceded by, followed by or that include the words "may," "can," "should," "will," "estimate," "plan," "project," "forecast," "intend," "expect," "anticipate," "believe," "seek," "aim," "target" or similar expressions.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known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U.S.-based technology company developing and offering embodied artificial intelligence ("AI") software and collaborative autonomy solutions, advanced avionics, unmanned aerial vehicles ("UAVs"), advanced UAV engineering services and precision-manufactured components for aerospace, defense and commercial/industrial markets. Our core AI software offerings, Palladyne IQ and SwarmOS/Palladyne Pilot, consist of full-stack, closed-loop autonomy software that is intended to enhance the functionality and operational effectiveness of third-party robotic systems across a range of applications and our proprietary UAVs. These products are designed to be hardware agnostic, enabling integration across a wide range of robotic platforms, whether third-party or our own proprietary platforms, including industrial robots, collaborative robots ("cobots"), UAVs, unmanned ground vehicles ("UGVs"), and remotely operated vehicles ("ROVs") across multiple domains.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modeled our embodied AI architecture after nature to enable machines to filter out irrelevant data, interpret relevant data, quickly make decisions in real time and act in the real world, all at the edge and without centralized decision-making. We refer to this architectural class as Decentralized Embodied Collaborative Autonomy ("DECA"). DECA describes biologically inspired autonomy in which physically embodied agents perceive, decide and act locally while collaborating through decentralized interaction rather than centralized control. AI is the enabling mechanism, but autonomy and execution occur entirely at the edge. Intelligence that must act in the physical world operates under fundamentally different constraints. Machines that move, coordinate and make decisions in real time cannot rely solely on centralized reasoning, constant connectivity or energy intensive computation. They must operate locally, respond in milliseconds, collaborate with other machines and do so within tight limits on power, size and cost. Our AI technology is being built to act, not only think. It is edge-native and decentralized by necessity. It is designed for systems in which each machine operates autonomously while collaborating locally with others, without reliance on continuous centralized control or excessive compute. We have already implemented early versions of a DECA architecture through our Palladyne IQ and SwarmOS platforms, proving the approach in real systems today while remaining at the early edge of a much larger and inevitable opportunity: becoming the intelligence layer for autonomous machines operating beyond the reach of the cloud.</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are positioning our defense business as a mid-tier U.S. technology prime defense contractor aiming to combine innovative autonomy, practical engineering and American production to bring intelligent systems into active service faster, safer and more cost-effectively than legacy approaches. We seek to harness our advanced, ethical embodied AI to provide cost-effective lethality and precision harm mitigation through rapidly delivering scalable, low-cost, intelligent and collaborative attritable weapons, including by developing proprietary, UAVs incorporating our avionics and AI technologies. We support these efforts and those of other defense contractors and commercial customers through our vertically integrated aerospace engineering design services, enhanced avionics compute hardware and machining and fabrication services. Palladyne SwarmOS is designed for unmanned platforms and includes advanced autonomy and coordination capabilities that enable multiple UAVs to swarm, collaborate and execute complex missions through distributed tasking and edge-native orchestration. Our embodied AI is designed to operate in complex, contested and high-risk environments, enabling distributed tasking, human-on-the-loop oversight, degraded-communications resilience, multi-domain coordination and real-time responsiveness. Our platform-agnostic autonomy stack combines real-time sensor fusion, adaptive AI models, and edge-native orchestration to support autonomous and collaborative systems across air, ground, maritime and industrial domains where performance, resilience, trust and mission assurance are critical to operational outcomes. These capabilities are intended to meet the performance and reliability requirements of military and defense customers, particularly in applications where it is essential to conduct coordinated multi-vehicle operations in contested environments with degraded communications.</w:t>
      </w:r>
    </w:p>
    <w:p>
      <w:pPr>
        <w:pStyle w:val="TextBody"/>
        <w:bidi w:val="0"/>
        <w:jc w:val="both"/>
        <w:rPr>
          <w:rFonts w:ascii="Times New Roman" w:hAnsi="Times New Roman"/>
          <w:color w:val="000000"/>
          <w:sz w:val="20"/>
        </w:rPr>
      </w:pPr>
      <w:r>
        <w:rPr>
          <w:rFonts w:ascii="Times New Roman" w:hAnsi="Times New Roman"/>
          <w:color w:val="000000"/>
          <w:sz w:val="20"/>
        </w:rPr>
        <w:t>For commercial and industrial customers in particular, Palladyne IQ is designed to enable poly-functional robots, including industrial robots and cobots, to become capable of performing multiple tasks across dynamic real-world industrial environments. Palladyne IQ enables industrial robots and cobots to adapt to variability in tasks, parts, and environments, thereby reducing the need for rigid automation, custom fixtures, and manual intervention. We believe Palladyne IQ has applications across manufacturing, logistics, warehousing, and other industrial settings where unstructured or semi-structured environments have historically limited the adoption of automation. We also offer Palladyne Pilot, a derivative version of SwarmOS tailored to meet the requirements of public safety and commercial customers by delivering core autonomy capabilities with reduced system complexity and cost. Please see Part II Item 1A Risk Factors for a discussion of the risks related to these activities, in particular those discussed under "Risks Related to our Business".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derive revenue from multiple sources, including the sale of both software and hardware products, product development contracts with the Department of War, and engineering services. We accordingly classify our revenue into three primary streams: product revenue, product development contract revenue and engineering services revenue, with product revenue further disaggregated into software and hardware categories. Software product revenue is comprised of the sale of our proprietary AI software products based on our AI Foundational Technology (i.e., Palladyne IQ, SwarmOS and Palladyne Pilot). Hardware product revenue consists of the sale of our hardware products, including our advanced avionics compute hardware (BRAIN) and our UAV products under development (i.e., Gremlin-X and SwarmStrike). We also classify as hardware product revenue sales of our precision machined and fabricated components and structures. Product development contract revenue consists of contracts to develop, design and modify our technology and related products. Engineering services revenue are derived from aerospace and defense customers focused on developing high-performance unmanned systems.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Key Factors Affecting Operating Results</w:t>
      </w:r>
    </w:p>
    <w:p>
      <w:pPr>
        <w:pStyle w:val="TextBody"/>
        <w:bidi w:val="0"/>
        <w:jc w:val="both"/>
        <w:rPr>
          <w:rFonts w:ascii="Times New Roman" w:hAnsi="Times New Roman"/>
          <w:color w:val="000000"/>
          <w:sz w:val="20"/>
        </w:rPr>
      </w:pPr>
      <w:r>
        <w:rPr>
          <w:rFonts w:ascii="Times New Roman" w:hAnsi="Times New Roman"/>
          <w:color w:val="000000"/>
          <w:sz w:val="20"/>
        </w:rPr>
        <w:t>We believe that our performance and future success depend on several factors that present significant opportunities for us but also pose risks and challenges, including those discussed below and in Part II Item 1A Risk Factors.</w:t>
      </w:r>
    </w:p>
    <w:p>
      <w:pPr>
        <w:pStyle w:val="TextBody"/>
        <w:bidi w:val="0"/>
        <w:jc w:val="both"/>
        <w:rPr>
          <w:rFonts w:ascii="Times New Roman" w:hAnsi="Times New Roman"/>
          <w:b/>
          <w:i/>
          <w:color w:val="000000"/>
          <w:sz w:val="20"/>
        </w:rPr>
      </w:pPr>
      <w:r>
        <w:rPr>
          <w:rFonts w:ascii="Times New Roman" w:hAnsi="Times New Roman"/>
          <w:b/>
          <w:i/>
          <w:color w:val="000000"/>
          <w:sz w:val="20"/>
        </w:rPr>
        <w:t>Development, Testing and Commercial Launch of our AI/ML Software, Avionics and UAV Products</w:t>
      </w:r>
    </w:p>
    <w:p>
      <w:pPr>
        <w:pStyle w:val="TextBody"/>
        <w:bidi w:val="0"/>
        <w:jc w:val="both"/>
        <w:rPr>
          <w:rFonts w:ascii="Times New Roman" w:hAnsi="Times New Roman"/>
          <w:color w:val="000000"/>
          <w:sz w:val="20"/>
        </w:rPr>
      </w:pPr>
      <w:r>
        <w:rPr>
          <w:rFonts w:ascii="Times New Roman" w:hAnsi="Times New Roman"/>
          <w:color w:val="000000"/>
          <w:sz w:val="20"/>
        </w:rPr>
        <w:t>We expect to continue commercialization efforts, internal testing and customer trials for our products throughout 2026. Whether we are successful in these efforts depends on many factors, including those discussed under Part II Item 1A Risk Factors. Such risks may result in delay in achieving product revenues, which would adversely affect our financial condition and operating results.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Financing of Operations</w:t>
      </w:r>
    </w:p>
    <w:p>
      <w:pPr>
        <w:pStyle w:val="TextBody"/>
        <w:bidi w:val="0"/>
        <w:jc w:val="both"/>
        <w:rPr>
          <w:rFonts w:ascii="Times New Roman" w:hAnsi="Times New Roman"/>
          <w:color w:val="000000"/>
          <w:sz w:val="20"/>
        </w:rPr>
      </w:pPr>
      <w:r>
        <w:rPr>
          <w:rFonts w:ascii="Times New Roman" w:hAnsi="Times New Roman"/>
          <w:color w:val="000000"/>
          <w:sz w:val="20"/>
        </w:rPr>
        <w:t xml:space="preserve">We intend to use our cash on hand to continue to enhance our products, conduct product development activities, pursue marketing and sales opportunities and fund operations as we seek to further commercialize and enhance and achieve revenue from our products and services. The amount and timing of our future funding requirements will depend on many factors, including the pace and results of our product commercialization and enhancement efforts, our ability to sell our products and services and thereby recognize associated revenue, capital and human capital requirements to develop and sell products, support our partnership efforts as they develop and provide services prior to receiving payments sufficient to cover our costs and our ability to lower costs as volumes increase.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color w:val="000000"/>
          <w:sz w:val="20"/>
        </w:rPr>
        <w:t>We have taken and continue to take numerous steps to manage our use of cash. For example, in 2023 we suspended our legacy hardware product development efforts and focused our product development efforts on our AI/ML Foundational Technology and related products, and terminated our operations in Pittsburgh, Pennsylvania in early 2024. Beginning in the fourth quarter of 2024 and through June 30, 2026 we raised approximately $86.8 million in gross proceeds from the sale of our Common Stock and warrants. For further information on our financing activities, see "</w:t>
      </w:r>
      <w:r>
        <w:rPr>
          <w:rFonts w:ascii="Times New Roman" w:hAnsi="Times New Roman"/>
          <w:i/>
          <w:color w:val="000000"/>
          <w:sz w:val="20"/>
        </w:rPr>
        <w:t>Liquidity and Capital Resources.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we have sufficient liquidity to operate for at least the next 12 months without the need to raise additional capital. However, we may decide to seek additional financing during that time to bolster our cash reserves, increase our ability to continue to pursue our business objectives and to support partnership efforts and investments as opportunities materialize. As a result, we intend to continue monitoring our liquidity, financial and business results and outlook and market conditions, and may be opportunistic and raise capital when we consider market conditions are good or a favorable opportunity exists or when we otherwise deem it to be necessary or advisable. Any delays in the sales of our products and services will negatively impact our ability to generate revenue, our profitability, our cash flows, our overall operating performance and our ability to continue operations and may result in the need to raise additional capital. We will continue to carefully evaluate our use of cash and liquidity.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Strategic Acquisitions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14, 2025, we acquired GuideTech, LLC an engineering company, MKR Fabrication, LLC (also known as MKR Fabricators), a fabrication company, and Warnke Precision Machining, LLC (also known as Warnke Precision Machining), a precision machining company. Our results presented and discussed below include the operating activity for these acquired companies from the acquisition date through June 30, 2026. Our results for periods prior to the acquisition date do not include the financial information of these acquired companies.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Demand</w:t>
      </w:r>
    </w:p>
    <w:p>
      <w:pPr>
        <w:pStyle w:val="TextBody"/>
        <w:bidi w:val="0"/>
        <w:jc w:val="both"/>
        <w:rPr>
          <w:rFonts w:ascii="Times New Roman" w:hAnsi="Times New Roman"/>
          <w:sz w:val="20"/>
        </w:rPr>
      </w:pPr>
      <w:r>
        <w:rPr>
          <w:rFonts w:ascii="Times New Roman" w:hAnsi="Times New Roman"/>
          <w:color w:val="000000"/>
          <w:sz w:val="20"/>
        </w:rPr>
        <w:t>Although demand for AI/ML software products has grown in recent years, the market continues to evolve. The market demand for our software is unproven, and important assumptions about the characteristics of targeted markets, pricing and sales cycles may be inaccurate. Based on interaction with dozens of potential customers, we believe that the sales cycle for Palladyne IQ is likely to be between 12 and 18 months, or even longer, while the sales cycle for Palladyne SwarmOS/Pilot is unknown. While we believe that our products will provide significant benefits and return on investment to customers, as it is a new technology, we are dependent on customers who are willing to adopt, purchase and implement new technologies and products. Further, we have U.S. government revenue-generating contracts related to various aspects of our AI/ML Foundational Technology and our Palladyne IQ and Palladyne SwarmOS/Pilot products and we have been affected by government shutdowns. For example, during the U.S. government shutdown in the fourth quarter of 2025, we experienced delays in our interactions with certain government agencies that affected our collection efforts, our ability to consummate new government contracts and our ability to maintain or renew government contracts in a timely manner. The duration of government shutdowns could have a compounding effect, and the longer they continue or the more frequently they occur, the more significant the potential adverse impact may be on our anticipated revenues. For additional information around the risks associated with our government contracts, see Part II Item 1A Risk Factors "</w:t>
      </w:r>
      <w:r>
        <w:rPr>
          <w:rFonts w:ascii="Times New Roman" w:hAnsi="Times New Roman"/>
          <w:i/>
          <w:color w:val="000000"/>
          <w:sz w:val="20"/>
        </w:rPr>
        <w:t>A portion of our revenue is currently and will continue to be generated by contracts with government entities, which makes us subject to a number of uncertainties, challenges and risks."</w:t>
      </w:r>
      <w:r>
        <w:rPr>
          <w:rFonts w:ascii="Times New Roman" w:hAnsi="Times New Roman"/>
          <w:color w:val="000000"/>
          <w:sz w:val="20"/>
        </w:rPr>
        <w:t xml:space="preserve"> If customer demand does not develop as expected or we do not accurately estimate pricing, adoption rates and sales cycles for our products, our business, results of operations and financial condition will be adversely affected.</w:t>
      </w:r>
    </w:p>
    <w:p>
      <w:pPr>
        <w:pStyle w:val="TextBody"/>
        <w:bidi w:val="0"/>
        <w:jc w:val="both"/>
        <w:rPr>
          <w:rFonts w:ascii="Times New Roman" w:hAnsi="Times New Roman"/>
          <w:sz w:val="20"/>
        </w:rPr>
      </w:pPr>
      <w:r>
        <w:rPr>
          <w:rFonts w:ascii="Times New Roman" w:hAnsi="Times New Roman"/>
          <w:b/>
          <w:i/>
          <w:color w:val="000000"/>
          <w:sz w:val="20"/>
        </w:rPr>
        <w:t>Continued Investment and Innovation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are a pioneer in the robotic systems industry and benefit from lessons learned over 30-plus years and significant investment in research and development. Through our hardware development efforts over many years, including our related AI-software development efforts, we developed a significant amount of advanced technology that we are leveraging to develop our AI/ML Foundational Technology and related products. Our recent acquisitions have also brought us additional and new skills and expertise related to the products and services of the acquired companies. We believe our financial performance is dependent on our ability to enhance and update our products. It is important that we continually identify and respond to rapidly evolving customer requirements and competitive threats, develop and introduce innovative products, enhance our products and generate active market demand for and sell our products. If we fail to do this, our market and financial position and revenue may be adversely affected, and our investments in these technologies will not be recovered.</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Geopolitical and Macro-economic Environment</w:t>
      </w:r>
    </w:p>
    <w:p>
      <w:pPr>
        <w:pStyle w:val="TextBody"/>
        <w:bidi w:val="0"/>
        <w:jc w:val="both"/>
        <w:rPr>
          <w:rFonts w:ascii="Times New Roman" w:hAnsi="Times New Roman"/>
          <w:color w:val="000000"/>
          <w:sz w:val="20"/>
        </w:rPr>
      </w:pPr>
      <w:r>
        <w:rPr>
          <w:rFonts w:ascii="Times New Roman" w:hAnsi="Times New Roman"/>
          <w:color w:val="000000"/>
          <w:sz w:val="20"/>
        </w:rPr>
        <w:t>Geopolitical and macro-economic factors, such as inflation, changes in United States trade policy, including tariffs, interest rates, oil prices, unemployment rates, international conflicts, such as the current wars between Russia and Ukraine and between the United States and Iran, other conflicts in the middle east, volatility in the stock market and political or social unrest, can have significant impacts on economic activity, which in turn could affect demand for our products or our ability to cost-effectively develop and sell our products. Among other things, these and similar factors can affect our ability to hire or retain qualified personnel, our labor and materials costs, the prices we charge for our products and services and the budgets of our customers and their expected return-on-investment from the purchase of our products and services.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our revenue for the three months ended June 30, 2026 and 2025, respectively:</w:t>
      </w:r>
    </w:p>
    <w:p>
      <w:pPr>
        <w:pStyle w:val="TextBody"/>
        <w:bidi w:val="0"/>
        <w:jc w:val="left"/>
        <w:rPr/>
      </w:pPr>
      <w:r>
        <w:rPr/>
        <w:t> </w:t>
      </w:r>
    </w:p>
    <w:tbl>
      <w:tblPr>
        <w:tblW w:w="8218" w:type="dxa"/>
        <w:jc w:val="left"/>
        <w:tblInd w:w="0" w:type="dxa"/>
        <w:tblLayout w:type="fixed"/>
        <w:tblCellMar>
          <w:top w:w="28" w:type="dxa"/>
          <w:left w:w="28" w:type="dxa"/>
          <w:bottom w:w="28" w:type="dxa"/>
          <w:right w:w="28" w:type="dxa"/>
        </w:tblCellMar>
      </w:tblPr>
      <w:tblGrid>
        <w:gridCol w:w="2971"/>
        <w:gridCol w:w="146"/>
        <w:gridCol w:w="281"/>
        <w:gridCol w:w="732"/>
        <w:gridCol w:w="209"/>
        <w:gridCol w:w="209"/>
        <w:gridCol w:w="281"/>
        <w:gridCol w:w="732"/>
        <w:gridCol w:w="146"/>
        <w:gridCol w:w="146"/>
        <w:gridCol w:w="233"/>
        <w:gridCol w:w="608"/>
        <w:gridCol w:w="146"/>
        <w:gridCol w:w="146"/>
        <w:gridCol w:w="181"/>
        <w:gridCol w:w="750"/>
        <w:gridCol w:w="30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Development Contract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Engineering 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5,783</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increased $4.8 million or 470%, from $1.0 million for the three months ended June 30, 2025, to $5.8 million for the three months ended June 30, 2026, as explained below.</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Product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Product revenue was $2.7 million for the three months ended June 30, 2026. Our product revenue during the three months ended June 30, 2026, was derived mainly from the companies that we acquired in November 2025. It includes revenue from the sale of precision machined parts and components from our manufacturing business and from the sale of our BRAIN avionics product.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Product Development Contract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Product development contract revenue increased by $0.2 million, or 17%, from $1.0 million for the three months ended June 30, 2025 to $1.2 million for the three months ended June 30, 2026. The increase was primarily due to new product development contracts that started during the current year period, partially offset by contracts that were completed during the prior year. We expect future revenue from contracts to fluctuate due to the timing of new contracts signed, contract options being exercised, and the completion of existing contracts. We intend to take on only those product development contracts that we believe support and contribute to our product development efforts. As a result, there may be fewer opportunities to replace completed product development contracts in the future.</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Engineering Services Revenue</w:t>
      </w:r>
    </w:p>
    <w:p>
      <w:pPr>
        <w:pStyle w:val="TextBody"/>
        <w:bidi w:val="0"/>
        <w:jc w:val="both"/>
        <w:rPr>
          <w:rFonts w:ascii="Times New Roman" w:hAnsi="Times New Roman"/>
          <w:color w:val="000000"/>
          <w:sz w:val="20"/>
        </w:rPr>
      </w:pPr>
      <w:r>
        <w:rPr>
          <w:rFonts w:ascii="Times New Roman" w:hAnsi="Times New Roman"/>
          <w:color w:val="000000"/>
          <w:sz w:val="20"/>
        </w:rPr>
        <w:t>Engineering services revenue was $1.9 million for the three months ended June 30, 2026. Engineering services revenue is derived from one of the businesses acquired in November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our operating expenses for the three months ended June 30, 2026 and 2025, respectively:</w:t>
      </w:r>
    </w:p>
    <w:p>
      <w:pPr>
        <w:pStyle w:val="TextBody"/>
        <w:bidi w:val="0"/>
        <w:jc w:val="left"/>
        <w:rPr/>
      </w:pPr>
      <w:r>
        <w:rPr/>
        <w:t> </w:t>
      </w:r>
    </w:p>
    <w:tbl>
      <w:tblPr>
        <w:tblW w:w="8000" w:type="dxa"/>
        <w:jc w:val="left"/>
        <w:tblInd w:w="0" w:type="dxa"/>
        <w:tblLayout w:type="fixed"/>
        <w:tblCellMar>
          <w:top w:w="28" w:type="dxa"/>
          <w:left w:w="28" w:type="dxa"/>
          <w:bottom w:w="28" w:type="dxa"/>
          <w:right w:w="28" w:type="dxa"/>
        </w:tblCellMar>
      </w:tblPr>
      <w:tblGrid>
        <w:gridCol w:w="2556"/>
        <w:gridCol w:w="146"/>
        <w:gridCol w:w="266"/>
        <w:gridCol w:w="818"/>
        <w:gridCol w:w="198"/>
        <w:gridCol w:w="198"/>
        <w:gridCol w:w="266"/>
        <w:gridCol w:w="695"/>
        <w:gridCol w:w="146"/>
        <w:gridCol w:w="146"/>
        <w:gridCol w:w="206"/>
        <w:gridCol w:w="635"/>
        <w:gridCol w:w="146"/>
        <w:gridCol w:w="146"/>
        <w:gridCol w:w="260"/>
        <w:gridCol w:w="671"/>
        <w:gridCol w:w="501"/>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19,196</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Cost of revenue increased by $3.6 million or 765%, from $0.5 million for the three months ended June 30, 2025 to $4.1 million for the three months ended June 30, 2026. Cost of revenue consists of labor, materials and third-party costs associated with our products and services. Cost of revenue increased primarily due to increased product and service revenue recorded during the period.</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increased by $1.2 million, or 38% from $3.1 million for the three months ended June 30, 2025, to $4.3 million for the three months ended June 30, 2026. Research and development costs during the three months ended June 30, 2026 increased due primarily to labor and labor related expenses associated with product design, testing, debugging, stabilization and enhancements of our UAV products and software in development.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jc w:val="both"/>
        <w:rPr>
          <w:rFonts w:ascii="Times New Roman" w:hAnsi="Times New Roman"/>
          <w:color w:val="000000"/>
          <w:sz w:val="20"/>
        </w:rPr>
      </w:pPr>
      <w:r>
        <w:rPr>
          <w:rFonts w:ascii="Times New Roman" w:hAnsi="Times New Roman"/>
          <w:color w:val="000000"/>
          <w:sz w:val="20"/>
        </w:rPr>
        <w:t>General and administrative expense increased by $4.0 million, or 95%, from $4.2 million for the three months ended June 30, 2025, to $8.1 million for the three months ended June 30, 2026. General and administrative expense increased primarily due to increased labor and labor related expenses associated with increases in headcount from the November 2025 acquisitions and hiring to support our new business activities. Stock compensation expenses also increased during the current year period driven primarily by the increased headcount and the 2025 Executive RSU awards that were granted in June 2026.</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Sales and marketing expense increased by $0.9 million, or 70%, from $1.3 million for the three months ended June 30, 2025, to $2.3 million for the three months ended June 30, 2026. This increase was driven by increased labor and labor related expenses as we have increased headcount to support our sales, business development and marketing efforts as we continue our initial sales development and outreach activities.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Intangible Amortization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amortization expenses increased to $0.4 million for the three months ended June 30, 2026. The increase in intangible amortization expense is attributable to the recognition of amortization related to identified intangible assets acquired as part of the acquisitions completed in November 2025.</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other income for the three months ended June 30, 2026 and 2025, respectively:</w:t>
      </w:r>
    </w:p>
    <w:p>
      <w:pPr>
        <w:pStyle w:val="TextBody"/>
        <w:bidi w:val="0"/>
        <w:jc w:val="both"/>
        <w:rPr/>
      </w:pPr>
      <w:r>
        <w:rPr/>
        <w:t> </w:t>
      </w:r>
    </w:p>
    <w:tbl>
      <w:tblPr>
        <w:tblW w:w="7573" w:type="dxa"/>
        <w:jc w:val="left"/>
        <w:tblInd w:w="0" w:type="dxa"/>
        <w:tblLayout w:type="fixed"/>
        <w:tblCellMar>
          <w:top w:w="28" w:type="dxa"/>
          <w:left w:w="28" w:type="dxa"/>
          <w:bottom w:w="28" w:type="dxa"/>
          <w:right w:w="28" w:type="dxa"/>
        </w:tblCellMar>
      </w:tblPr>
      <w:tblGrid>
        <w:gridCol w:w="2046"/>
        <w:gridCol w:w="146"/>
        <w:gridCol w:w="305"/>
        <w:gridCol w:w="795"/>
        <w:gridCol w:w="227"/>
        <w:gridCol w:w="227"/>
        <w:gridCol w:w="305"/>
        <w:gridCol w:w="585"/>
        <w:gridCol w:w="146"/>
        <w:gridCol w:w="146"/>
        <w:gridCol w:w="260"/>
        <w:gridCol w:w="581"/>
        <w:gridCol w:w="166"/>
        <w:gridCol w:w="146"/>
        <w:gridCol w:w="260"/>
        <w:gridCol w:w="671"/>
        <w:gridCol w:w="56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increased by $0.5 million for the three months ended June 30, 2026, compared to the three months ended June 30, 2025, due to increased gains from changes in the fair value of our outstanding warrants, partially offset by a decrease in interest income due primarily to a decrease in invested funds.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had no significant income tax expense for the three months ended June 30, 2026 and 2025, respectively. The provision for income taxes for the three months ended June 30, 2026 and 2025 is based on the Company’s estimated annualized effective tax rate for the fiscal years ending December 31, 2026 and 2025, respectively. For the three months ended June 30, 2026 and 2025, the Company’s recognized effective tax rate differs from the U.S. federal statutory rate as the Company recorded net taxable losses during the period with a corresponding full valuation allowance on the net deferred tax assets created from the losses.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our revenue for the six months ended June 30, 2026 and 2025, respectively:</w:t>
      </w:r>
    </w:p>
    <w:p>
      <w:pPr>
        <w:pStyle w:val="TextBody"/>
        <w:bidi w:val="0"/>
        <w:jc w:val="both"/>
        <w:rPr/>
      </w:pPr>
      <w:r>
        <w:rPr/>
        <w:t> </w:t>
      </w:r>
    </w:p>
    <w:tbl>
      <w:tblPr>
        <w:tblW w:w="8086" w:type="dxa"/>
        <w:jc w:val="left"/>
        <w:tblInd w:w="0" w:type="dxa"/>
        <w:tblLayout w:type="fixed"/>
        <w:tblCellMar>
          <w:top w:w="28" w:type="dxa"/>
          <w:left w:w="28" w:type="dxa"/>
          <w:bottom w:w="28" w:type="dxa"/>
          <w:right w:w="28" w:type="dxa"/>
        </w:tblCellMar>
      </w:tblPr>
      <w:tblGrid>
        <w:gridCol w:w="2971"/>
        <w:gridCol w:w="146"/>
        <w:gridCol w:w="256"/>
        <w:gridCol w:w="669"/>
        <w:gridCol w:w="191"/>
        <w:gridCol w:w="191"/>
        <w:gridCol w:w="256"/>
        <w:gridCol w:w="669"/>
        <w:gridCol w:w="146"/>
        <w:gridCol w:w="146"/>
        <w:gridCol w:w="214"/>
        <w:gridCol w:w="627"/>
        <w:gridCol w:w="166"/>
        <w:gridCol w:w="146"/>
        <w:gridCol w:w="162"/>
        <w:gridCol w:w="769"/>
        <w:gridCol w:w="36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145,967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Development Contract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Engineering 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increased by $6.6 million, or 242%, from $2.7 million for the six months ended June 30, 2025, to $9.3 million for the six months ended June 30, 2026, as explained below.</w:t>
      </w:r>
    </w:p>
    <w:p>
      <w:pPr>
        <w:pStyle w:val="TextBody"/>
        <w:bidi w:val="0"/>
        <w:jc w:val="both"/>
        <w:rPr>
          <w:rFonts w:ascii="Times New Roman" w:hAnsi="Times New Roman"/>
          <w:i/>
          <w:color w:val="000000"/>
          <w:sz w:val="20"/>
        </w:rPr>
      </w:pPr>
      <w:r>
        <w:rPr>
          <w:rFonts w:ascii="Times New Roman" w:hAnsi="Times New Roman"/>
          <w:i/>
          <w:color w:val="000000"/>
          <w:sz w:val="20"/>
        </w:rPr>
        <w:t>Product Revenue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Product revenue was $4.4 million for the six months ended June 30, 2026. Our product revenue during the six months ended June 30, 2026, was derived mainly from the companies that we acquired in November 2025. It includes revenue from the sale of precision machined parts and components from our manufacturing business and from the sale of our BRAIN avionics product.</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 Development Contract Revenue</w:t>
      </w:r>
    </w:p>
    <w:p>
      <w:pPr>
        <w:pStyle w:val="TextBody"/>
        <w:bidi w:val="0"/>
        <w:jc w:val="both"/>
        <w:rPr>
          <w:rFonts w:ascii="Times New Roman" w:hAnsi="Times New Roman"/>
          <w:color w:val="000000"/>
          <w:sz w:val="20"/>
        </w:rPr>
      </w:pPr>
      <w:r>
        <w:rPr>
          <w:rFonts w:ascii="Times New Roman" w:hAnsi="Times New Roman"/>
          <w:color w:val="000000"/>
          <w:sz w:val="20"/>
        </w:rPr>
        <w:t>Product development contract revenue decreased by $1.5 million, or 54%, from $2.7 million for the six months ended June 30, 2025, to $1.2 million for the six months ended June 30, 2026. The decrease was primarily due to a decrease in new contracts and funding during the first quarter of 2026 due to government delays and shutdowns. New contracts and funding were received during the second quarter of 2026, partially offsetting the decrease.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Engineering Services Revenue</w:t>
      </w:r>
    </w:p>
    <w:p>
      <w:pPr>
        <w:pStyle w:val="TextBody"/>
        <w:bidi w:val="0"/>
        <w:jc w:val="both"/>
        <w:rPr>
          <w:rFonts w:ascii="Times New Roman" w:hAnsi="Times New Roman"/>
          <w:color w:val="000000"/>
          <w:sz w:val="20"/>
        </w:rPr>
      </w:pPr>
      <w:r>
        <w:rPr>
          <w:rFonts w:ascii="Times New Roman" w:hAnsi="Times New Roman"/>
          <w:color w:val="000000"/>
          <w:sz w:val="20"/>
        </w:rPr>
        <w:t>Engineering services revenue was $3.7 million for the six months ended June 30, 2026. Engineering services revenue is derived from one of the businesses acquired in November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our operating expenses for the six months ended June 30, 2026 and 2025, respectively:</w:t>
      </w:r>
    </w:p>
    <w:p>
      <w:pPr>
        <w:pStyle w:val="TextBody"/>
        <w:bidi w:val="0"/>
        <w:jc w:val="both"/>
        <w:rPr/>
      </w:pPr>
      <w:r>
        <w:rPr/>
        <w:t> </w:t>
      </w:r>
    </w:p>
    <w:tbl>
      <w:tblPr>
        <w:tblW w:w="7793" w:type="dxa"/>
        <w:jc w:val="left"/>
        <w:tblInd w:w="0" w:type="dxa"/>
        <w:tblLayout w:type="fixed"/>
        <w:tblCellMar>
          <w:top w:w="28" w:type="dxa"/>
          <w:left w:w="28" w:type="dxa"/>
          <w:bottom w:w="28" w:type="dxa"/>
          <w:right w:w="28" w:type="dxa"/>
        </w:tblCellMar>
      </w:tblPr>
      <w:tblGrid>
        <w:gridCol w:w="2556"/>
        <w:gridCol w:w="146"/>
        <w:gridCol w:w="232"/>
        <w:gridCol w:w="712"/>
        <w:gridCol w:w="173"/>
        <w:gridCol w:w="173"/>
        <w:gridCol w:w="232"/>
        <w:gridCol w:w="712"/>
        <w:gridCol w:w="146"/>
        <w:gridCol w:w="146"/>
        <w:gridCol w:w="206"/>
        <w:gridCol w:w="635"/>
        <w:gridCol w:w="146"/>
        <w:gridCol w:w="146"/>
        <w:gridCol w:w="260"/>
        <w:gridCol w:w="671"/>
        <w:gridCol w:w="501"/>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34,653</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16,903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Cost of revenue increased by $5.7 million, or 695%, from $0.8 million for the six months ended June 30, 2025, to $6.6 million for the six months ended June 30, 2026. Cost of revenue consists of labor, materials and third-party costs associated with our products and services. Cost of revenue increased primarily due to increased product and service revenue recorded during the period.</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increased by $2.2 million, or 37% from $6.0 million for the six months ended June 30, 2025, to $8.2 million for the six months ended June 30, 2026. Research and development costs during the six months ended June 30, 2026 increased due primarily to labor and labor related expenses associated with product design, testing, debugging, stabilization and enhancements of our UAV products and software in development.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jc w:val="both"/>
        <w:rPr>
          <w:rFonts w:ascii="Times New Roman" w:hAnsi="Times New Roman"/>
          <w:color w:val="000000"/>
          <w:sz w:val="20"/>
        </w:rPr>
      </w:pPr>
      <w:r>
        <w:rPr>
          <w:rFonts w:ascii="Times New Roman" w:hAnsi="Times New Roman"/>
          <w:color w:val="000000"/>
          <w:sz w:val="20"/>
        </w:rPr>
        <w:t>General and administrative expense increased by $6.6 million, or 79%, from $8.4 million for the six months ended June 30, 2025, to $15.0 million for the six months ended June 30, 2026. General and administrative expense increased primarily due to increased labor and labor related expenses associated with increases in headcount from the November 2025 acquisitions and hiring to support our new business activities. Stock compensation expenses also increased during the current year period driven primarily by the increased headcount and the 2025 Executive RSU awards that were granted in June 2026. Legal and professional services also increased during the current year to support increased business activities.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Sales and marketing expense increased by $1.6 million, or 61%, from $2.6 million for the six months ended June 30, 2025, to $4.1 million for the six months ended June 30, 2026. This increase was driven by increased labor and labor related expenses as we have increased headcount to support our sales, business development and marketing efforts as we continue our initial sales development and outreach activities.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Intangible Amortization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Intangible amortization expenses increased to $0.7 million for the six months ended June 30, 2026. The increase in intangible amortization expense is attributable to the recognition of amortization related to identified intangible assets acquired as part of the acquisitions completed in November 2025.</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other income for the six months ended June 30, 2026 and 2025, respectively:</w:t>
      </w:r>
    </w:p>
    <w:p>
      <w:pPr>
        <w:pStyle w:val="TextBody"/>
        <w:bidi w:val="0"/>
        <w:jc w:val="both"/>
        <w:rPr/>
      </w:pPr>
      <w:r>
        <w:rPr/>
        <w:t> </w:t>
      </w:r>
    </w:p>
    <w:tbl>
      <w:tblPr>
        <w:tblW w:w="7947" w:type="dxa"/>
        <w:jc w:val="left"/>
        <w:tblInd w:w="0" w:type="dxa"/>
        <w:tblLayout w:type="fixed"/>
        <w:tblCellMar>
          <w:top w:w="28" w:type="dxa"/>
          <w:left w:w="28" w:type="dxa"/>
          <w:bottom w:w="28" w:type="dxa"/>
          <w:right w:w="28" w:type="dxa"/>
        </w:tblCellMar>
      </w:tblPr>
      <w:tblGrid>
        <w:gridCol w:w="2616"/>
        <w:gridCol w:w="146"/>
        <w:gridCol w:w="251"/>
        <w:gridCol w:w="559"/>
        <w:gridCol w:w="213"/>
        <w:gridCol w:w="187"/>
        <w:gridCol w:w="251"/>
        <w:gridCol w:w="771"/>
        <w:gridCol w:w="146"/>
        <w:gridCol w:w="146"/>
        <w:gridCol w:w="196"/>
        <w:gridCol w:w="661"/>
        <w:gridCol w:w="166"/>
        <w:gridCol w:w="146"/>
        <w:gridCol w:w="233"/>
        <w:gridCol w:w="698"/>
        <w:gridCol w:w="56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gain on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decreased by $29.9 million from a gain of $30.3 million for the six months ended June 30, 2025, to a gain of $0.4 million for the six months ended June 30, 2026. Other income decreased almost entirely as a result of changes in the fair value of our outstanding warrants as well as decreased interest income primarily due to a decrease in invested funds.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had no significant income tax expense for the six months ended June 30, 2026 and 2025, respectively. The provision for income taxes for the six months ended June 30, 2026 and 2025 is based on the Company’s estimated annualized effective tax rate for the fiscal years ending December 31, 2026 and 2025, respectively. For the six months ended June 30, 2026 and 2025, the Company’s recognized effective tax rate differs from the U.S. federal statutory rate as the Company recorded net taxable losses during the period with a corresponding full valuation allowance on the net deferred tax assets created from the losses.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Backlog and Total Estimated Contract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backlog, as of June 30, 2026, was $24.6 million, $21.2 million of which was funded and $3.4 million of which was unfunded. Our backlog, as of December 31, 2025, was $13.9 million, $13.5 million of which was funded and $0.4 million of which was unfunded. Our backlog is equal to our remaining performance obligations under contracts or the total value of committed customer contracts and purchase orders, both funded and unfunded, less revenue recognized to date. Our total estimated contract value, which combines backlog with estimated potential contract value, including unexercised options from existing firm contracts, was $30.9 million as of June 30, 2026 and $20.0 million as of December 31, 2025.</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Cash, cash equivalents and marketable securities were $43.7 million as of June 30, 2026, compared to $47.1 million as of December 31, 2025. We have incurred losses from operations and negative cash flows from operations since inception and are likely to continue to incur losses from operations and negative cash flows from operations in the near term. As of June 30, 2026, we had an accumulated deficit of approximately $505.7 million and working capital of $43.8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13, 2024, we entered into an open market sale agreement (the "Sales Agreement") with Jefferies LLC to sell shares of our Common Stock from time to time through an "at-the-market" equity offering program (the "ATM Program"), under which Jefferies is acting as our sales agent. During the six months ended June 30, 2026, we sold a total of 2,531,336 shares pursuant to the ATM program, for gross sales proceeds of approximately $17.8 million, before deducting commission and other expenses. To date, we have sold a total of 10,653,920 shares pursuant to the ATM program, for gross sales proceeds of approximately $73.3 million, before deducting commission and other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our cash, cash equivalents and marketable securities on hand will be sufficient to support operations, working capital and capital expenditure requirements for at least the next 12 months from the date of this Report.</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Our primary use of cash is for operations and administrative activities including employee-related expenses and general, operating and overhead expenses. While we do not have any significant debt, we do have a long-term lease for our facilities in Salt Lake City, Utah. Future capital requirements will depend on many factors, including the timing and extent of development efforts, the expansion and results of sales and marketing activities, the sales cycle for our products, customer acquisition and revenues, revenue growth rate, customer retention, the introduction of new and enhanced product offerings and market acceptance of our products.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We have taken many steps to reduce our use of cash. For example, in 2023 we suspended our legacy hardware product development efforts and focused our product development efforts on our AI/ML Foundational Technology and related products, and terminated our operations in Pittsburgh, Pennsylvania in early 2024. We plan to use our existing capital to further commercialize and conduct sales and marketing efforts for our commercially available products and services, as well as continue product testing, debugging and stabilization efforts, conduct product development efforts for initial and updated versions of our products, and to fund purchases for our work-in-process inventory and long lead time components.</w:t>
      </w:r>
    </w:p>
    <w:p>
      <w:pPr>
        <w:pStyle w:val="TextBody"/>
        <w:bidi w:val="0"/>
        <w:jc w:val="both"/>
        <w:rPr>
          <w:rFonts w:ascii="Times New Roman" w:hAnsi="Times New Roman"/>
          <w:color w:val="000000"/>
          <w:sz w:val="20"/>
        </w:rPr>
      </w:pPr>
      <w:r>
        <w:rPr>
          <w:rFonts w:ascii="Times New Roman" w:hAnsi="Times New Roman"/>
          <w:color w:val="000000"/>
          <w:sz w:val="20"/>
        </w:rPr>
        <w:t>The amount and timing of our future funding requirements will depend on many factors, including the pace and results of our product development efforts, our ability to commercialize our products and thereby recognize associated revenue and capital requirements to conduct marketing and sales activities prior to receiving payments sufficient to cover our costs. Any delays in the sales of our products and services will negatively impact our ability to generate revenue, profitability, overall operating performance and financial condition. If we are unable to raise additional capital when desired or needed, our business, results of operations and financial condition would be materially and adversely affected.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enter into arrangements to acquire or invest in additional businesses, services and technologies, which may require acquisition capital as well as operational capital for these acquisitions or arrangements. We may be required to seek additional equity or debt financing to facilitate these arrangements. If additional financing is required from outside sources in connection with these arrangements, we may not be able to raise it on terms acceptable to us, or at all.</w:t>
      </w:r>
    </w:p>
    <w:p>
      <w:pPr>
        <w:pStyle w:val="TextBody"/>
        <w:bidi w:val="0"/>
        <w:jc w:val="both"/>
        <w:rPr/>
      </w:pPr>
      <w:r>
        <w:rPr/>
        <w:t> </w:t>
      </w:r>
    </w:p>
    <w:p>
      <w:pPr>
        <w:pStyle w:val="TextBody"/>
        <w:bidi w:val="0"/>
        <w:spacing w:before="0" w:after="160"/>
        <w:jc w:val="both"/>
        <w:rPr>
          <w:rFonts w:ascii="Times New Roman" w:hAnsi="Times New Roman"/>
          <w:sz w:val="20"/>
        </w:rPr>
      </w:pPr>
      <w:r>
        <w:rPr>
          <w:rFonts w:ascii="Times New Roman" w:hAnsi="Times New Roman"/>
          <w:color w:val="000000"/>
          <w:sz w:val="20"/>
        </w:rPr>
        <w:t>We currently primarily use cash from equity financings to fund operations and capital expenditures and meet working capital requirements. If additional funds are required to support our working capital requirements, for acquisitions, support for our partnerships or for other purposes, we may seek to raise funds through additional debt or equity financings or from other sources. We intend to continue monitoring our liquidity, financial and business results and outlook and market conditions, and may be opportunistic and raise capital when market conditions are good or a favorable opportunity exists or we otherwise determine it to be necessary or advisable, including under our "at-the-market" equity offering programs. Any delays in the successful further commercialization and sales of our products and services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 For additional information around the risks associated with our capital needs see Part II Item 1A Risk Factors “</w:t>
      </w:r>
      <w:r>
        <w:rPr>
          <w:rFonts w:ascii="Times New Roman" w:hAnsi="Times New Roman"/>
          <w:i/>
          <w:color w:val="000000"/>
          <w:sz w:val="20"/>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our cash flow data for the periods presented:</w:t>
      </w:r>
    </w:p>
    <w:p>
      <w:pPr>
        <w:pStyle w:val="TextBody"/>
        <w:bidi w:val="0"/>
        <w:jc w:val="both"/>
        <w:rPr/>
      </w:pPr>
      <w:r>
        <w:rPr/>
        <w:t> </w:t>
      </w:r>
    </w:p>
    <w:tbl>
      <w:tblPr>
        <w:tblW w:w="9214" w:type="dxa"/>
        <w:jc w:val="left"/>
        <w:tblInd w:w="0" w:type="dxa"/>
        <w:tblLayout w:type="fixed"/>
        <w:tblCellMar>
          <w:top w:w="28" w:type="dxa"/>
          <w:left w:w="28" w:type="dxa"/>
          <w:bottom w:w="28" w:type="dxa"/>
          <w:right w:w="28" w:type="dxa"/>
        </w:tblCellMar>
      </w:tblPr>
      <w:tblGrid>
        <w:gridCol w:w="3861"/>
        <w:gridCol w:w="146"/>
        <w:gridCol w:w="216"/>
        <w:gridCol w:w="729"/>
        <w:gridCol w:w="183"/>
        <w:gridCol w:w="161"/>
        <w:gridCol w:w="216"/>
        <w:gridCol w:w="729"/>
        <w:gridCol w:w="166"/>
        <w:gridCol w:w="146"/>
        <w:gridCol w:w="196"/>
        <w:gridCol w:w="661"/>
        <w:gridCol w:w="166"/>
        <w:gridCol w:w="146"/>
        <w:gridCol w:w="233"/>
        <w:gridCol w:w="698"/>
        <w:gridCol w:w="56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18,510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15,555</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Cash flows used in operating activities during the six months ended June 30, 2026 increased by $7.6 million to $20.4 million from $12.8 million during the same period in 2025. The increase to net cash used in operating activities was primarily attributable to changes in net (loss) income, net of the impact from non-cash items such as stock-based compensation, depreciation of property and equipment, amortization of intangible assets, changes in fair value of warrant liabilities and contingent consideration, loss on disposal of assets, and amortization of investment discount, and cash used by changes in operating assets and liabilities.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Net Cash Provided (Used In) by Investing Activities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net cash provided by investing activities during the six months ended June 30, 2026 increased by $51.6 million as compared to the same period in 2025. The increase in cash provided by investing activities is almost entirely due to $19.3 million of maturities, net of purchases, of marketable securities during the six months ended June 30, 2026, as compared to $33.0 million of purchases net of maturities, of marketable securities during the six months ended June 30, 2025.</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net cash provided by financing activities decreased by $17.5 million during the six months ended June 30, 2026, compared to the prior year period. This decrease was primarily attributable to lower net proceeds from equity issuances; specifically, we received $17.3 million, after deducting transaction costs, in net proceeds from the sale of our Common Stock during the six months ended June 30, 2026, compared to $34.9 million, after deducting transaction costs, in net proceeds from the sale of our Common Stock and warrants during the six months ended June 30,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discussion and analysis of our financial condition and results of operations are based upon our financial statements, which have been prepared in accordance with accounting principles generally accepted in the United States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pStyle w:val="TextBody"/>
        <w:bidi w:val="0"/>
        <w:jc w:val="both"/>
        <w:rPr>
          <w:rFonts w:ascii="Times New Roman" w:hAnsi="Times New Roman"/>
          <w:color w:val="000000"/>
          <w:sz w:val="20"/>
        </w:rPr>
      </w:pPr>
      <w:r>
        <w:rPr>
          <w:rFonts w:ascii="Times New Roman" w:hAnsi="Times New Roman"/>
          <w:color w:val="000000"/>
          <w:sz w:val="20"/>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Annual Report on Form 10-K for the year ended December 31,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otherwise required under this item.</w:t>
      </w:r>
    </w:p>
    <w:p>
      <w:pPr>
        <w:pStyle w:val="TextBody"/>
        <w:bidi w:val="0"/>
        <w:spacing w:before="200" w:after="283"/>
        <w:jc w:val="left"/>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disclosure controls and procedures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June 30, 2026, pursuant to Rule 13a-15(b) under the Exchange Act. Based upon that evaluation, our Certifying Officers concluded that our disclosure controls and procedures were effective as of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do not expect that our disclosure controls and procedures will prevent all errors and all instances of fraud. Disclosure controls and procedures, no matter how well designed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was no change in our internal control over financial reporting that occurred during the fiscal quarter ended June 30, 2026 covered by this Report that has materially affected, or is reasonably likely to materially affect, our internal control over financial reporting.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360" w:after="283"/>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 </w:t>
      </w:r>
    </w:p>
    <w:p>
      <w:pPr>
        <w:pStyle w:val="TextBody"/>
        <w:bidi w:val="0"/>
        <w:jc w:val="left"/>
        <w:rPr/>
      </w:pPr>
      <w:r>
        <w:rPr/>
        <w:t> </w:t>
      </w:r>
    </w:p>
    <w:p>
      <w:pPr>
        <w:pStyle w:val="TextBody"/>
        <w:bidi w:val="0"/>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both"/>
        <w:rPr>
          <w:rFonts w:ascii="Times New Roman" w:hAnsi="Times New Roman"/>
          <w:sz w:val="20"/>
        </w:rPr>
      </w:pPr>
      <w:r>
        <w:rPr>
          <w:rFonts w:ascii="Times New Roman" w:hAnsi="Times New Roman"/>
          <w:i/>
          <w:color w:val="000000"/>
          <w:sz w:val="20"/>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jc w:val="both"/>
        <w:rPr>
          <w:rFonts w:ascii="Times New Roman" w:hAnsi="Times New Roman"/>
          <w:b/>
          <w:i/>
          <w:color w:val="000000"/>
          <w:sz w:val="20"/>
        </w:rPr>
      </w:pPr>
      <w:r>
        <w:rPr>
          <w:rFonts w:ascii="Times New Roman" w:hAnsi="Times New Roman"/>
          <w:b/>
          <w:i/>
          <w:color w:val="000000"/>
          <w:sz w:val="20"/>
        </w:rPr>
        <w:t>We are an early stage company with a history of losses, and expect to incur significant losses for the foreseeable future.</w:t>
      </w:r>
    </w:p>
    <w:p>
      <w:pPr>
        <w:pStyle w:val="TextBody"/>
        <w:bidi w:val="0"/>
        <w:jc w:val="both"/>
        <w:rPr>
          <w:rFonts w:ascii="Times New Roman" w:hAnsi="Times New Roman"/>
          <w:color w:val="000000"/>
          <w:sz w:val="20"/>
        </w:rPr>
      </w:pPr>
      <w:r>
        <w:rPr>
          <w:rFonts w:ascii="Times New Roman" w:hAnsi="Times New Roman"/>
          <w:color w:val="000000"/>
          <w:sz w:val="20"/>
        </w:rPr>
        <w:t>We have incurred losses from operations and negative cash flows from operations since inception and are likely to continue to incur losses from operations and negative cash flows from operations in the near term. We incurred a loss from operations of $25.3 million for the six months ended June 30, 2026, and a loss from operations of $32.4 million for the year ended December 31, 2025. As of June 30, 2026, we had an accumulated deficit of $505.7 million and working capital of $43.8 million. We expect to incur significant losses for the foreseeable future. Forecasting the timing and amounts of expected revenue and our quarterly and annual results is challenging, in particular because the sales cycle, product acceptance, product pricing and customer adoption rates of our products are uncertain. Some of our contracts, including some of those reflected in backlog, are subject to cancellation, government budgetary process, milestone achievement or other conditions that, if not met, may delay, reduce or eliminate associated revenue. Even if we are able to successfully attract customers for commercial sales, we may not become profitable. We believe our ability to become profitable is dependent upon the successful commercialization and adoption on a large scale of our technology, products and services, including our ability to grow revenues, transition demonstrations, engineering engagements and development contracts into repeat production orders, long-term software licenses and larger commercial or government deployments, manage costs and maintain sufficient margins, none of which may occur. We may not be successful in achieving meaningful revenues from these products. Further, the timing, amount and growth rate of any such revenues are unknown.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likely to continue to incur losses in future periods as we: </w:t>
      </w:r>
    </w:p>
    <w:p>
      <w:pPr>
        <w:pStyle w:val="TextBody"/>
        <w:bidi w:val="0"/>
        <w:jc w:val="both"/>
        <w:rPr/>
      </w:pPr>
      <w:r>
        <w:rPr/>
        <w:t> </w:t>
      </w:r>
    </w:p>
    <w:p>
      <w:pPr>
        <w:pStyle w:val="TextBody"/>
        <w:bidi w:val="0"/>
        <w:spacing w:before="0" w:after="0"/>
        <w:jc w:val="both"/>
        <w:rPr>
          <w:caps/>
          <w:color w:val="000000"/>
        </w:rPr>
      </w:pPr>
      <w:r>
        <w:rPr>
          <w:caps/>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continue to develop and commercialize our products;</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conduct our sales and marketing activities and develop our sales and customer service capabilities; </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to invest in our technology, products and services and in our cybersecurity measures, policies and controls; and </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our general and administrative functions and systems to support our operations and to operate as a publicly-traded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Because we will incur costs and expenses from these and other efforts before we receive significant product revenue, we expect to incur losses in future periods, which could be significant. In addition, we may find that these efforts are more expensive than we currently anticipate or that these efforts may result in less than expected or no additional revenue, which would further increase our losses and affect our ability to continue operations. We may have to obtain additional capital from external sources, and additional financing may not be available when needed or, if available, may not be available on terms favorable to us or to our stockholders. See "</w:t>
      </w:r>
      <w:r>
        <w:rPr>
          <w:rFonts w:ascii="Times New Roman" w:hAnsi="Times New Roman"/>
          <w:i/>
          <w:color w:val="000000"/>
          <w:sz w:val="20"/>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are an early stage company, with no or limited previous experience commercializing our products. Our projected financial and operating information reflect estimates of future performance and are based on multiple business, financial, technical and operational assumptions, including product strategy, timely hiring or retention of needed personnel, timing and successful commercialization of our products, the level of demand for our products and services, the size of our target markets, the performance and utilization of our products, product and services pricing, the nature and length of the sales cycle (which we believe to be long) and assumptions regarding government procurement timelines, customer funding, manufacturing capacity, production schedules, contract renewals, backlog conversion and successful integration of acquired operations. However, given our limited commercial experience, many of these estimates and assumptions may prove to be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hAnsi="Times New Roman"/>
          <w:i/>
          <w:color w:val="000000"/>
          <w:sz w:val="20"/>
        </w:rPr>
        <w:t>Special Note Regarding Forward-Looking Statements</w:t>
      </w:r>
      <w:r>
        <w:rPr>
          <w:rFonts w:ascii="Times New Roman" w:hAnsi="Times New Roman"/>
          <w:color w:val="000000"/>
          <w:sz w:val="20"/>
        </w:rPr>
        <w:t xml:space="preserve">" </w:t>
      </w:r>
      <w:r>
        <w:rPr>
          <w:rFonts w:ascii="Times New Roman" w:hAnsi="Times New Roman"/>
          <w:i/>
          <w:color w:val="000000"/>
          <w:sz w:val="20"/>
        </w:rPr>
        <w:t xml:space="preserve">and </w:t>
      </w:r>
      <w:r>
        <w:rPr>
          <w:rFonts w:ascii="Times New Roman" w:hAnsi="Times New Roman"/>
          <w:color w:val="000000"/>
          <w:sz w:val="20"/>
        </w:rPr>
        <w:t>"</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yet to achieve positive operating cash flow, and our ability to generate positive cash flow is uncertain.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had negative cash flow from operating activities of $27.6 million and $22.6 million for the years ended December 31, 2025 and 2024, respectively, and negative cash flow from operating activities of $20.4 million for the six months ended June 30, 2026. We expect to continue to have negative cash flow from operating activities for the foreseeable future as we expect to incur research and development, sales and marketing and general and administrative expenses in our efforts to commercialize our products, increase sales and engage in continuous development work. We may not achieve positive cash flow in the near future or at all. Our business also may at times require significant amounts of working capital to support sales growth, capital expenditures or additional product development efforts. An inability to generate positive cash flow for the near term may adversely affect our ability to raise capital for our business on reasonable terms or at all, adversely affect our ability to pursue our business objectives, diminish customer willingness to enter into transactions with us and have other adverse effects, all of which would affect our ability to continue operations. See </w:t>
      </w:r>
      <w:r>
        <w:rPr>
          <w:rFonts w:ascii="Times New Roman" w:hAnsi="Times New Roman"/>
          <w:i/>
          <w:color w:val="000000"/>
          <w:sz w:val="20"/>
        </w:rPr>
        <w:t>"We are an early stage company with a history of losses, and expect to incur significant losses for the foreseeable future."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no or limited previous history or experience with commercializing our products and may not be able to do so efficiently, effectively or at all. We were unsuccessful in our efforts to commercialize our legacy hardware technologies that we and our predecessor companies developed over the past several decades.</w:t>
      </w:r>
    </w:p>
    <w:p>
      <w:pPr>
        <w:pStyle w:val="TextBody"/>
        <w:bidi w:val="0"/>
        <w:jc w:val="both"/>
        <w:rPr>
          <w:rFonts w:ascii="Times New Roman" w:hAnsi="Times New Roman"/>
          <w:sz w:val="20"/>
        </w:rPr>
      </w:pPr>
      <w:r>
        <w:rPr>
          <w:rFonts w:ascii="Times New Roman" w:hAnsi="Times New Roman"/>
          <w:color w:val="000000"/>
          <w:sz w:val="20"/>
        </w:rPr>
        <w:t>We have no or limited experience commercializing our products and may not be able to do so efficiently or effectively or at all. Historically we were unsuccessful in our efforts to commercialize our legacy hardware products. Moreover, commercialization may be delayed due to the challenges discussed under "</w:t>
      </w:r>
      <w:r>
        <w:rPr>
          <w:rFonts w:ascii="Times New Roman" w:hAnsi="Times New Roman"/>
          <w:i/>
          <w:color w:val="000000"/>
          <w:sz w:val="20"/>
        </w:rPr>
        <w:t>Successful commercialization of our technology and products may be delayed beyond our current expectations and therefore product availability to customers, customer acquisition and receipt of product revenue could be delayed.</w:t>
      </w:r>
      <w:r>
        <w:rPr>
          <w:rFonts w:ascii="Times New Roman" w:hAnsi="Times New Roman"/>
          <w:color w:val="000000"/>
          <w:sz w:val="20"/>
        </w:rPr>
        <w:t>" The commercialization of our products is a complex and evolving process that involves the development of new and emerging technologies, continued investment, including in privacy, safety and security efforts and potential collaborations with other companies, developers, partners and other participants. Market acceptance of our products is uncertain and we may need to change product features to meet customer needs. We regularly evaluate our product roadmaps and make significant changes as our understanding of the technological challenges and market landscape and our product ideas and designs evolve. We also may be unsuccessful in our research and product development efforts.</w:t>
      </w:r>
    </w:p>
    <w:p>
      <w:pPr>
        <w:pStyle w:val="TextBody"/>
        <w:bidi w:val="0"/>
        <w:jc w:val="both"/>
        <w:rPr>
          <w:rFonts w:ascii="Times New Roman" w:hAnsi="Times New Roman"/>
          <w:color w:val="000000"/>
          <w:sz w:val="20"/>
        </w:rPr>
      </w:pPr>
      <w:r>
        <w:rPr>
          <w:rFonts w:ascii="Times New Roman" w:hAnsi="Times New Roman"/>
          <w:color w:val="000000"/>
          <w:sz w:val="20"/>
        </w:rPr>
        <w:t xml:space="preserve">A key element of our long-term business strategy involves sales, 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products and services. In addition, certain decisions we make regarding priorities and staffing in these areas in our efforts to responsibly manage our financial resources could have unintended negative effects on our revenue, such as by weakening the sales and marketing infrastructures or lowering the quality of customer service.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recent expansion into integrated defense products, autonomous systems and advanced manufacturing exposes us to operational, execution and commercialization risks that differ from those associated with our software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our November 2025 acquisitions of GuideTech, Warnke Precision Machining and MKR Fabricators, we have significantly expanded our business beyond our AI software offerings through the development and commercialization of autonomous aerial systems, advanced avionics products, engineering services and precision manufacturing. Successfully managing and integrating these businesses requires capabilities different from those historically required for software development, including manufacturing execution, supply chain management, quality assurance, regulatory compliance, production scheduling, inventory management and contract performance.</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ability to successfully pursue new businesses while continuing to develop and commercialize our AI software offerings is subject to significant operational risk. We may experience delays in production, cost overruns, manufacturing inefficiencies, supplier shortages, quality issues, workforce constraints, customer acceptance delays or other execution challenges that adversely affect our reputation, profitability and operating results. If we are unable to successfully manage expanded operations, realize anticipated synergies or scale these businesses efficiently, our financial condition, results of operations and long-term growth prospects could be materially adversely affected.</w:t>
      </w:r>
    </w:p>
    <w:p>
      <w:pPr>
        <w:pStyle w:val="TextBody"/>
        <w:bidi w:val="0"/>
        <w:jc w:val="both"/>
        <w:rPr>
          <w:rFonts w:ascii="Times New Roman" w:hAnsi="Times New Roman"/>
          <w:sz w:val="20"/>
        </w:rPr>
      </w:pPr>
      <w:r>
        <w:rPr>
          <w:rFonts w:ascii="Times New Roman" w:hAnsi="Times New Roman"/>
          <w:b/>
          <w:i/>
          <w:color w:val="000000"/>
          <w:sz w:val="20"/>
        </w:rPr>
        <w:t>Successful commercialization of our technology and products may be delayed beyond our current expectations and therefore product availability to customers, customer acquisition and receipt of product revenue could be delayed.</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focused on the development and commercialization of our technology and products. Product testing and customer use regularly provide feedback on how we can improve our products. If we are unable to demonstrate that our products deliver the performance, reliability, interoperability with third-party systems, scalability, functionality and/or safety that we or our potential customers expect or quickly address discovered issues, commercial success may be delayed as we work to address the deficiencies. As a result of such delays, we may receive product revenue later than expected or not at all if our potential customers decide to seek alternative solutions to our products, adversely affecting our results of operations and financial condition. If we are unable to recruit and retain employees as needed to commercialize our products, we may be unable to do so in a timely manner or at all.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Over recent years we experienced, and we continue to experience, these challenges, which have at times negatively impacted our product development schedules and progress. We expect these challenges to continue and, if they do and if we are unable to effectively mitigate their impact, it is likely that we will be unable to meet our currently expected timelines.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macro-economic conditions, such as changes in United States trade policy, including tariffs, inflation and high interest rates and geopolitical events, such as the current wars between Russia and Ukraine and between the United States and Iran, have contributed to price increases and otherwise affected financial and business markets and activities, and may continue to do so. If we are unable to develop and commercialize our products in a cost efficient manner, our financial results, financial condition and prospects would be materially and adversely affected.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Any issues in the development and use of our AI/ML Foundational Technology or AI-enabled products, or issues in products developed by others, may result in reputational harm or liability.</w:t>
      </w:r>
    </w:p>
    <w:p>
      <w:pPr>
        <w:pStyle w:val="TextBody"/>
        <w:bidi w:val="0"/>
        <w:jc w:val="both"/>
        <w:rPr>
          <w:rFonts w:ascii="Times New Roman" w:hAnsi="Times New Roman"/>
          <w:sz w:val="20"/>
        </w:rPr>
      </w:pPr>
      <w:r>
        <w:rPr>
          <w:rFonts w:ascii="Times New Roman" w:hAnsi="Times New Roman"/>
          <w:color w:val="000000"/>
          <w:sz w:val="20"/>
        </w:rPr>
        <w:t>Any issues in the development or use of our AI/ML Foundational Technology or AI-enabled products, or issues in products developed by others may result in reputational harm or liability. As with many innovations, AI presents risks, challenges and unintended consequences that could affect its adoption, and therefore our business. AI algorithms and training methodologies may be flawed, ineffective or inadequate. As our products increasingly enable autonomous operation of robotic systems, UAVs or other defense platforms, alleged failures of autonomous decision-making, object recognition, navigation or mission execution could result in increased product liability, contractual liability, regulatory scrutiny or reputational harm. Further, AI development or deployment practices by us or others could result in incidents that impair the acceptance of AI solutions or cause harm to individuals or society. These deficiencies and other failures of AI systems could subject us to competitive harm, regulatory action, legal liability and brand or reputational harm. If we enable or offer AI solutions that are controversial because of their impact on human rights, privacy, employment or other social, economic or political issues, we may experience competitive, brand or reputational harm or legal and/or regulatory action. Further, incorporating AI gives rise to litigation risk and risk of non-compliance and unknown costs of compliance, as AI is an emerging technology for which the legal and regulatory landscape is not fully developed. See "</w:t>
      </w:r>
      <w:r>
        <w:rPr>
          <w:rFonts w:ascii="Times New Roman" w:hAnsi="Times New Roman"/>
          <w:i/>
          <w:color w:val="000000"/>
          <w:sz w:val="20"/>
        </w:rPr>
        <w:t>Issues in the development and use of AI/ML, combined with an uncertain regulatory environment, may result in reputational harm, liability or other adverse consequences to our business operations</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AI/ML Foundational Technology and other technologies and products are new, and customer trials and discussions may not result in purchases.</w:t>
      </w:r>
    </w:p>
    <w:p>
      <w:pPr>
        <w:pStyle w:val="TextBody"/>
        <w:bidi w:val="0"/>
        <w:jc w:val="both"/>
        <w:rPr>
          <w:rFonts w:ascii="Times New Roman" w:hAnsi="Times New Roman"/>
          <w:color w:val="000000"/>
          <w:sz w:val="20"/>
        </w:rPr>
      </w:pPr>
      <w:r>
        <w:rPr>
          <w:rFonts w:ascii="Times New Roman" w:hAnsi="Times New Roman"/>
          <w:color w:val="000000"/>
          <w:sz w:val="20"/>
        </w:rPr>
        <w:t xml:space="preserve">Our AI/ML Foundational Technology and other technologies and products are new technologies. As of the date of this Report, we have revenue generating contracts with commercial and U.S. government customers relating to our UAV engineering services, advanced avionics computers and precision manufacturing and we also have revenue generating contracts with U.S. government customers relating to various aspects of our AI/ML Foundational Technology and related products. However, while we continue to engage with numerous other potential customers, we currently have only secured one paying customer for our AI/ML Foundational Technology related products. Our products contain advanced software and control technologies that we have developed over many years. The design of our products is significantly influenced by feedback from potential customers and reflects the needs they express. Even if we are able to successfully incorporate that feedback into our products, customers who initially expressed an interest in our products during the design or testing phase may not purchase our products. If we cannot commercialize our technologies and products generally on our expected schedule, if our products do not offer our potential customers the features, functionality and return on investment that they expect, if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potential customers are unwilling or hesitant to adopt new technologies and products such as ours and/or if potential customers are not willing to pay for our products and services at the rates that we currently expect, our ability to generate material revenues will be materially impaired.</w:t>
      </w:r>
    </w:p>
    <w:p>
      <w:pPr>
        <w:pStyle w:val="TextBody"/>
        <w:bidi w:val="0"/>
        <w:jc w:val="both"/>
        <w:rPr>
          <w:rFonts w:ascii="Times New Roman" w:hAnsi="Times New Roman"/>
          <w:color w:val="000000"/>
          <w:sz w:val="20"/>
        </w:rPr>
      </w:pPr>
      <w:r>
        <w:rPr>
          <w:rFonts w:ascii="Times New Roman" w:hAnsi="Times New Roman"/>
          <w:color w:val="000000"/>
          <w:sz w:val="20"/>
        </w:rPr>
        <w:t>Based on interaction with dozens of potential customers, we believe that the sales cycle for Palladyne IQ is likely to be between 12 and 18 months, or even longer, while the sales cycles for Palladyne Pilot, SwarmOS, BRAIN and IntelliSwarm are unknown. We have limited actual knowledge of or experience with the sales cycle of our products including the customer testing that will be required for customers to ultimately license our software products. As a result, customer testing may take longer than we anticipate, and we may not be able to provide such testing to the satisfaction of prospective customers, which could result in longer sales cycles and fewer purchases than anticipated. We may not be able to adapt our products to reflect customer feedback successfully or at all. If customers who initially express an interest in our products and influenced their designs do not license or purchase our products, or if they adopt a competitors' technology, our business, prospects, financial condition and operating results would be adversely affected.</w:t>
      </w:r>
    </w:p>
    <w:p>
      <w:pPr>
        <w:pStyle w:val="TextBody"/>
        <w:bidi w:val="0"/>
        <w:jc w:val="both"/>
        <w:rPr>
          <w:rFonts w:ascii="Times New Roman" w:hAnsi="Times New Roman"/>
          <w:color w:val="000000"/>
          <w:sz w:val="20"/>
        </w:rPr>
      </w:pPr>
      <w:r>
        <w:rPr>
          <w:rFonts w:ascii="Times New Roman" w:hAnsi="Times New Roman"/>
          <w:color w:val="000000"/>
          <w:sz w:val="20"/>
        </w:rPr>
        <w:t>In addition, to build and maintain our business, we must maintain confidence among customers and potential customers in our technologies, products and services, long-term financial viability and prospects. Maintaining such confidence may be particularly complicated by certain factors including those that are largely outside of our control, such as our limited commercial software experience, customer unfamiliarity with our software and other products, any delays in development or testing, product performance, competition and uncertainty regarding the future of AI and robotics. If we do not generate sufficient revenue, our business, prospects, financial condition and operating results would be materially and adversely affected. Further, if investors, analysts, rating agencies and other third parties are not confident in our technologies, products and services, our ability to commercialize our products, our financial viability or our prospects, we may not be able to raise any needed funding which would materially and adversely affect our financial condition and prospects and ability to continue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our target markets and the industries we seek to serve do not continue to develop as we anticipate, or if potential customers do not adopt our technologies, products and services and license or purchase our products and services, our sales will not grow as quickly as expected, or at all, and our business, operating results and financial condition would be harmed.</w:t>
      </w:r>
    </w:p>
    <w:p>
      <w:pPr>
        <w:pStyle w:val="TextBody"/>
        <w:bidi w:val="0"/>
        <w:jc w:val="both"/>
        <w:rPr>
          <w:rFonts w:ascii="Times New Roman" w:hAnsi="Times New Roman"/>
          <w:sz w:val="20"/>
        </w:rPr>
      </w:pPr>
      <w:r>
        <w:rPr>
          <w:rFonts w:ascii="Times New Roman" w:hAnsi="Times New Roman"/>
          <w:color w:val="000000"/>
          <w:sz w:val="20"/>
        </w:rPr>
        <w:t>The markets for our AI/ML Foundational Technology, other technologies and products and applications similar to ours are relatively new and evolving. We are developing our products to respond to an increasingly global and complex business environment with rigorous regulatory standards. If organizations do not allocate their budgets as we expect or if we do not succeed in convincing potential customers to license or purchase our products and services, our sales will not grow as quickly as anticipated, or at all. Economic uncertainty or future deterioration in general economic conditions might also cause our customers to cut or delay their spending, and such cuts might disproportionately affect businesses like ours to the extent customers view our products and services as too costly or discretionary. For example, the effects of changes in U.S. trade policy, including tariffs, are unknown and may have the effect of diminishing customer willingness to enter into transactions with us. Moreover, market acceptance of our technologies and products is critical to our continued success. Even if the market grows as expected, if potential customers do not adopt our technologies, products and services, our business, operating results, financial condition and growth prospects will be materially and adversely affected. If we are not able to generate material revenues from our products and services before we exhaust our financial resources, we may need to cease business operations. See "</w:t>
      </w:r>
      <w:r>
        <w:rPr>
          <w:rFonts w:ascii="Times New Roman" w:hAnsi="Times New Roman"/>
          <w:i/>
          <w:color w:val="000000"/>
          <w:sz w:val="20"/>
        </w:rPr>
        <w:t>We are an early stage company with a history of losses, and expect to incur significant losses for the foreseeable future.</w:t>
      </w:r>
      <w:r>
        <w:rPr>
          <w:rFonts w:ascii="Times New Roman" w:hAnsi="Times New Roman"/>
          <w:color w:val="000000"/>
          <w:sz w:val="20"/>
        </w:rPr>
        <w:t>" and "</w:t>
      </w:r>
      <w:r>
        <w:rPr>
          <w:rFonts w:ascii="Times New Roman" w:hAnsi="Times New Roman"/>
          <w:i/>
          <w:color w:val="000000"/>
          <w:sz w:val="20"/>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are unable to successfully introduce and implement enhancements, new features or modifications to our technologies and products, our business will be harmed.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are unable to successfully introduce and implement new products, applications, enhancements or features, or fail to develop new products or applications that achieve market acceptance or that keep pace with rapid technological developments, our business, operating results, financial condition and growth prospects will be adversely affected. The success of enhancements and new products and applications depends on several factors, including timely completion, introduction and market acceptance. </w:t>
      </w:r>
    </w:p>
    <w:p>
      <w:pPr>
        <w:pStyle w:val="TextBody"/>
        <w:bidi w:val="0"/>
        <w:jc w:val="both"/>
        <w:rPr>
          <w:rFonts w:ascii="Times New Roman" w:hAnsi="Times New Roman"/>
          <w:color w:val="000000"/>
          <w:sz w:val="20"/>
        </w:rPr>
      </w:pPr>
      <w:r>
        <w:rPr>
          <w:rFonts w:ascii="Times New Roman" w:hAnsi="Times New Roman"/>
          <w:color w:val="000000"/>
          <w:sz w:val="20"/>
        </w:rPr>
        <w:t xml:space="preserve">We must continue to meet the changing expectations and requirements of our customers. Any failure of our software or other products to operate effectively with future software, such as third-party robotic operating systems, technologies and third-party platforms or to evolve and scale to address the changing needs of our customers could reduce the demand for our products or result in customer dissatisfaction. Further, uncertainties about the timing and nature of new software, technologies or third-party platforms, or modifications to our software or products or existing software, technologies or platforms, could increase our research and development expenses. If we are not successful in developing modifications and enhancements to our products or if we fail to introduce new products and applications to market in a timely fashion, our products might become less marketable, less competitive or obsolete, and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consequently our revenue growth might be significantly impaired and our business, operating results and financial condition could be harmed.</w:t>
      </w:r>
    </w:p>
    <w:p>
      <w:pPr>
        <w:pStyle w:val="TextBody"/>
        <w:bidi w:val="0"/>
        <w:jc w:val="both"/>
        <w:rPr>
          <w:rFonts w:ascii="Times New Roman" w:hAnsi="Times New Roman"/>
          <w:b/>
          <w:i/>
          <w:color w:val="000000"/>
          <w:sz w:val="20"/>
        </w:rPr>
      </w:pPr>
      <w:r>
        <w:rPr>
          <w:rFonts w:ascii="Times New Roman" w:hAnsi="Times New Roman"/>
          <w:b/>
          <w:i/>
          <w:color w:val="000000"/>
          <w:sz w:val="20"/>
        </w:rPr>
        <w:t>We may fail to attract or retain customers at sufficient rates or in sufficient numbers or at all.</w:t>
      </w:r>
    </w:p>
    <w:p>
      <w:pPr>
        <w:pStyle w:val="TextBody"/>
        <w:bidi w:val="0"/>
        <w:jc w:val="both"/>
        <w:rPr>
          <w:rFonts w:ascii="Times New Roman" w:hAnsi="Times New Roman"/>
          <w:color w:val="000000"/>
          <w:sz w:val="20"/>
        </w:rPr>
      </w:pPr>
      <w:r>
        <w:rPr>
          <w:rFonts w:ascii="Times New Roman" w:hAnsi="Times New Roman"/>
          <w:color w:val="000000"/>
          <w:sz w:val="20"/>
        </w:rPr>
        <w:t>We have no or limited experience commercializing our products and may not be able to do so efficiently or effectively or at all. To create and grow our customer base, we must sell and/or license our software, products and services to new customers, which we may not be able to do in sufficient numbers or at all. For example, many of our customer engagements begin as demonstrations, evaluations, engineering services engagements or other limited-scope programs. Successful completion of these activities may not result in high-volume production contracts, larger deployments, long-term software licenses, expanded engineering services or additional or increased manufacturing contracts. Customers may discontinue evaluations at any stage, reduce funding, delay procurement decisions or select competing technologies. Even if we are able to attract customers, these customers may not maintain a high level of commitment to our technology, products or services. In addition, we will incur marketing, sales and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We expect certain of our technologies and products to be used with robots and UAVs operating in a wide variety of environments and for a broad range of complex uses. Our success depends on our ability, and the ability of our customers, to implement our products 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software and other products. If we or our customers are unable to implement our products successfully, or are unable to do so in a timely manner, inadequate performance might result and customer perceptions of our technology, products and company might be impaired, our reputation and brand might suffer, we may face legal claims, customers might choose not to renew or expand the use of our products and we might lose opportunities for additional sales.</w:t>
      </w:r>
    </w:p>
    <w:p>
      <w:pPr>
        <w:pStyle w:val="TextBody"/>
        <w:bidi w:val="0"/>
        <w:jc w:val="both"/>
        <w:rPr>
          <w:rFonts w:ascii="Times New Roman" w:hAnsi="Times New Roman"/>
          <w:b/>
          <w:i/>
          <w:color w:val="000000"/>
          <w:sz w:val="20"/>
        </w:rPr>
      </w:pPr>
      <w:r>
        <w:rPr>
          <w:rFonts w:ascii="Times New Roman" w:hAnsi="Times New Roman"/>
          <w:b/>
          <w:i/>
          <w:color w:val="000000"/>
          <w:sz w:val="20"/>
        </w:rPr>
        <w:t>We have no previous history with our licensing sales model for our software products.</w:t>
      </w:r>
    </w:p>
    <w:p>
      <w:pPr>
        <w:pStyle w:val="TextBody"/>
        <w:bidi w:val="0"/>
        <w:jc w:val="both"/>
        <w:rPr>
          <w:rFonts w:ascii="Times New Roman" w:hAnsi="Times New Roman"/>
          <w:color w:val="000000"/>
          <w:sz w:val="20"/>
        </w:rPr>
      </w:pPr>
      <w:r>
        <w:rPr>
          <w:rFonts w:ascii="Times New Roman" w:hAnsi="Times New Roman"/>
          <w:color w:val="000000"/>
          <w:sz w:val="20"/>
        </w:rPr>
        <w:t>We have no experience with licensing software as a business model. The success of our strategy to build recurring revenue streams through software licenses depends on our ability to successfully market our software products and their benefits to customers and to successfully develop a network of ongoing customers that maintain or renew their licenses, pay for upgrades, license additional functionality or expand the use of the software within their robotic systems. The likelihood of our success must be considered in light of these risks, and our license model may not prove successful.</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our competitors may offer different pricing models that may be more attractive to potential customers. We may be required to adjust our sales model in response to these changes, which could adversely affect our financial performance. </w:t>
      </w:r>
    </w:p>
    <w:p>
      <w:pPr>
        <w:pStyle w:val="TextBody"/>
        <w:bidi w:val="0"/>
        <w:jc w:val="both"/>
        <w:rPr>
          <w:rFonts w:ascii="Times New Roman" w:hAnsi="Times New Roman"/>
          <w:b/>
          <w:i/>
          <w:color w:val="000000"/>
          <w:sz w:val="20"/>
        </w:rPr>
      </w:pPr>
      <w:r>
        <w:rPr>
          <w:rFonts w:ascii="Times New Roman" w:hAnsi="Times New Roman"/>
          <w:b/>
          <w:i/>
          <w:color w:val="000000"/>
          <w:sz w:val="20"/>
        </w:rPr>
        <w:t>Important assumptions about market demand, pricing, adoption rates and sales cycles for our products and services may be inaccurate.</w:t>
      </w:r>
    </w:p>
    <w:p>
      <w:pPr>
        <w:pStyle w:val="TextBody"/>
        <w:bidi w:val="0"/>
        <w:jc w:val="both"/>
        <w:rPr>
          <w:rFonts w:ascii="Times New Roman" w:hAnsi="Times New Roman"/>
          <w:color w:val="000000"/>
          <w:sz w:val="20"/>
        </w:rPr>
      </w:pPr>
      <w:r>
        <w:rPr>
          <w:rFonts w:ascii="Times New Roman" w:hAnsi="Times New Roman"/>
          <w:color w:val="000000"/>
          <w:sz w:val="20"/>
        </w:rPr>
        <w:t xml:space="preserve">Market demand for our products is unproven, and important assumptions about the characteristics of targeted markets, pricing, adoption rates and sales cycles may be inaccurate. Based on interaction with dozens of potential customers, we believe that the sales cycle for Palladyne IQ is likely to be between 12 and 18 months, or even longer, while the sales cycles for our other products, including Palladyne Pilot, SwarmOS, IntelliSwarm, avionics and UAVs, are unknown. </w:t>
      </w:r>
    </w:p>
    <w:p>
      <w:pPr>
        <w:pStyle w:val="TextBody"/>
        <w:bidi w:val="0"/>
        <w:jc w:val="both"/>
        <w:rPr>
          <w:rFonts w:ascii="Times New Roman" w:hAnsi="Times New Roman"/>
          <w:color w:val="000000"/>
          <w:sz w:val="20"/>
        </w:rPr>
      </w:pPr>
      <w:r>
        <w:rPr>
          <w:rFonts w:ascii="Times New Roman" w:hAnsi="Times New Roman"/>
          <w:color w:val="000000"/>
          <w:sz w:val="20"/>
        </w:rPr>
        <w:t>Given the evolving nature of the markets in which we operate, it is difficult to predict customer demand or adoption rates for our products or the future growth of the markets we target. If one or more of the targeted markets experience a shift in customer demand, whether due to new solutions that better address customer needs or otherwise, our products may not compete as effectively, if at all. If customer demand does not develop as expected, or if we do not achieve forecasted pricing, adoption rates and sales cycles for our products, our business, results of operations and financial condition will be adversely affected, perhaps materially.</w:t>
      </w:r>
    </w:p>
    <w:p>
      <w:pPr>
        <w:pStyle w:val="TextBody"/>
        <w:bidi w:val="0"/>
        <w:jc w:val="both"/>
        <w:rPr>
          <w:rFonts w:ascii="Times New Roman" w:hAnsi="Times New Roman"/>
          <w:b/>
          <w:i/>
          <w:color w:val="000000"/>
          <w:sz w:val="20"/>
        </w:rPr>
      </w:pPr>
      <w:r>
        <w:rPr>
          <w:rFonts w:ascii="Times New Roman" w:hAnsi="Times New Roman"/>
          <w:b/>
          <w:i/>
          <w:color w:val="000000"/>
          <w:sz w:val="20"/>
        </w:rPr>
        <w:t>The benefits of our AI/ML Foundational Technology and related products to customers and projected return on investment have not been substantiated through customer use.</w:t>
      </w:r>
    </w:p>
    <w:p>
      <w:pPr>
        <w:pStyle w:val="TextBody"/>
        <w:bidi w:val="0"/>
        <w:jc w:val="both"/>
        <w:rPr>
          <w:rFonts w:ascii="Times New Roman" w:hAnsi="Times New Roman"/>
          <w:color w:val="000000"/>
          <w:sz w:val="20"/>
        </w:rPr>
      </w:pPr>
      <w:r>
        <w:rPr>
          <w:rFonts w:ascii="Times New Roman" w:hAnsi="Times New Roman"/>
          <w:color w:val="000000"/>
          <w:sz w:val="20"/>
        </w:rPr>
        <w:t>Our AI/ML Foundational Technology and related products have not been extensively commercially used by customers. Our products may not perform consistent with customers' expectations or consistent with other products that may be or may become available. Any failure of our products to perform as expected could harm our reputation and result in adverse publicity, lost revenue, license cancellation, harm to our brand, delays in availability, product liability claims and significant warranty and other expenses and could have a material adverse impact on our business, prospects, financial condition and operating results.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currently intend to target many customers that are large businesses, including large U.S. government prime contractors with substantial negotiating power, exacting product standards and potentially competitive internal solutions. If we are unable to sell our software products to these customers, our prospects and results of operations will be adversely affected.</w:t>
      </w:r>
    </w:p>
    <w:p>
      <w:pPr>
        <w:pStyle w:val="TextBody"/>
        <w:bidi w:val="0"/>
        <w:jc w:val="both"/>
        <w:rPr>
          <w:rFonts w:ascii="Times New Roman" w:hAnsi="Times New Roman"/>
          <w:color w:val="000000"/>
          <w:sz w:val="20"/>
        </w:rPr>
      </w:pPr>
      <w:r>
        <w:rPr>
          <w:rFonts w:ascii="Times New Roman" w:hAnsi="Times New Roman"/>
          <w:color w:val="000000"/>
          <w:sz w:val="20"/>
        </w:rPr>
        <w:t xml:space="preserve">We expect that many of our potential customers will be large businesses, including large U.S. government prime contractors with substantial negotiating power relative to us and, in some instances, may have internal solutions that are competitive to our AI/ML software products and other products and services.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customers from these or other businesses or we may be unable to generate meaningful revenue from these potential customers. If our products and services are not selected by these large businesses, if these businesses develop or acquire competitive technology, or if these businesses delay, reduce or terminate programs involving our products or services, it may have a material adverse effect on our business, prospects, financial condition and operating results. </w:t>
      </w:r>
    </w:p>
    <w:p>
      <w:pPr>
        <w:pStyle w:val="TextBody"/>
        <w:bidi w:val="0"/>
        <w:jc w:val="both"/>
        <w:rPr>
          <w:rFonts w:ascii="Times New Roman" w:hAnsi="Times New Roman"/>
          <w:b/>
          <w:i/>
          <w:color w:val="000000"/>
          <w:sz w:val="20"/>
        </w:rPr>
      </w:pPr>
      <w:r>
        <w:rPr>
          <w:rFonts w:ascii="Times New Roman" w:hAnsi="Times New Roman"/>
          <w:b/>
          <w:i/>
          <w:color w:val="000000"/>
          <w:sz w:val="20"/>
        </w:rPr>
        <w:t>A portion of our revenue is currently and will continue to be generated by contracts with government entities, which makes us subject to a number of uncertainties, challenges and risks.</w:t>
      </w:r>
    </w:p>
    <w:p>
      <w:pPr>
        <w:pStyle w:val="TextBody"/>
        <w:bidi w:val="0"/>
        <w:jc w:val="both"/>
        <w:rPr>
          <w:rFonts w:ascii="Times New Roman" w:hAnsi="Times New Roman"/>
          <w:sz w:val="20"/>
        </w:rPr>
      </w:pPr>
      <w:r>
        <w:rPr>
          <w:rFonts w:ascii="Times New Roman" w:hAnsi="Times New Roman"/>
          <w:color w:val="000000"/>
          <w:sz w:val="20"/>
        </w:rPr>
        <w:t>We believe a significant portion of our business prospects and future growth will come from government contracts, either directly or as a subcontractor, many of which are subject to competitive procurement processes, lengthy evaluation periods and uncertainty as to timing and outcome. The procurement process can be highly competitive, expensive and time-consuming, often requiring significant upfront time and expense without any assurance that these efforts will generate revenue. Even after we are awarded with a government contract, contracts with government entities are subject to a number of risks. Many government awards initially consist of research, development, prototype, engineering or demonstration activities. These awards frequently do not obligate future procurement, production quantities or follow-on contracts. Other factors that could impede our ability to generate revenue from government contracts include: changing political environments and shifts in government priorities; national security focus areas; impacts and changes to government spending; and budgetary or staffing cuts, including those related to government shutdowns resulting from lapses in government appropriations. Any of these factors or other factors that affect government spending could result in cancellations of our contracts or in delays or terminations of opportunities that we are currently pursuing and negatively impact our business, financial condition and results of operations. For example, in the past due to government shutdowns, furloughs or reductions, we have experienced delays in our interactions with certain government agencies and these have affected our collection efforts and our ability to consummate new government contracts and may prevent us from maintaining or renewing certain government contracts. The duration of a shutdown could have a compounding effect, and the longer it continues, the more significant the potential adverse impact may be on our anticipated revenues. Further, U.S. government spending may be reduced as a result of changes in policy, and other factors affecting the U.S. government such as national security focus areas, budget deficits and the national debt. Even if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Additionally, during lapses in federal appropriations, agencies may delay new contract awards or modifications, interrupt funding or refuse to obligate additional funds, furlough personnel or reduce administrative and contracting support. Government entities may have statutory, contractual or other legal rights to terminate our contracts for convenience or default. Also see "</w:t>
      </w:r>
      <w:r>
        <w:rPr>
          <w:rFonts w:ascii="Times New Roman" w:hAnsi="Times New Roman"/>
          <w:i/>
          <w:color w:val="000000"/>
          <w:sz w:val="20"/>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r>
        <w:rPr>
          <w:rFonts w:ascii="Times New Roman" w:hAnsi="Times New Roman"/>
          <w:color w:val="000000"/>
          <w:sz w:val="20"/>
        </w:rPr>
        <w:t>"</w:t>
      </w:r>
    </w:p>
    <w:p>
      <w:pPr>
        <w:pStyle w:val="TextBody"/>
        <w:bidi w:val="0"/>
        <w:jc w:val="both"/>
        <w:rPr>
          <w:rFonts w:ascii="Times New Roman" w:hAnsi="Times New Roman"/>
          <w:b/>
          <w:i/>
          <w:color w:val="000000"/>
          <w:sz w:val="20"/>
        </w:rPr>
      </w:pPr>
      <w:r>
        <w:rPr>
          <w:rFonts w:ascii="Times New Roman" w:hAnsi="Times New Roman"/>
          <w:b/>
          <w:i/>
          <w:color w:val="000000"/>
          <w:sz w:val="20"/>
        </w:rPr>
        <w:t>We operate in a competitive industry that is subject to rapid technological change, and we expect competition to increase. Our products may not be competitive with other alternatives.</w:t>
      </w:r>
    </w:p>
    <w:p>
      <w:pPr>
        <w:pStyle w:val="TextBody"/>
        <w:bidi w:val="0"/>
        <w:jc w:val="both"/>
        <w:rPr>
          <w:rFonts w:ascii="Times New Roman" w:hAnsi="Times New Roman"/>
          <w:color w:val="000000"/>
          <w:sz w:val="20"/>
        </w:rPr>
      </w:pPr>
      <w:r>
        <w:rPr>
          <w:rFonts w:ascii="Times New Roman" w:hAnsi="Times New Roman"/>
          <w:color w:val="000000"/>
          <w:sz w:val="20"/>
        </w:rPr>
        <w:t xml:space="preserve">The AI/ML software, robotics and UAV industries and other industries we seek to serve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products and services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We believe that SwarmOS/Pilot will face competition from a variety of other UAV software solutions currently available on the market, which may include software developed by manufacturers for use with their proprietary UAVs. These include solutions offered by Anduril, Shield AI, Skydio and Swarmer. While certain competitors offer individual functionalities similar to what Palladyne SwarmOS/Pilot provides, we believe they do not deliver the full suite of features offered by our product. Some competitors sell both UAV hardware and its corresponding software. Other competitors that sell UAV software as a standalone product tend to focus on software functionality for larger UAVs, which may nonetheless be competitive with SwarmOS/Pilot with certain UAVs or use cases.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Large defense prime contractors with UAV, aviation or missile programs, such as Lockheed Martin, Northrop Grumman, Boeing and RTX, along with manufacturing companies, represent formidable potential competitors of ours, particularly as they accelerate investments in attritable autonomous systems, loitering munitions and AI-enabled avionics. These incumbents leverage established program relationships, large R&amp;D budgets and certified production lines to develop integrated solutions like other low-cost attritable weapons such as the Leidos Black Arrow, which could compete with SwarmStrike.</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While there are many automation-centric companies who are active, especially in early-adopter segments such as warehouse and logistics and select manufacturing or assembly verticals, we believe our primary competitors for Palladyne IQ are those who are focused on addressing key challenges in robotic deployments via autonomy or automation-enhancing software capabilities. In the broader automation landscape, our direct and indirect competitors include companies such as Bright Machines, Intrinsic, Mujin and Skild AI. We believe that our competitors generally are seeking to solve the same or similar industry challenges as we are, but that most are focused on a particular aspect of the problem we are addressing with Palladyne IQ than a fully competitive solution.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Although we view industrial robotics manufacturers, large system integrators and consulting companies such as Fanuc, KUKA, ABB, Yasakawa, Honeywell, Reply and Rockwell Automation, as potential target customers and/or channel partners for Palladyne IQ, we also recognize that these companies could also emerge as formidable competitors through their own internal development efforts or future technology partnerships with and acquisitions of our direct competitors. They may bring their robust customer relationships, channels and significant financial resources to help accelerate the market viability of their own products or those of one or more of our direct or indirect competitors.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We believe our engineering services may compete with companies such as ModalAI, ArkElectronics, Applied Navigation, and other organizations such as Georgia Tech Research Institute and similar organizations that sell or otherwise provide similar services. We believe that our competitors provide solutions for more broadly applicable use cases, while our engineering services provide solutions for nonstandard or specialized products or use cases where more generic competitor solutions are less suitable. </w:t>
      </w:r>
    </w:p>
    <w:p>
      <w:pPr>
        <w:pStyle w:val="TextBody"/>
        <w:bidi w:val="0"/>
        <w:jc w:val="both"/>
        <w:rPr>
          <w:rFonts w:ascii="Times New Roman" w:hAnsi="Times New Roman"/>
          <w:color w:val="000000"/>
          <w:sz w:val="20"/>
        </w:rPr>
      </w:pPr>
      <w:r>
        <w:rPr>
          <w:rFonts w:ascii="Times New Roman" w:hAnsi="Times New Roman"/>
          <w:color w:val="000000"/>
          <w:sz w:val="20"/>
        </w:rPr>
        <w:t>Many of our competitors and potential competitors have products that are commercially available and/or in development. We expect some products currently in development to become commercially available in the next few years. Further, our products may not be competitive with other alternatives.</w:t>
      </w:r>
    </w:p>
    <w:p>
      <w:pPr>
        <w:pStyle w:val="TextBody"/>
        <w:bidi w:val="0"/>
        <w:jc w:val="both"/>
        <w:rPr>
          <w:rFonts w:ascii="Times New Roman" w:hAnsi="Times New Roman"/>
          <w:color w:val="000000"/>
          <w:sz w:val="20"/>
        </w:rPr>
      </w:pPr>
      <w:r>
        <w:rPr>
          <w:rFonts w:ascii="Times New Roman" w:hAnsi="Times New Roman"/>
          <w:color w:val="000000"/>
          <w:sz w:val="20"/>
        </w:rPr>
        <w:t>Our competitor base may change or expand as we continue to develop and commercialize software and other products in the future. Competitors may develop products that utilize advanced technology similar to ours (such as computer vision, AI and ML) in a more effective way, or new technologies or products that provide superior results to customers or are less expensive than our products. Our technologies and products could be rendered obsolete by such developments.</w:t>
      </w:r>
    </w:p>
    <w:p>
      <w:pPr>
        <w:pStyle w:val="TextBody"/>
        <w:bidi w:val="0"/>
        <w:jc w:val="both"/>
        <w:rPr>
          <w:rFonts w:ascii="Times New Roman" w:hAnsi="Times New Roman"/>
          <w:color w:val="000000"/>
          <w:sz w:val="20"/>
        </w:rPr>
      </w:pPr>
      <w:r>
        <w:rPr>
          <w:rFonts w:ascii="Times New Roman" w:hAnsi="Times New Roman"/>
          <w:color w:val="000000"/>
          <w:sz w:val="20"/>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provided by any of our competitors with whom they may have an existing relationship. If we are not able to compete effectively, our business, prospects, financial condition and operating results will be adversely affected.</w:t>
      </w:r>
    </w:p>
    <w:p>
      <w:pPr>
        <w:pStyle w:val="TextBody"/>
        <w:bidi w:val="0"/>
        <w:jc w:val="left"/>
        <w:rPr>
          <w:rFonts w:ascii="Times New Roman" w:hAnsi="Times New Roman"/>
          <w:color w:val="000000"/>
          <w:sz w:val="20"/>
        </w:rPr>
      </w:pPr>
      <w:r>
        <w:rPr>
          <w:rFonts w:ascii="Times New Roman" w:hAnsi="Times New Roman"/>
          <w:color w:val="000000"/>
          <w:sz w:val="20"/>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maintain our technological and manufacturing process expertise, our business could be adversely affected.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market for our manufacturing and engineering services is characterized by rapidly changing technology and continuing process development. We are continually evaluating the advantages and feasibility of new manufacturing processes. We believe that our future success will depend upon our ability to develop and provide products that meet our customers’ changing needs. This requires that we maintain technological leadership and successfully anticipate or respond to technological changes in manufacturing processes on a cost-effective and timely basis. Our failure to maintain our technological and manufacturing process expertise could have a material adverse effect on our business.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able to successfully enhance our product offerings through our research and development efforts.</w:t>
      </w:r>
    </w:p>
    <w:p>
      <w:pPr>
        <w:pStyle w:val="TextBody"/>
        <w:bidi w:val="0"/>
        <w:jc w:val="both"/>
        <w:rPr>
          <w:rFonts w:ascii="Times New Roman" w:hAnsi="Times New Roman"/>
          <w:color w:val="000000"/>
          <w:sz w:val="20"/>
        </w:rPr>
      </w:pPr>
      <w:r>
        <w:rPr>
          <w:rFonts w:ascii="Times New Roman" w:hAnsi="Times New Roman"/>
          <w:color w:val="000000"/>
          <w:sz w:val="20"/>
        </w:rPr>
        <w:t>We expect to continue to advance and evolve our technologies and products in response to the evolving demands of our customers in the various industries we expect to serve. Palladyne IQ, Palladyne Pilot, SwarmOS, BRAIN and IntelliSwarm are in the early stages of commercialization and we continue to undergo reliability testing, debugging, and other stabilizing improvements. Gremlin-X and SwarmStrike are still in initial product development. We will incur significant additional product development efforts and expenses, and we may not be successful in commercializing or marketing our products at all or within our currently expected timelines or available resources. In addition, we continue to make iterative improvements to our products, as well as work to develop the next versions of our products. If we fail to adequately communicate to customers product improvements, or if customer feedback is not adequately reflected in our product improvements, customers may not be persuaded of the value of our products. If we fail to generate demand by developing products that incorporate features desired by customers, we may fail to generate revenue sufficient to achieve or maintain profitability. We have in the past experienced and may in the future experience delays in various phases of product development, including during research and development,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products, or to purchase competitors' products. Even if we are able to successfully develop and commercialize our products when and as anticipated, we may not produce sales in excess of the costs of development, and our products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products, which would adversely affect our business, prospects, financial condition and operating results.</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Operations and Growth</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success of our recent acquisitions of GuideTech, Warnke Precision Machining and MKR Fabricators is subject to numerous risks and uncertainties, including integration risks.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2025, we completed our acquisitions of GuideTech, Warnke Precision Machining and MKR Fabricators. We believe that these businesses are complementary to ours, and that we and the acquired companies will benefit from the combination of the businesses. Upon consummation of the acquisitions, we became subject to risks associated with these acquired businesses, many of which are the same risks that we faced prior to the acquisitions. Other risks include:</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associated with the products, services and technologies of the acquired businesses;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integration risks, such as risks associated with combining multiple organizations and cultures in multiple geographies and integrating systems and maintaining IT security;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loss of focus on business and product development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customer and supplier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inability to allocate resources appropriately across product lines and service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liabilities or claims arising from the prior operations of the acquired businesses;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inability to retain employees;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associated with whether we can achieve the expected benefits of the acquisitions.</w:t>
      </w:r>
    </w:p>
    <w:p>
      <w:pPr>
        <w:pStyle w:val="TextBody"/>
        <w:bidi w:val="0"/>
        <w:jc w:val="both"/>
        <w:rPr>
          <w:rFonts w:ascii="Times New Roman" w:hAnsi="Times New Roman"/>
          <w:color w:val="000000"/>
          <w:sz w:val="20"/>
        </w:rPr>
      </w:pPr>
      <w:r>
        <w:rPr>
          <w:rFonts w:ascii="Times New Roman" w:hAnsi="Times New Roman"/>
          <w:color w:val="000000"/>
          <w:sz w:val="20"/>
        </w:rPr>
        <w:t>If we are unable to effectively manage these and any other risks resulting from the acquisitions, the value of our investment in one or more of the acquired companies may be adversely affected and the expected benefits of the acquisitions may not be realized.</w:t>
      </w:r>
    </w:p>
    <w:p>
      <w:pPr>
        <w:pStyle w:val="TextBody"/>
        <w:bidi w:val="0"/>
        <w:jc w:val="both"/>
        <w:rPr>
          <w:rFonts w:ascii="Times New Roman" w:hAnsi="Times New Roman"/>
          <w:color w:val="000000"/>
          <w:sz w:val="20"/>
        </w:rPr>
      </w:pPr>
      <w:r>
        <w:rPr>
          <w:rFonts w:ascii="Times New Roman" w:hAnsi="Times New Roman"/>
          <w:color w:val="000000"/>
          <w:sz w:val="20"/>
        </w:rPr>
        <w:t>We continue working to fully integrate the acquired businesses. While we believe that the organizations share common values and cultures and that the acquisitions will help us expand our product portfolio, offer additional services, integrate additional technologies, serve additional markets and further our product development efforts, integration involves significant risk and management attention. If these efforts divert management time and company resources from our product development efforts, commercialization of our technologies and services could be delayed. The development and sales of the products and services of the acquired businesses could also be adversely affected. Delays in the development and commercialization of either our AI/ML Foundational Technology and related products or the products and services of the acquired businesses would adversely impact our ability to generate revenue, our potential overall profitability and our operating performance, and the value of our investments in the acquired businesses could be adversely affected. If we are unable to realize the benefits of the acquisitions, we may be required to write-down the value of acquired assets or incur goodwill impairment charges.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 xml:space="preserve">Real or perceived design flaws, errors, defects, glitches, bugs or malfunctions (collectively, </w:t>
      </w:r>
      <w:r>
        <w:rPr>
          <w:rFonts w:ascii="Times New Roman" w:hAnsi="Times New Roman"/>
          <w:b/>
          <w:color w:val="000000"/>
          <w:sz w:val="20"/>
        </w:rPr>
        <w:t>"</w:t>
      </w:r>
      <w:r>
        <w:rPr>
          <w:rFonts w:ascii="Times New Roman" w:hAnsi="Times New Roman"/>
          <w:b/>
          <w:i/>
          <w:color w:val="000000"/>
          <w:sz w:val="20"/>
        </w:rPr>
        <w:t>flaws</w:t>
      </w:r>
      <w:r>
        <w:rPr>
          <w:rFonts w:ascii="Times New Roman" w:hAnsi="Times New Roman"/>
          <w:b/>
          <w:color w:val="000000"/>
          <w:sz w:val="20"/>
        </w:rPr>
        <w:t>"</w:t>
      </w:r>
      <w:r>
        <w:rPr>
          <w:rFonts w:ascii="Times New Roman" w:hAnsi="Times New Roman"/>
          <w:b/>
          <w:i/>
          <w:color w:val="000000"/>
          <w:sz w:val="20"/>
        </w:rPr>
        <w:t>) in our technologies, products and services, failure of our</w:t>
      </w:r>
      <w:r>
        <w:rPr>
          <w:rFonts w:ascii="Times New Roman" w:hAnsi="Times New Roman"/>
          <w:color w:val="000000"/>
          <w:sz w:val="20"/>
        </w:rPr>
        <w:t xml:space="preserve"> </w:t>
      </w:r>
      <w:r>
        <w:rPr>
          <w:rFonts w:ascii="Times New Roman" w:hAnsi="Times New Roman"/>
          <w:b/>
          <w:i/>
          <w:color w:val="000000"/>
          <w:sz w:val="20"/>
        </w:rPr>
        <w:t>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design, development and use of our technologies and products involve certain inherent risks. New products generally suffer from flaws that are found, often as a result of customer use, and fixed over time. Real or perceived flaws in our products or designs, connectivity issues, unanticipated or unintended use of our products, user errors or inadequate disclosure of risks relating to the use of our products, among others, can lead to injury, property damage or other adverse events. We have conducted, are conducting and plan to continue to conduct extensive testing of our products, in some instances in collaboration with our customers, to ensure that any such issues can be identified and addressed.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products to prevent such incidents from reoccurring. However, any implemented improvements may not fully prevent similar or other incidents in the future. Moreover, because of the size and weight of the third-party systems that may in the future use our technologies and products, and the nature and variability of the environments in which we expect our products to be used, adverse events relating to the use of our products could include significant injuries or even death. To the extent that flaws or connectivity issues are discovered during or after product development, we may experience delays in the development and/or sale of our products while the issues are resolved. For example, we continue our efforts to increase product reliability and stability and conduct ordinary course product testing and debugging, which may result in product development or commercialization delays. If any flaws and related issues that may arise cannot be adequately resolved, product sales may not occur and/or resume.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our products increasingly incorporate autonomous capabilities for operation in dynamic and, in some cases, mission-critical environments, software defects, sensor limitations, integration failures, communications interruptions, degraded GPS or other navigation signals, cybersecurity incidents, unexpected environmental conditions or other operational failures may be more difficult to predict, detect or remediate than in conventional software applications. Such failures may adversely affect mission performance, customer acceptance, regulatory compliance, product liability exposure and our reputation.</w:t>
      </w:r>
    </w:p>
    <w:p>
      <w:pPr>
        <w:pStyle w:val="TextBody"/>
        <w:bidi w:val="0"/>
        <w:jc w:val="both"/>
        <w:rPr>
          <w:rFonts w:ascii="Times New Roman" w:hAnsi="Times New Roman"/>
          <w:color w:val="000000"/>
          <w:sz w:val="20"/>
        </w:rPr>
      </w:pPr>
      <w:r>
        <w:rPr>
          <w:rFonts w:ascii="Times New Roman" w:hAnsi="Times New Roman"/>
          <w:color w:val="000000"/>
          <w:sz w:val="20"/>
        </w:rPr>
        <w:t>In addition, we may not be aware of flaws until injury to person or property has occurred. Such adverse events could lead to safety alerts relating to our products (either voluntary or required by governmental authorities), and could result, in certain cases, in the removal of our products from the market. Flaws could also result in negative publicity, damage to our reputation or, in the event of regulatory developments, delays in new product approvals.</w:t>
      </w:r>
    </w:p>
    <w:p>
      <w:pPr>
        <w:pStyle w:val="TextBody"/>
        <w:bidi w:val="0"/>
        <w:jc w:val="both"/>
        <w:rPr>
          <w:rFonts w:ascii="Times New Roman" w:hAnsi="Times New Roman"/>
          <w:color w:val="000000"/>
          <w:sz w:val="20"/>
        </w:rPr>
      </w:pPr>
      <w:r>
        <w:rPr>
          <w:rFonts w:ascii="Times New Roman" w:hAnsi="Times New Roman"/>
          <w:color w:val="000000"/>
          <w:sz w:val="20"/>
        </w:rPr>
        <w:t>Complex software may experience errors, especially when first introduced. Our software products are complex and may experience errors or performance problems in the future. A failure of any part of our technology and products could result in property damage, serious injury or even death. We plan to implement bug fixes and upgrades as part of our regular software maintenance, which may lead to downtime. Even if we are able to implement bug fixes and upgrades in a timely manner, customers and operators also may fail to install updates and fixes to the software for several reasons, including poor connectivity or inattention. Any such occurrence could cause delay in market acceptance of our software products, damage to our reputation, increased service and warranty costs, product liability claims and loss of revenue.</w:t>
      </w:r>
    </w:p>
    <w:p>
      <w:pPr>
        <w:pStyle w:val="TextBody"/>
        <w:bidi w:val="0"/>
        <w:jc w:val="both"/>
        <w:rPr>
          <w:rFonts w:ascii="Times New Roman" w:hAnsi="Times New Roman"/>
          <w:color w:val="000000"/>
          <w:sz w:val="20"/>
        </w:rPr>
      </w:pPr>
      <w:r>
        <w:rPr>
          <w:rFonts w:ascii="Times New Roman" w:hAnsi="Times New Roman"/>
          <w:color w:val="000000"/>
          <w:sz w:val="20"/>
        </w:rPr>
        <w:t>We anticipate that in the ordinary course of business we may be subject to product liability claims alleging flaws in the design of our products. A product liability claim, regardless of its merit or eventual outcome, could result in significant legal defense costs and high punitive damage payments, damage our reputation or require significant costs to redesign or fix our software or products. Although we maintain product liability insurance, the coverage is subject to deductibles and limitations, and may not be adequate to cover future claims.</w:t>
      </w:r>
    </w:p>
    <w:p>
      <w:pPr>
        <w:pStyle w:val="TextBody"/>
        <w:bidi w:val="0"/>
        <w:jc w:val="both"/>
        <w:rPr>
          <w:rFonts w:ascii="Times New Roman" w:hAnsi="Times New Roman"/>
          <w:b/>
          <w:i/>
          <w:color w:val="000000"/>
          <w:sz w:val="20"/>
        </w:rPr>
      </w:pPr>
      <w:r>
        <w:rPr>
          <w:rFonts w:ascii="Times New Roman" w:hAnsi="Times New Roman"/>
          <w:b/>
          <w:i/>
          <w:color w:val="000000"/>
          <w:sz w:val="20"/>
        </w:rPr>
        <w:t>Even if our technologies and products perform properly and our products are used as intended, if personal injuries occur while operating our products or third-party products that incorporate our technologies and products, we could be exposed to liability and our results of operations, financial condition and reputation may be adversely affected.</w:t>
      </w:r>
    </w:p>
    <w:p>
      <w:pPr>
        <w:pStyle w:val="TextBody"/>
        <w:bidi w:val="0"/>
        <w:jc w:val="both"/>
        <w:rPr>
          <w:rFonts w:ascii="Times New Roman" w:hAnsi="Times New Roman"/>
          <w:color w:val="000000"/>
          <w:sz w:val="20"/>
        </w:rPr>
      </w:pPr>
      <w:r>
        <w:rPr>
          <w:rFonts w:ascii="Times New Roman" w:hAnsi="Times New Roman"/>
          <w:color w:val="000000"/>
          <w:sz w:val="20"/>
        </w:rPr>
        <w:t>Our technologies and products will contain complex technology and must be used as designed and intended in order to operate safely and effectively. Even if our products are used as designed and intended, customers may not operate our products or complex third-party systems and platforms that use our products safely and effectively. In addition, we cannot predict all the ways in which the proper use or misuse of our products can lead to injury or damage to property, and our training resources and safety systems may not be successful at preventing all incidents. If personal injury or damage to property were to occur while operating our products in a manner consistent with our training and instructions or otherwise, we could be exposed to liability and our results of operations, financial condition and reputation may be adversely affected.</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We use "open source" software, which could negatively affect our ability to offer our technologies and products and subject us to possible litigation.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Our AI/ML Foundational Technology and other technologies and products incorporate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or internally developed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may require us to offer for no cost the components of our software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 required under the terms of an open source license to release our proprietary source code to the public, competitors could create similar products with lower development effort and time, which ultimately could result in a loss of sales for us. </w:t>
      </w:r>
    </w:p>
    <w:p>
      <w:pPr>
        <w:pStyle w:val="TextBody"/>
        <w:bidi w:val="0"/>
        <w:jc w:val="both"/>
        <w:rPr>
          <w:rFonts w:ascii="Times New Roman" w:hAnsi="Times New Roman"/>
          <w:color w:val="000000"/>
          <w:sz w:val="20"/>
        </w:rPr>
      </w:pPr>
      <w:r>
        <w:rPr>
          <w:rFonts w:ascii="Times New Roman" w:hAnsi="Times New Roman"/>
          <w:color w:val="000000"/>
          <w:sz w:val="20"/>
        </w:rPr>
        <w:t xml:space="preserve">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software, discontinue the sale of our software products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software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software. </w:t>
      </w:r>
    </w:p>
    <w:p>
      <w:pPr>
        <w:pStyle w:val="TextBody"/>
        <w:bidi w:val="0"/>
        <w:jc w:val="both"/>
        <w:rPr>
          <w:rFonts w:ascii="Times New Roman" w:hAnsi="Times New Roman"/>
          <w:color w:val="000000"/>
          <w:sz w:val="20"/>
        </w:rPr>
      </w:pPr>
      <w:r>
        <w:rPr>
          <w:rFonts w:ascii="Times New Roman" w:hAnsi="Times New Roman"/>
          <w:color w:val="000000"/>
          <w:sz w:val="20"/>
        </w:rPr>
        <w:t>Although we monitor use of open source software and try to ensure that none is used in a manner that would subject our software to unintended conditions, few courts have interpreted open source licenses, and there is a risk that these licenses could be construed in a way that could impose unanticipated conditions or restrictions on our ability to commercialize our AI/ML Foundational Technology, other technologies and products. We cannot guarantee that we will incorporate open source software in our products in a manner that will not subject us to liability, or in a manner that is consistent with our current policies and procedures.</w:t>
      </w:r>
    </w:p>
    <w:p>
      <w:pPr>
        <w:pStyle w:val="TextBody"/>
        <w:bidi w:val="0"/>
        <w:jc w:val="both"/>
        <w:rPr>
          <w:rFonts w:ascii="Times New Roman" w:hAnsi="Times New Roman"/>
          <w:b/>
          <w:i/>
          <w:color w:val="000000"/>
          <w:sz w:val="20"/>
        </w:rPr>
      </w:pPr>
      <w:r>
        <w:rPr>
          <w:rFonts w:ascii="Times New Roman" w:hAnsi="Times New Roman"/>
          <w:b/>
          <w:i/>
          <w:color w:val="000000"/>
          <w:sz w:val="20"/>
        </w:rPr>
        <w:t>Our business and prospects depend significantly on our ability to build our brands. We may not succeed in establishing, maintaining and strengthening effective brands, and our brands and reputation could be harmed by negative publicity regarding us or our technologies, products or services.</w:t>
      </w:r>
    </w:p>
    <w:p>
      <w:pPr>
        <w:pStyle w:val="TextBody"/>
        <w:bidi w:val="0"/>
        <w:jc w:val="both"/>
        <w:rPr>
          <w:rFonts w:ascii="Times New Roman" w:hAnsi="Times New Roman"/>
          <w:color w:val="000000"/>
          <w:sz w:val="20"/>
        </w:rPr>
      </w:pPr>
      <w:r>
        <w:rPr>
          <w:rFonts w:ascii="Times New Roman" w:hAnsi="Times New Roman"/>
          <w:color w:val="000000"/>
          <w:sz w:val="20"/>
        </w:rPr>
        <w:t>Our business and prospects are dependent on our ability to develop, maintain and strengthen our brands. If we do not continue to establish, maintain and strengthen our brands, we may lose the opportunity to build a critical mass of customers. We believe that our inability to successfully commercialize our legacy hardware products, and our resulting financial performance, damaged our prior brand. Promoting and positioning our brands will likely depend significantly on our ability to provide high quality software, other products and services and to engage with our customers as intended. To promote our brands, we may be required to change or expand our customer development and branding practices, including increased marketing activities, which could result in substantially increased expenses. If we do not develop and maintain strong brands, our business, prospects, financial condition and operating results will be materially and adversely impacted.</w:t>
      </w:r>
    </w:p>
    <w:p>
      <w:pPr>
        <w:pStyle w:val="TextBody"/>
        <w:bidi w:val="0"/>
        <w:jc w:val="both"/>
        <w:rPr>
          <w:rFonts w:ascii="Times New Roman" w:hAnsi="Times New Roman"/>
          <w:color w:val="000000"/>
          <w:sz w:val="20"/>
        </w:rPr>
      </w:pPr>
      <w:r>
        <w:rPr>
          <w:rFonts w:ascii="Times New Roman" w:hAnsi="Times New Roman"/>
          <w:color w:val="000000"/>
          <w:sz w:val="20"/>
        </w:rPr>
        <w:t>In addition, if safety incidents occur or are perceived to have occurred, whether or not such incidents are our fault, we could be subject to adverse publicity or resistance by our customers. Because many of our customers operate in defense and national security markets, reputational damage resulting from operational failures, cybersecurity incidents or contract performance issues could disproportionately affect our ability to win future business.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Our management team has broad discretion in making strategic decisions to execute our growth plans and may devote time and company resources to new or expanded product and services offerings, potential acquisitions or strategic alliances, prospective customers or other initiatives that do not necessarily improve our operating results or contribute to our growth. For example, in November 2025, we acquired GuideTech, an engineering company, MKR Fabricators, a fabrication company, and Warnke Precision Machining, a precision machining company, to complement our business. Our management must make strategic and operational decisions in the context of limited financial and human resources. As a result, we have in the past and may in the future forgo opportunities we may have otherwise pursued given sufficient resources, some of which might have had greater likelihood of success.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and ability to continue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are highly dependent on the services of our senior management and other key employees and, if we are unable to attract, integrate and retain a sufficient number of qualified employees, our ability to develop and commercialize our technologies and products, offer our services, operate our business and compete could be harmed.</w:t>
      </w:r>
    </w:p>
    <w:p>
      <w:pPr>
        <w:pStyle w:val="TextBody"/>
        <w:bidi w:val="0"/>
        <w:jc w:val="both"/>
        <w:rPr>
          <w:rFonts w:ascii="Times New Roman" w:hAnsi="Times New Roman"/>
          <w:color w:val="000000"/>
          <w:sz w:val="20"/>
        </w:rPr>
      </w:pPr>
      <w:r>
        <w:rPr>
          <w:rFonts w:ascii="Times New Roman" w:hAnsi="Times New Roman"/>
          <w:color w:val="000000"/>
          <w:sz w:val="20"/>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For example, we are highly dependent on the services of Benjamin G. Wolff, our President and Chief Executive Officer and on our AI/ML Foundational Technology leadership team, in particular our Chief Technology Officer, Dr. Denis Garagic. Dr. Garagic has a significant influence on our AI/ML Foundational Technology development efforts and our business plan. If key members of our senior management were to discontinue service due to death, disability or any other reason, we may be significantly disadvantaged and their departure or the departure of other key contributors to our software and technology development efforts could result in delays in product development or commercialization, or potentially an inability to successfully commercialize our technologies and products at all, which would materially and adversely harm our business, results of operations and financial condition. Further, we may have difficulty finding, or be unable to find, qualified successors to any such persons should they depart the Company. If we are unable to successfully continue development and commercialization of our technologies and products in a timely manner, whether due to the departure of any such persons or otherwise, we may not have sufficient time or resources to pursue alternative plans or opportunities and may need to cease operations. We do not maintain key-person insurance for any of our senior management. For these reasons, we may incur significant costs to retain our senior management team and key personnel.</w:t>
      </w:r>
    </w:p>
    <w:p>
      <w:pPr>
        <w:pStyle w:val="TextBody"/>
        <w:bidi w:val="0"/>
        <w:jc w:val="both"/>
        <w:rPr>
          <w:rFonts w:ascii="Times New Roman" w:hAnsi="Times New Roman"/>
          <w:color w:val="000000"/>
          <w:sz w:val="20"/>
        </w:rPr>
      </w:pPr>
      <w:r>
        <w:rPr>
          <w:rFonts w:ascii="Times New Roman" w:hAnsi="Times New Roman"/>
          <w:color w:val="000000"/>
          <w:sz w:val="20"/>
        </w:rPr>
        <w:t>We have experienced and may continue to experience changes in our senior management team, including as a result of our recent acquisitions. If we do not successfully implement and adapt to these changes they may not lead to the desired improvement in our business and results of operation. This in turn, could have a material adverse effect on our business. Any inability to successfully manage these changes could be viewed negatively by our customers, employees, investors and other third-party partners, and could have an adverse impact on our business and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success also depends, in part, on our ability to identify, hire, attract, train and develop other highly qualified personnel as needed, specifically AI/ML software engineers. Because of the innovative and advanced nature of our technology, individuals with the necessary experience have not been, and likely will continue not to be, readily available to hire, and as a result, we may need to expend significant time and expense to recruit and retain experienced employees and appropriately train any newly hired employees. Integrating new employees can also cause disruptions to processes, projects, culture, priorities and our company as a whole. We face intense competition for experienced and highly skilled employees, specifically AI/ML software engineers,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or may not fit culturally, and long-term employees may not embrace new leaders, priorities, methods, processes or other changes and may decide to leave or not perform as well as they did in the past, as we may face challenges in adequately or appropriately integrating them into our workforce and culture.</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headquarters are in Salt Lake City, Utah, which has fewer highly skilled employees in the AI/ML software and robotics fields than some other major metropolitan areas.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products or to operate our business and compete, as well as on our business, prospects,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effectively manage our business, we may not be able to develop, market and commercialize our technologies and products successfully.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failure to manage our business effectively could materially and adversely affect our prospects, financial condition and operating results. As we work to grow our business, we may need to manage the following activities,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effective management, engineering and other teams;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retaining and recruiting individuals with the appropriate relevant experience;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hiring and training new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commercializing our AI/ML Foundational Technology, other technologies and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growing demand for our engineering services and manufacturing, including any associated capital expenditures;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entering into relationships with one or more manufacturing partners and third-party manufacturers and/or expanding our internal manufacturing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forecasting revenue, managing expenses and implementing enterprise resource planning, or ERP,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entering into relationships with one or more third-party service providers or partners, including in relation to the commercialization of our AI/ML Foundational Technology, other technologies and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carrying out acquisitions and entering into collaborations, in-licensing arrangements, joint ventures, strategic alliances or partnerships;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expanding and enhancing internal information technology, safety and security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or expanding sales and customer service organizations;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demonstrations and customer trials of our software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implementing and enhancing administrative, financial and compliance infrastructure, systems, controls and processes.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customer demand increases, any failure to effectively manage our business to expand our manufacturing capacity, increase inventory, qualify additional suppliers, hire specialized personnel and make capital investments may adversely affect our financial condition. Further, such expansion investments may be based on forecasts of future customer demand, including anticipated government or commercial programs, that may not materialize or may be delayed. If anticipated demand does not materialize, expected production volumes are not achieved or customer programs are delayed, reduced or canceled, these investments may adversely affect our operating results, cash flows and financial condition.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be unable to adequately control the costs associated with our operations in order to achieve profitability.</w:t>
      </w:r>
    </w:p>
    <w:p>
      <w:pPr>
        <w:pStyle w:val="TextBody"/>
        <w:bidi w:val="0"/>
        <w:jc w:val="both"/>
        <w:rPr>
          <w:rFonts w:ascii="Times New Roman" w:hAnsi="Times New Roman"/>
          <w:color w:val="000000"/>
          <w:sz w:val="20"/>
        </w:rPr>
      </w:pPr>
      <w:r>
        <w:rPr>
          <w:rFonts w:ascii="Times New Roman" w:hAnsi="Times New Roman"/>
          <w:color w:val="000000"/>
          <w:sz w:val="20"/>
        </w:rPr>
        <w:t xml:space="preserve">We will require significant capital to develop and grow our business, including successfully commercializing our AI/ML Foundational Technology, other technologies and products, growing our engineering services and manufacturing businesses, establishing or expanding our design, research and development, sales and maintenance and service capabilities and building our brands. Defense manufacturing programs may require significant up-front investment in equipment, tooling, inventory, certifications and workforce expansion before revenue is recognized. We have incurred and expect to continue incurring significant expenses which will impact our profitability, including research and development expenses, sales and marketing expenses as we build our brands and market our products and general and administrative expenses. We may incur significant capital expenditures for the purchase of additional equipment to support growth in our manufacturing business. It may be difficult to reduce expenses further or maintain current levels while pursuing our business objectives. Some of the factors that may lead to cost increases or difficulty further reducing cost are outside of our control, such as national or global geopolitical and economic conditions, including tariffs, inflation and interest rates. In addition, we may incur significant costs upgrading or fixing flaws in our products. Our ability to continue our operations in the long term and potentially become profitable in the future will not only depend on our ability to commercialize our products to meet customer needs and identify and investigate new areas of demand, but also on our ability to license or sell our products at prices needed to achieve sufficient revenues and margins to cover our cash outlay, including the risks and costs associated with any warranty obligations. If we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are unable to efficiently develop, market, deploy, distribute and service our products in a cost-effective manner, our operating results, financial condition and prospects would be materially and adversely affected and we may not achieve profitability.</w:t>
      </w:r>
    </w:p>
    <w:p>
      <w:pPr>
        <w:pStyle w:val="TextBody"/>
        <w:bidi w:val="0"/>
        <w:jc w:val="both"/>
        <w:rPr>
          <w:rFonts w:ascii="Times New Roman" w:hAnsi="Times New Roman"/>
          <w:b/>
          <w:i/>
          <w:color w:val="000000"/>
          <w:sz w:val="20"/>
        </w:rPr>
      </w:pPr>
      <w:r>
        <w:rPr>
          <w:rFonts w:ascii="Times New Roman" w:hAnsi="Times New Roman"/>
          <w:b/>
          <w:i/>
          <w:color w:val="000000"/>
          <w:sz w:val="20"/>
        </w:rPr>
        <w:t>We expect to incur substantial research and development costs and devote significant resources to developing and commercializing our AI/ML Foundational Technology, other technologies and products, and we may never reach profitability and/or achieve significant or any revenue.</w:t>
      </w:r>
    </w:p>
    <w:p>
      <w:pPr>
        <w:pStyle w:val="TextBody"/>
        <w:bidi w:val="0"/>
        <w:jc w:val="both"/>
        <w:rPr>
          <w:rFonts w:ascii="Times New Roman" w:hAnsi="Times New Roman"/>
          <w:color w:val="000000"/>
          <w:sz w:val="20"/>
        </w:rPr>
      </w:pPr>
      <w:r>
        <w:rPr>
          <w:rFonts w:ascii="Times New Roman" w:hAnsi="Times New Roman"/>
          <w:color w:val="000000"/>
          <w:sz w:val="20"/>
        </w:rPr>
        <w:t xml:space="preserve">Our future growth depends on penetrating new markets, adapting our AI/ML Foundational Technology, other technologies and products to new applications and customer requirements and introducing new features and functionality that achieve market acceptance. We expect to incur substantial, and potentially increasing, research, development, sales and marketing costs as part of our efforts to develop, enhance and commercialize our technologies and products. Our research and development program may not produce successful results or be sufficient to adapt to new or changing technologies (such as AI), and our products may not achieve market acceptance, create meaningful or any revenue or become profitable. </w:t>
      </w:r>
    </w:p>
    <w:p>
      <w:pPr>
        <w:pStyle w:val="TextBody"/>
        <w:bidi w:val="0"/>
        <w:jc w:val="both"/>
        <w:rPr>
          <w:rFonts w:ascii="Times New Roman" w:hAnsi="Times New Roman"/>
          <w:sz w:val="20"/>
        </w:rPr>
      </w:pPr>
      <w:r>
        <w:rPr>
          <w:rFonts w:ascii="Times New Roman" w:hAnsi="Times New Roman"/>
          <w:b/>
          <w:i/>
          <w:color w:val="000000"/>
          <w:sz w:val="20"/>
        </w:rPr>
        <w:t>Some of our products require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maintain a limited set of suppliers for the minimal hardware components that are required for use of our Palladyne IQ product and our BRAIN products, including IntelliSwarm. Our Gremlin-X and SwarmStrike products are hardware products under development. As of June 30, 2026, most of our key suppliers are based in the United States. We have experienced, and may continue to experience, supply chain disruptions, including longer lead times and increased pricing for high-powered processing chips and related components, driven largely by macroeconomic shifts and the accelerating global investment in AI infrastructure, which could adversely affect our ability to meet production schedules.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However, some of the components used in our products may have to be purchased by us from a single source and some may only be available from a sole source. If our third-party suppliers are unable or unwilling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products. If we are unable to obtain components and materials used in our products from our suppliers, our business would be adversely affected.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fluctuations or shortages in raw materials or components and other economic conditions, including due to tariffs, may cause us to experience significant increases in freight charges and material costs. Substantial increases in the prices for our materials would increase our operating costs and could reduce our margins if the increased costs cannot be recouped through increased sales prices.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Our business involves significant risks and uncertainties that may not be covered by indemnity or insurance.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significant portion of our business relates to designing, developing and manufacturing advanced defense and technology products and systems. New technologies may be untested or unproven. Failure of some of these products and services could result in extensive loss of life or property damage. Accordingly, we may incur liabilities that are unique to our products and services. In some but not all circumstances, we may be entitled to certain legal protections or indemnifications from our customers, either through U.S. Government indemnifications under Public Law 85-804, 10 U.S.C. 3861, the Commercial Space Launch Act or the Price-Anderson Act, qualification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of our products and services by the Department of Homeland Security under the SAFETY Act provisions of the Homeland Security Act of 2002, contractual provisions or otherwise.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seek to obtain insurance coverage from established and reputable insurance carriers to the extent available in order to cover these risks and liabilities. However, the amount of insurance coverage that we maintain or that is available to purchase in the market may not be adequate to cover all claims or liabilities and we may self-insure certain types of risk. Insurance coverage is subject to the terms and conditions of the insurance contract and is further subject to any sublimits, exclusions, restrictions, or defenses, including standard exclusions for acts of war. Existing coverage is renewed annually and may be canceled pursuant to the terms of the policies while we remain exposed to the risk and it is not possible to obtain insurance to protect against all operational risks, natural hazards and liabilities. In addition, under certain classified fixed-price development and production contracts, we are unable to insure risk of loss to government property because of the classified nature of the contracts and the inability to disclose classified information necessary for underwriting and claims to commercial insurers. Even if insurance coverage is available, we may not be able to obtain it in an amount, at a price or on terms acceptable to us. Some insurance providers may be unable or unwilling to provide us insurance given the nature of our business or products. Additionally, disputes with insurance carriers over coverage terms or the insolvency of one or more of our insurance carriers may significantly affect the amount or timing of our 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Substantial costs resulting from an accident, failure of or defect in our products or services, natural catastrophe or other incident, or liability arising from our products and services in excess of any legal protection, indemnity, and our insurance coverage (or for which indemnity or insurance is not available or not obtained) could adversely impact our financial condition and operating results. Any accident, failure of, or defect in our products or services, even if fully indemnified or insured, could negatively affect our reputation among our customers and the public and make it more difficult for us to compete effectively. It also could affect the cost and availability of adequate insurance in the future.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face risks related to wars, natural disasters, health epidemics and other calamities and supply chain disruption, any of which could significantly disrupt our operations.</w:t>
      </w:r>
    </w:p>
    <w:p>
      <w:pPr>
        <w:pStyle w:val="TextBody"/>
        <w:bidi w:val="0"/>
        <w:jc w:val="both"/>
        <w:rPr>
          <w:rFonts w:ascii="Times New Roman" w:hAnsi="Times New Roman"/>
          <w:color w:val="000000"/>
          <w:sz w:val="20"/>
        </w:rPr>
      </w:pPr>
      <w:r>
        <w:rPr>
          <w:rFonts w:ascii="Times New Roman" w:hAnsi="Times New Roman"/>
          <w:color w:val="000000"/>
          <w:sz w:val="20"/>
        </w:rPr>
        <w:t xml:space="preserve">Our facilities or operations, or any potential third-party suppliers, partners, or service providers could be adversely affected by events outside of our or their control, such as natural disasters, wars, health epidemics, macro-economic conditions and other calamities and force majeure events. This may also include supply chain disruptions, inflation and high interest rates as a result of changes in U.S. trade policy, including tariffs and geopolitical events such as the current wars between Russia and Ukraine and between the United States and Iran. The effects of the foregoing are unknown and may have the effect of diminishing customer willingness to enter into transactions with us.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cybersecurity incidents or similar events. Any of the foregoing events may give rise to interruptions, breakdowns, system failures, technology platform failures or internet failures, which could cause the loss or corruption of data or the malfunction of software or hardware, which could significantly disrupt our operations. Additionally, depending upon any potential health pandemics, epidemics or outbreaks that may emerge, our potential customers and partners may suspend or delay their engagement with us or take other actions or experience their own negative impacts, any of which could result in a material adverse effect on our financial condition and ability to meet current timelines. Health pandemics, epidemics or outbreaks may also adversely affect our ability to recruit skilled employees to join our team, conduct research and development activities and engage with development customers and may impede our product development timelines.</w:t>
      </w:r>
    </w:p>
    <w:p>
      <w:pPr>
        <w:pStyle w:val="TextBody"/>
        <w:bidi w:val="0"/>
        <w:jc w:val="both"/>
        <w:rPr>
          <w:rFonts w:ascii="Times New Roman" w:hAnsi="Times New Roman"/>
          <w:color w:val="000000"/>
          <w:sz w:val="20"/>
        </w:rPr>
      </w:pPr>
      <w:r>
        <w:rPr>
          <w:rFonts w:ascii="Times New Roman" w:hAnsi="Times New Roman"/>
          <w:color w:val="000000"/>
          <w:sz w:val="20"/>
        </w:rPr>
        <w:t>Events impacting our supply chain could be caused by factors beyond the control of our suppliers or us, including labor actions, increased demand, problems in production or distribution and/or disruptions in third-party logistics, information technology or transportation systems. Some of our key suppliers are relatively small companies that could be especially susceptible to these risks. In addition, global events in recent years have resulted in widespread global supply chain disruptions to vendors including critical supply chain shortages, labor shortages, significant material cost inflation and extended lead times for items that are required for our operations. Any such interruptions to our supply chain could increase our costs and could limit the availability of products critical to our operations.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Our ownership of real property subjects us to risks and liabilities that could adversely affect our business, financial condition and results of operations</w:t>
      </w:r>
      <w:r>
        <w:rPr>
          <w:rFonts w:ascii="Times New Roman" w:hAnsi="Times New Roman"/>
          <w:b/>
          <w:color w:val="000000"/>
          <w:sz w:val="20"/>
        </w:rPr>
        <w: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 result of our acquisitions, we now own certain real property and manufacturing facilities. Ownership of real property exposes us to general risks that differ from those associated with leased facilities, including environmental liabilities, compliance with federal, state and local environmental, health and safety laws and regulations, zoning and land use restrictions, property damage, natural disasters, capital expenditures for maintenance, repair or improvements and costs associated with remediation of environmental contamination, including contamination that may have existed prior to our ownership, general liability, property and casualty losses, some of which may be uninsured and other liabilities incurred in the ordinary course of business. Any of these matters could result in significant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liabilities, operational disruptions, fines, penalties or increased operating costs and could materially and adversely affect our business, financial condition and results of operations.</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Finances</w:t>
      </w:r>
    </w:p>
    <w:p>
      <w:pPr>
        <w:pStyle w:val="TextBody"/>
        <w:bidi w:val="0"/>
        <w:jc w:val="both"/>
        <w:rPr>
          <w:rFonts w:ascii="Times New Roman" w:hAnsi="Times New Roman"/>
          <w:b/>
          <w:i/>
          <w:color w:val="000000"/>
          <w:sz w:val="20"/>
        </w:rPr>
      </w:pPr>
      <w:r>
        <w:rPr>
          <w:rFonts w:ascii="Times New Roman" w:hAnsi="Times New Roman"/>
          <w:b/>
          <w:i/>
          <w:color w:val="000000"/>
          <w:sz w:val="20"/>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pStyle w:val="TextBody"/>
        <w:bidi w:val="0"/>
        <w:jc w:val="both"/>
        <w:rPr>
          <w:rFonts w:ascii="Times New Roman" w:hAnsi="Times New Roman"/>
          <w:sz w:val="20"/>
        </w:rPr>
      </w:pPr>
      <w:r>
        <w:rPr>
          <w:rFonts w:ascii="Times New Roman" w:hAnsi="Times New Roman"/>
          <w:color w:val="000000"/>
          <w:sz w:val="20"/>
        </w:rPr>
        <w:t>We may seek additional financing to bolster our cash reserves and ensure our ability to continue to pursue our business objectives. Our current business plans may require us, or we may deem it advisable,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including the potential acquisition of businesses, services or technologies. Any delays in the successful commercialization and sales of our products and services will negatively impact our ability to generate revenue, our profitability and our overall operating performance and result in the need to raise additional capital sooner than expected. For further information on our financing activities, see "</w:t>
      </w:r>
      <w:r>
        <w:rPr>
          <w:rFonts w:ascii="Times New Roman" w:hAnsi="Times New Roman"/>
          <w:i/>
          <w:color w:val="000000"/>
          <w:sz w:val="20"/>
        </w:rPr>
        <w:t>Management's Discussion and Analysis of Financial Condition and Results of Operations—Liquidity and Capital Resources.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Even if we generate positive operating cash flows, we may need to raise significant amounts of additional capital to fund our business thereafter, including to finance ongoing research and development costs, any significant unplanned or accelerated expenses and new strategic alliances or acquisitions. The fact that we have limited experience commercializing our technologies and products, coupled with our belief that our AI/ML Foundational Technology represents a significant technology advancement, means we have limited to no historical data on the demand for our products. In addition, we expect our expenses to continue to be significant in the foreseeable future as we continue development activities and bring our products to market, and that our level of cash usage will be significantly affected by customer demand for our products. As a result, our future capital requirements are uncertain and actual capital requirements may be different from those we currently anticipate. As our manufacturing, engineering services and defense programs continue to expand, we may be required to commit significant working capital to procure long-lead materials, build inventory, acquire manufacturing equipment, expand production capacity and hire additional personnel before the related revenue is recognized or customer payments are received. If customer demand, production schedules, government funding or contract awards are delayed or differ from our expectations, these investments could adversely affect our liquidity, cash flows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strategy may require significant additional capital expenditures to establish or expand manufacturing facilities, production equipment, tooling, testing capabilities, inventory and other infrastructure necessary to support the domestic manufacture and integration of advanced defense systems. For example, in furtherance of our partnership with Israel Aerospace Industries ("IAI"), we may need to invest significant amounts in manufacturing facilities, personnel, equipment and inventory to support the manufacture and sale of IAI's loitering munitions. These investments may be required substantially in advance of receiving meaningful revenue from related sales or programs and may depend on assumptions regarding future customer demand, government funding and contract awards that ultimately may not materialize. If internally generated cash flows are insufficient to fund these investments, we may need to raise additional debt or equity capital, which may not be available on acceptable terms or at all and could dilute existing stockholders or otherwise adversely affect our financial condition.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need to seek equity or debt financing to finance our expenses and capital expenditures, and such financing might not be available to us in a timely manner or on terms that are acceptable, or at all. Even if available, the sale of additional equity or equity-linked securities could dilute our stockholders, and the incurrence of indebtedness would result in debt service obligations and could result in operating and financing covenants that would restrict our operations.</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 financing may not be available to us when we need it or it may not be available on favorable terms. Our ability to obtain any necessary financing to carry out our business plan is subject to a number of factors, including general market conditions and investor acceptance of our business model. Current capital market conditions, including the impact of inflation, have increased borrowing rates and can be expected to significantly increase our cost of capital as compared to prior periods should we seek additional funding. Moreover, capital markets domestically and abroad are undergoing a period of significant volatility and uncertainty, and such financing alternatives may not be available to us in the future on favorable terms or at all should we determine it necessary or advisable to seek additional capital.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buying or selling assets, making capital expenditures or declaring dividends.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factors may make the timing, amount, terms and conditions of such financing unattractive or unavailable to us. If we are unable to raise sufficient funds if and when needed, we will have to significantly reduce our spending, delay or cancel our planned activities or 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pStyle w:val="TextBody"/>
        <w:bidi w:val="0"/>
        <w:jc w:val="left"/>
        <w:rPr>
          <w:rFonts w:ascii="Times New Roman" w:hAnsi="Times New Roman"/>
          <w:color w:val="000000"/>
          <w:sz w:val="20"/>
        </w:rPr>
      </w:pPr>
      <w:r>
        <w:rPr>
          <w:rFonts w:ascii="Times New Roman" w:hAnsi="Times New Roman"/>
          <w:color w:val="000000"/>
          <w:sz w:val="20"/>
        </w:rPr>
        <w:t>If we cannot raise additional funds when we need or want them, our operations, prospects and financial condition would be materially and adversely affected.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financial results may vary significantly from period to period due to fluctuations in our operating costs, revenues, product demand and other factors.</w:t>
      </w:r>
    </w:p>
    <w:p>
      <w:pPr>
        <w:pStyle w:val="TextBody"/>
        <w:bidi w:val="0"/>
        <w:jc w:val="both"/>
        <w:rPr>
          <w:rFonts w:ascii="Times New Roman" w:hAnsi="Times New Roman"/>
          <w:color w:val="000000"/>
          <w:sz w:val="20"/>
        </w:rPr>
      </w:pPr>
      <w:r>
        <w:rPr>
          <w:rFonts w:ascii="Times New Roman" w:hAnsi="Times New Roman"/>
          <w:color w:val="000000"/>
          <w:sz w:val="20"/>
        </w:rPr>
        <w:t>We expect our period-to-period financial results to vary based on our operating costs and demand for our products and services, both of which we anticipate will fluctuate over time. Additionally, as we commercialize our technologies and products and/or enter into or complete government or development contracts, we expect our revenue from period to period to fluctuate, including as we introduce new products, features or functionality or introduce our technologies, products and services to new markets for the first time.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particularly focused on quarterly financial results. If any of this occurs, the trading price of our securities could fall substantially, either suddenly or over time, and/or experience significant volatility.</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incur significant expenses and administrative burdens as a publicly-traded company, which makes it harder to achieve profitability than if we were a private company.</w:t>
      </w:r>
    </w:p>
    <w:p>
      <w:pPr>
        <w:pStyle w:val="TextBody"/>
        <w:bidi w:val="0"/>
        <w:jc w:val="both"/>
        <w:rPr>
          <w:rFonts w:ascii="Times New Roman" w:hAnsi="Times New Roman"/>
          <w:color w:val="000000"/>
          <w:sz w:val="20"/>
        </w:rPr>
      </w:pPr>
      <w:r>
        <w:rPr>
          <w:rFonts w:ascii="Times New Roman" w:hAnsi="Times New Roman"/>
          <w:color w:val="000000"/>
          <w:sz w:val="20"/>
        </w:rPr>
        <w:t>As a publicly-traded company, we are incurring legal, accounting and other expenses that private companies do not need to incur,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the Nasdaq Stock Market LLC. Our management and other personnel devote a substantial amount of time to these compliance initiatives. We may need to hire additional employees to support our operations as a public company as we grow and expand our businesses, which will increase our operating costs in future periods. Moreover, these rules and regulations make some activities more time-consuming and costly. These increased costs have increased our net loss and make it harder to achieve profitability. For example, director and officer liability insurance coverage is more expensive for publicly-traded companies than for private companies.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pStyle w:val="TextBody"/>
        <w:bidi w:val="0"/>
        <w:jc w:val="both"/>
        <w:rPr>
          <w:rFonts w:ascii="Times New Roman" w:hAnsi="Times New Roman"/>
          <w:color w:val="000000"/>
          <w:sz w:val="20"/>
        </w:rPr>
      </w:pPr>
      <w:r>
        <w:rPr>
          <w:rFonts w:ascii="Times New Roman" w:hAnsi="Times New Roman"/>
          <w:color w:val="000000"/>
          <w:sz w:val="20"/>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pStyle w:val="TextBody"/>
        <w:bidi w:val="0"/>
        <w:jc w:val="both"/>
        <w:rPr>
          <w:rFonts w:ascii="Times New Roman" w:hAnsi="Times New Roman"/>
          <w:color w:val="000000"/>
          <w:sz w:val="20"/>
        </w:rPr>
      </w:pPr>
      <w:r>
        <w:rPr>
          <w:rFonts w:ascii="Times New Roman" w:hAnsi="Times New Roman"/>
          <w:color w:val="000000"/>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We have been aligning our finance and accounting systems following our recent acquisitions and a delay or other issues could impact our ability or prevent us from timely reporting our operating results, timely filing required reports with the SEC and complying with Section 404 of the Sarbanes-Oxley Act.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previously identified material weaknesses in our internal control over financial reporting, and undertook remediation efforts to address the identified deficiencies and concluded that each material weakness was remediated. 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 </w:t>
      </w:r>
    </w:p>
    <w:p>
      <w:pPr>
        <w:pStyle w:val="TextBody"/>
        <w:bidi w:val="0"/>
        <w:jc w:val="both"/>
        <w:rPr>
          <w:rFonts w:ascii="Times New Roman" w:hAnsi="Times New Roman"/>
          <w:color w:val="000000"/>
          <w:sz w:val="20"/>
        </w:rPr>
      </w:pPr>
      <w:r>
        <w:rPr>
          <w:rFonts w:ascii="Times New Roman" w:hAnsi="Times New Roman"/>
          <w:color w:val="000000"/>
          <w:sz w:val="20"/>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 In addition, if our financial 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pStyle w:val="TextBody"/>
        <w:bidi w:val="0"/>
        <w:jc w:val="both"/>
        <w:rPr>
          <w:rFonts w:ascii="Times New Roman" w:hAnsi="Times New Roman"/>
          <w:color w:val="000000"/>
          <w:sz w:val="20"/>
        </w:rPr>
      </w:pPr>
      <w:r>
        <w:rPr>
          <w:rFonts w:ascii="Times New Roman" w:hAnsi="Times New Roman"/>
          <w:color w:val="000000"/>
          <w:sz w:val="20"/>
        </w:rPr>
        <w:t>Our independent registered public accounting firm is not currently required to formally attest to the effectiveness of our internal control over financial reporting under Section 404(b) of the Sarbanes-Oxley Act. Should we become subject to Section 404(b), our independent registered public accounting firm may issue a report that is adverse if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Our ability to use net operating loss carryforwards and other tax attributes may be limited.</w:t>
      </w:r>
    </w:p>
    <w:p>
      <w:pPr>
        <w:pStyle w:val="TextBody"/>
        <w:bidi w:val="0"/>
        <w:jc w:val="both"/>
        <w:rPr>
          <w:rFonts w:ascii="Times New Roman" w:hAnsi="Times New Roman"/>
          <w:color w:val="000000"/>
          <w:sz w:val="20"/>
        </w:rPr>
      </w:pPr>
      <w:r>
        <w:rPr>
          <w:rFonts w:ascii="Times New Roman" w:hAnsi="Times New Roman"/>
          <w:color w:val="000000"/>
          <w:sz w:val="20"/>
        </w:rPr>
        <w:t>We have incurred operating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pStyle w:val="TextBody"/>
        <w:bidi w:val="0"/>
        <w:jc w:val="both"/>
        <w:rPr>
          <w:rFonts w:ascii="Times New Roman" w:hAnsi="Times New Roman"/>
          <w:color w:val="000000"/>
          <w:sz w:val="20"/>
        </w:rPr>
      </w:pPr>
      <w:r>
        <w:rPr>
          <w:rFonts w:ascii="Times New Roman" w:hAnsi="Times New Roman"/>
          <w:color w:val="000000"/>
          <w:sz w:val="20"/>
        </w:rPr>
        <w:t>Under current law, U.S. federal net operating loss carryforwards generated in taxable periods beginning after December 31, 2017, may be carried forward indefinitely, but the deductibility of such net operating loss carryforwards is limited to 80% of taxable income. Additional or different limitations may apply under state law. Suspensions or other restrictions on the use of net operating losses or tax credits, possibly with retroactive effect, may result in our existing net operating losses or tax credits expiring or otherwise being unavailable to offset future income tax liabilities.</w:t>
      </w:r>
    </w:p>
    <w:p>
      <w:pPr>
        <w:pStyle w:val="TextBody"/>
        <w:bidi w:val="0"/>
        <w:jc w:val="both"/>
        <w:rPr>
          <w:rFonts w:ascii="Times New Roman" w:hAnsi="Times New Roman"/>
          <w:color w:val="000000"/>
          <w:sz w:val="20"/>
        </w:rPr>
      </w:pPr>
      <w:r>
        <w:rPr>
          <w:rFonts w:ascii="Times New Roman" w:hAnsi="Times New Roman"/>
          <w:color w:val="000000"/>
          <w:sz w:val="20"/>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been and may in the future be subject to risks associated with strategic relationships, acquisitions or transactions and may not identify or form desired strategic relationships in the future.</w:t>
      </w:r>
    </w:p>
    <w:p>
      <w:pPr>
        <w:pStyle w:val="TextBody"/>
        <w:bidi w:val="0"/>
        <w:jc w:val="both"/>
        <w:rPr>
          <w:rFonts w:ascii="Times New Roman" w:hAnsi="Times New Roman"/>
          <w:color w:val="000000"/>
          <w:sz w:val="20"/>
        </w:rPr>
      </w:pPr>
      <w:r>
        <w:rPr>
          <w:rFonts w:ascii="Times New Roman" w:hAnsi="Times New Roman"/>
          <w:color w:val="000000"/>
          <w:sz w:val="20"/>
        </w:rPr>
        <w:t xml:space="preserve">As part of our strategy, we have in the past and may in the future, seek strategic alliances, joint ventures, minority equity investments, acquisitions, collaborations and in-license arrangements with third parties. Some of our third-party relationships are not governed by formal agreements and this may also be true for future relationships. These partnerships, relationships or arrangements may not lead to binding agreements, lasting or successful business relationships or any other anticipated benefits. Such actual or potential relationships may subject us to a number of risks, including risks associated with sharing proprietary information, non-performance or significant delays in performance by the third-party and increased expenses in establishing new relationships, any of which could materially and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pStyle w:val="TextBody"/>
        <w:bidi w:val="0"/>
        <w:jc w:val="both"/>
        <w:rPr>
          <w:rFonts w:ascii="Times New Roman" w:hAnsi="Times New Roman"/>
          <w:color w:val="000000"/>
          <w:sz w:val="20"/>
        </w:rPr>
      </w:pPr>
      <w:r>
        <w:rPr>
          <w:rFonts w:ascii="Times New Roman" w:hAnsi="Times New Roman"/>
          <w:color w:val="000000"/>
          <w:sz w:val="20"/>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entered into, and may in the future enter into, strategic relationships under which we are expected to manufacture, integrate, adapt or "Americanize" products or technologies originally developed by third parties for sale to the U.S. government. For example, on June 8, 2026 we announced our partnership with IAI to enable us to manufacture and sell certain of IAI's loitering munitions systems to the DoW. Our ability to generate revenue from these relationships will depend on numerous factors outside of our control, including our ability to successfully transfer technology, establish domestic manufacturing capabilities, satisfy applicable U.S. government requirements, obtain any necessary approvals or certifications, negotiate definitive agreements, and secure government contract awards, none of which may occur. We may expend significant amounts and management time and attention in furtherance of these relationships without achieving the expected benefits. </w:t>
      </w:r>
    </w:p>
    <w:p>
      <w:pPr>
        <w:pStyle w:val="TextBody"/>
        <w:bidi w:val="0"/>
        <w:jc w:val="both"/>
        <w:rPr>
          <w:rFonts w:ascii="Times New Roman" w:hAnsi="Times New Roman"/>
          <w:color w:val="000000"/>
          <w:sz w:val="20"/>
        </w:rPr>
      </w:pPr>
      <w:r>
        <w:rPr>
          <w:rFonts w:ascii="Times New Roman" w:hAnsi="Times New Roman"/>
          <w:color w:val="000000"/>
          <w:sz w:val="20"/>
        </w:rPr>
        <w:t>When appropriate opportunities arise, we have in the past, and may in the future acquire additional assets, products, technologies or businesses.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and we will become subject to risks associated with any acquired business.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all of which could adversely affect our financial position. For example, we previously experienced an impairment of all of the goodwill associated with an acquisition we completed in 2022. In connection with acquisitions, we may enter into post-closing financial arrangements such as purchase price adjustments, earn-out obligations, and indemnification obligations, which may have unpredictable financial results. For example, there is an earn-out obligation associated with one of the acquisitions we recently completed. Moreover, the costs of identifying and consummating acquisitions may be significant and we could experience difficulty in integrating personnel, operations, and financial and other controls and systems and retaining key employees and customers.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Legal Claims and Regulatory Compliance</w:t>
      </w:r>
    </w:p>
    <w:p>
      <w:pPr>
        <w:pStyle w:val="TextBody"/>
        <w:bidi w:val="0"/>
        <w:jc w:val="both"/>
        <w:rPr>
          <w:rFonts w:ascii="Times New Roman" w:hAnsi="Times New Roman"/>
          <w:b/>
          <w:i/>
          <w:color w:val="000000"/>
          <w:sz w:val="20"/>
        </w:rPr>
      </w:pPr>
      <w:r>
        <w:rPr>
          <w:rFonts w:ascii="Times New Roman" w:hAnsi="Times New Roman"/>
          <w:b/>
          <w:i/>
          <w:color w:val="000000"/>
          <w:sz w:val="20"/>
        </w:rPr>
        <w:t>Issues in the development and use of AI/ML, combined with an uncertain regulatory environment, may result in reputational harm, liability or other adverse consequences to our business operations.</w:t>
      </w:r>
    </w:p>
    <w:p>
      <w:pPr>
        <w:pStyle w:val="TextBody"/>
        <w:bidi w:val="0"/>
        <w:jc w:val="both"/>
        <w:rPr>
          <w:rFonts w:ascii="Times New Roman" w:hAnsi="Times New Roman"/>
          <w:color w:val="000000"/>
          <w:sz w:val="20"/>
        </w:rPr>
      </w:pPr>
      <w:r>
        <w:rPr>
          <w:rFonts w:ascii="Times New Roman" w:hAnsi="Times New Roman"/>
          <w:color w:val="000000"/>
          <w:sz w:val="20"/>
        </w:rPr>
        <w:t xml:space="preserve">AI/ML technologies are complex and rapidly evolving, and we face significant competition from other companies as well as an evolving regulatory landscape. The introduction of AI/ML technologies into new or existing products may result in new or enhanced governmental or regulatory scrutiny, litigation, confidentiality or security risks, technical or operational risks, safety risks, ethical concerns or other complications that could adversely affect our business, reputation or financial results or limit the functionality of our software or our ability to sell our products. Governmental bodies have implemented laws and regulations and are considering further control of AI/ML technologies that could negatively impact our ability to use and develop software products incorporating these technologies.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example, on March 13, 2024, the European Parliament adopted the European Union's Artificial Intelligence Act (the "AI Act"). The AI Act creates a framework of prohibitions and disclosure, transparency and other regulatory obligations based on various levels of risk for businesses introducing AI systems in the EU. Once the AI Act becomes effective, certain provisions could require us to alter or restrict our use of AI, depending on respective levels of risk-categorization, types of systems, and manner of use. The AI Act also may require us to comply with monitoring and reporting requirements. Noncompliance with the AI Act could result in fines of up to €35 million or 7% of annual global turnover for the previous year, whichever is higher. Other jurisdictions may adopt similar or more restrictive legislation that may render the use of such technologies challenging. Numerous other laws and bills have been enacted or proposed at the U.S. federal and state level, as well as internationally, aimed at regulating the development, deployment or provision of AI systems and services.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efforts to comply with the AI Act and other legislation or regulations, whether now in effect or as may be proposed or enacted in the future, relating to AI/ML technologies may be difficult, onerous and costly, and could adversely affect our business, reputation, financial condition, results of operations and growth prospects. We may need to devote substantial time and resources to evaluate our obligations under the AI Act and other legislation and regulations and to develop and execute a plan designed to ensure compliance. Further, the intellectual property ownership and license rights, including copyright, surrounding AI/ML technologies have not been fully addressed by U.S. courts or other federal or state laws or regulations, and the use or adoption by our customers of third-party AI/ML technologies alongside our own products may result in or otherwise expose us to claims of copyright infringement or other intellectual property misappropriation or infringement.</w:t>
      </w:r>
    </w:p>
    <w:p>
      <w:pPr>
        <w:pStyle w:val="TextBody"/>
        <w:bidi w:val="0"/>
        <w:jc w:val="both"/>
        <w:rPr>
          <w:rFonts w:ascii="Times New Roman" w:hAnsi="Times New Roman"/>
          <w:color w:val="000000"/>
          <w:sz w:val="20"/>
        </w:rPr>
      </w:pPr>
      <w:r>
        <w:rPr>
          <w:rFonts w:ascii="Times New Roman" w:hAnsi="Times New Roman"/>
          <w:color w:val="000000"/>
          <w:sz w:val="20"/>
        </w:rPr>
        <w:t xml:space="preserve">Uncertainty around new and emerging AI/ML technologies, may require additional investment in the development and maintenance of proprietary datasets and ML models, development of new approaches and processes to provide attribution or remuneration to creators of training data, and development of appropriate protections and safeguards for handling the use of data with AI technologies, which may be costly and could impact our expenses as we utilize AI/ML technologies within our products.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increasingly incorporating AI capabilities into our business operations. The implementation of AI in our business operations can be costly and there is no guarantee that our use of AI will benefit our business operations. Additionally, AI algorithms or training methodologies may be flawed, and datasets may contain irrelevant, insufficient or biased information, which can cause errors in outputs. The use of AI could subject us to risks related to intellectual property infringement or misappropriation, data privacy, and cybersecurity. Any of these matters may give rise to legal liability, damage our reputation, and materially harm our business.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our manufacturing or engineering processes and services do not comply with applicable regulatory requirements, or if we manufacture or design products containing defects, demand for our services may decline and we may be subject to product or other liability claims.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Products we manufacture or design for customers in defense industries, as well as the processes we use to produce them, are regulated by the Department of War, Occupational Safety and Health Administration (OSHA), and the Federal Aviation Administration, among others, which have increased their focus and enforcement related to materials and other fabrication concerns, including with regard to counterfeit goods, workplace safety, and standards certification. In addition, our customers’ products and the manufacturing processes or engineering services or documentation that we use to produce or design them often are highly complex. As a result, products that we manufacture or our engineering may at times contain defects, and our manufacturing processes or engineering designs may be subject to errors or noncompliance with applicable statutory and regulatory requirements. Defects in the products we manufacture or design, whether caused by a design, manufacturing or component failure or error, or deficiencies in our manufacturing processes or engineering designs, may result in delayed shipments to customers or reduced or cancelled customer orders. If these defects or deficiencies are significant, our business reputation could also be damaged. Further, as our manufacturing activities expand, we also may become subject to additional quality assurance, supplier management, traceability, certification, inspection and recordkeeping requirements imposed by customers or governmental authorities. The failure of our products, manufacturing processes or engineering designs or facilities to comply with applicable statutory and regulatory requirements could subject us to fines or penalties and, in some cases, require us to pause or halt production or incur considerable expense to achieve compliance. In addition, these defects may result in liability claims against us or expose us to liability to pay for the recall of a product. The magnitude of any such claim may increase as we expand our defense manufacturing and engineering services as defects in defense devices or systems could seriously harm or kill users of these products and others. Even if our customers are responsible for the defects, they may not, or may not have resources to, assume responsibility for any costs or liabilities arising from these defects, which could expose us to additional liability claims.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tax laws could have a material adverse effect on our business, cash flows, results of operations or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the tax laws, regulations, and policies of several taxing jurisdictions. Changes in tax laws, as well as other factors, could cause us to experience fluctuations in our tax obligations and effective tax rates or otherwise adversely affect our tax positions and/or our tax liabilities. For example, on July 4, 2025, the United States enacted tax legislation commonly referred to as the One Big Beautiful Bill Act (the “OBBB Act”). In addition, the Organisation for Economic Co-operation and Development ("OECD") has introduced a global minimum tax initiative, which is in various stages of adoption. On January 5, 2026, the OECD announced a side-by-side elective safe harbor that would exempt U.S.-parented multinationals from certain provisions of this initiative for fiscal years beginning on or after January 1, 2026. Any new tax laws or changes to existing tax laws could adversely affect our effective tax rate,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results, tax credits or incentives or tax payments, or require our potential customers to pay additional taxes, which could have a material adverse effect on our business, cash flows, results of operations or financial condition.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We may become subject to new or changing governmental regulations relating to the design, manufacturing, development, marketing, licensing, distribution or use of our technology and products or to the providing of customer service or in connection with the entry into certain transactions with foreign entities, and a failure to comply with such regulations could lead to delays in launching our products and/or withdrawal of our products from the market</w:t>
      </w:r>
      <w:r>
        <w:rPr>
          <w:rFonts w:ascii="Times New Roman" w:hAnsi="Times New Roman"/>
          <w:color w:val="000000"/>
          <w:sz w:val="20"/>
        </w:rPr>
        <w:t xml:space="preserve">, </w:t>
      </w:r>
      <w:r>
        <w:rPr>
          <w:rFonts w:ascii="Times New Roman" w:hAnsi="Times New Roman"/>
          <w:b/>
          <w:i/>
          <w:color w:val="000000"/>
          <w:sz w:val="20"/>
        </w:rPr>
        <w:t>delay our projected revenues, increase costs and/or make our business unviable.</w:t>
      </w:r>
    </w:p>
    <w:p>
      <w:pPr>
        <w:pStyle w:val="TextBody"/>
        <w:bidi w:val="0"/>
        <w:jc w:val="both"/>
        <w:rPr>
          <w:rFonts w:ascii="Times New Roman" w:hAnsi="Times New Roman"/>
          <w:color w:val="000000"/>
          <w:sz w:val="20"/>
        </w:rPr>
      </w:pPr>
      <w:r>
        <w:rPr>
          <w:rFonts w:ascii="Times New Roman" w:hAnsi="Times New Roman"/>
          <w:color w:val="000000"/>
          <w:sz w:val="20"/>
        </w:rPr>
        <w:t>We may become subject to a variety of existing or new laws and regulations in the United States and international jurisdictions, such as the AI Act, including in the areas of design, manufacturing, privacy, security, safety, competition, consumer protection development, marketing, licensing, distribution, the development and use of our products, and engagement with certain foreign entities. Such laws and regulations may also cover employment, taxation, privacy, data security, data protection, national security and international trade (including laws and regulations relating to tariffs, export controls, sanctions, inbound or outbound foreign investment, government contracts, transfers of sensitive personal data and government data to service providers or vendors located in China or with other specified links to China (and other designated countries), telecommunications and other similar matters), pricing, content, copyrights and other intellectual property, mobile communications, electronic contracts and other communications, the design and operation of websites, and the characteristics and quality of software and services, which may delay or impede the development and commercialization of our technology and products, affect our ability to engage with certain entities and/or require us to pause sales and modify our products, which could result in a material adverse effect on our revenue, financial condition and/or long-term business strategy,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of our products from the market.</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jc w:val="both"/>
        <w:rPr>
          <w:rFonts w:ascii="Times New Roman" w:hAnsi="Times New Roman"/>
          <w:color w:val="000000"/>
          <w:sz w:val="20"/>
        </w:rPr>
      </w:pPr>
      <w:r>
        <w:rPr>
          <w:rFonts w:ascii="Times New Roman" w:hAnsi="Times New Roman"/>
          <w:color w:val="000000"/>
          <w:sz w:val="20"/>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jc w:val="both"/>
        <w:rPr>
          <w:rFonts w:ascii="Times New Roman" w:hAnsi="Times New Roman"/>
          <w:sz w:val="20"/>
        </w:rPr>
      </w:pPr>
      <w:r>
        <w:rPr>
          <w:rFonts w:ascii="Times New Roman" w:hAnsi="Times New Roman"/>
          <w:b/>
          <w:i/>
          <w:color w:val="000000"/>
          <w:sz w:val="20"/>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and other sensitive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 government contractor and subcontractor, we are subject to the DoW's cybersecurity requirements, including compliance with the Cybersecurity Maturity Model Certification ("CMMC") program requirements, under which we received Level 2 third-party certification on April 10, 2025 for our primary government contracting entity (subsequently affirmed in April 2026), and under which another of our government contracting entities self-certified as to Level 2 compliance. Depending on the awarding DoW agency and contract terms, we, and our subcontractors or other third parties on whom we rely, may be required to have CMMC certification to be eligible for award. Likewise, if we, or our subcontractors or other third parties on whom we rely, are unable to maintain the required CMMC certification during contract performance, the government may terminate, or not exercise options to renew, our contract. We are also be required to affirm our CMMC status annually, and obtain recertification of our CMMC status periodically, which may increase our costs of compliance and may cause operational delays to remediate any newly discovered risks. In addition, obligations that may be imposed on us under the CMMC program may be different from or in addition to those otherwise required by applicable laws and regulations, which may cause additional expense for compliance. </w:t>
      </w:r>
    </w:p>
    <w:p>
      <w:pPr>
        <w:pStyle w:val="TextBody"/>
        <w:bidi w:val="0"/>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established a privacy framework for covered businesses, including an expansive definition of personal information and data privacy rights for California residents. The CCPA includes a framework with potentially severe statutory damages and private rights of action. The CCPA was modified and supplemented by the California Privacy Rights Act ("CPRA"), which went into effect on January 1, 2023. Numerous other states have proposed, and in many cases have enacted, laws addressing privacy and cybersecurity. These laws in many cases are comprehensive privacy statutes similar to the CCPA and CPRA. Additionally, some states have proposed, and in certain cases enacted, laws addressing specific matters such as biometrics or health-related personal information. The U.S. federal government also is contemplating additional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 </w:t>
      </w:r>
    </w:p>
    <w:p>
      <w:pPr>
        <w:pStyle w:val="TextBody"/>
        <w:bidi w:val="0"/>
        <w:jc w:val="both"/>
        <w:rPr>
          <w:rFonts w:ascii="Times New Roman" w:hAnsi="Times New Roman"/>
          <w:color w:val="000000"/>
          <w:sz w:val="20"/>
        </w:rPr>
      </w:pPr>
      <w:r>
        <w:rPr>
          <w:rFonts w:ascii="Times New Roman" w:hAnsi="Times New Roman"/>
          <w:color w:val="000000"/>
          <w:sz w:val="20"/>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data protection regime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or maintaining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cybersecurity risks to our operational systems, security systems, infrastructure and data, whether processed by us or by third-party vendors.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business and operations may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Some of our employees work remotely which has increased security risks. In addition, the risk of state-supported and geopolitical-related cybersecurity attacks is believed to be heightened because of our position as a U.S. government contractor, the nature of our products and expertise and international conflicts and related political or economic responses and counter-responses. </w:t>
      </w:r>
    </w:p>
    <w:p>
      <w:pPr>
        <w:pStyle w:val="TextBody"/>
        <w:bidi w:val="0"/>
        <w:jc w:val="both"/>
        <w:rPr>
          <w:rFonts w:ascii="Times New Roman" w:hAnsi="Times New Roman"/>
          <w:color w:val="000000"/>
          <w:sz w:val="20"/>
        </w:rPr>
      </w:pPr>
      <w:r>
        <w:rPr>
          <w:rFonts w:ascii="Times New Roman" w:hAnsi="Times New Roman"/>
          <w:color w:val="000000"/>
          <w:sz w:val="20"/>
        </w:rPr>
        <w:t>We are at risk for interruptions, outages and breaches of (1) operational systems, including business, financial, accounting, product development, data processing or production processes, owned by us or our third-party vendors or suppliers; (2) facility security systems, owned by us or our third-party vendors or suppliers; (3) in-product technology, owned by us or our third-party vendors; (4) our software, including third-party software we license; and (5)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 software in our systems. Certain disruption, hacking or other efforts may be state-sponsored or supported by significant financial and technological resources, making them even more difficult to detect, remediate and otherwise respond to.</w:t>
      </w:r>
    </w:p>
    <w:p>
      <w:pPr>
        <w:pStyle w:val="TextBody"/>
        <w:bidi w:val="0"/>
        <w:jc w:val="both"/>
        <w:rPr>
          <w:rFonts w:ascii="Times New Roman" w:hAnsi="Times New Roman"/>
          <w:color w:val="000000"/>
          <w:sz w:val="20"/>
        </w:rPr>
      </w:pPr>
      <w:r>
        <w:rPr>
          <w:rFonts w:ascii="Times New Roman" w:hAnsi="Times New Roman"/>
          <w:color w:val="000000"/>
          <w:sz w:val="20"/>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may face objections to our intended collection or use of data, which may require us to implement new or modified data handling policies and mechanisms, increase our maintenance costs and costs associated with data processing and handling, and harm our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including to identify and exploit vulnerabilities and launch more automated, targeted and coordinated attacks, resulting in heightened risks of and potentially greater impacts from security breaches and incidents.</w:t>
      </w:r>
    </w:p>
    <w:p>
      <w:pPr>
        <w:pStyle w:val="TextBody"/>
        <w:bidi w:val="0"/>
        <w:jc w:val="both"/>
        <w:rPr>
          <w:rFonts w:ascii="Times New Roman" w:hAnsi="Times New Roman"/>
          <w:color w:val="000000"/>
          <w:sz w:val="20"/>
        </w:rPr>
      </w:pPr>
      <w:r>
        <w:rPr>
          <w:rFonts w:ascii="Times New Roman" w:hAnsi="Times New Roman"/>
          <w:color w:val="000000"/>
          <w:sz w:val="20"/>
        </w:rPr>
        <w:t xml:space="preserve">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Information Technology ("IT") infrastructure used in our business may be vulnerable, and has been vulnerable in the past, to cybersecurity 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 </w:t>
      </w:r>
    </w:p>
    <w:p>
      <w:pPr>
        <w:pStyle w:val="TextBody"/>
        <w:bidi w:val="0"/>
        <w:jc w:val="both"/>
        <w:rPr>
          <w:rFonts w:ascii="Times New Roman" w:hAnsi="Times New Roman"/>
          <w:color w:val="000000"/>
          <w:sz w:val="20"/>
        </w:rPr>
      </w:pPr>
      <w:r>
        <w:rPr>
          <w:rFonts w:ascii="Times New Roman" w:hAnsi="Times New Roman"/>
          <w:color w:val="000000"/>
          <w:sz w:val="20"/>
        </w:rPr>
        <w:t xml:space="preserve">Moreover, there are inherent risks associated with developing, improving, expanding and updating our current systems, such as the disruption of our data management, procurement, product development, finance and sales and service processes. These risks may affect our ability to manage our data or deploy and service our products and solutions, offer and perform our services,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or other sensitive information or intellectual property could be compromised or misappropriated and our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reputation may be adversely affected. If these systems do not operate as we expect them to, we may be required to expend significant resources to make corrections or find alternative sources for performing these functions.</w:t>
      </w:r>
    </w:p>
    <w:p>
      <w:pPr>
        <w:pStyle w:val="TextBody"/>
        <w:bidi w:val="0"/>
        <w:jc w:val="both"/>
        <w:rPr>
          <w:rFonts w:ascii="Times New Roman" w:hAnsi="Times New Roman"/>
          <w:color w:val="000000"/>
          <w:sz w:val="20"/>
        </w:rPr>
      </w:pPr>
      <w:r>
        <w:rPr>
          <w:rFonts w:ascii="Times New Roman" w:hAnsi="Times New Roman"/>
          <w:color w:val="000000"/>
          <w:sz w:val="20"/>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products and services,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laws, regulations and contractual provisions as a government contractor and subcontractor, which may pose increased risk of potential liability and expenses related thereto, which could have a material adverse effect on our business, operating results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As a government contractor and subcontractor, we must comply with laws, regulations and contractual provisions related to the formation, administration and execution of government contracts and other agreements,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products and services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Any such damages, penalties, disruption or limitation in our ability to do business with a government would adversely impact, and could have a material adverse effect on, our business, prospects, financial condition and operating results.</w:t>
      </w:r>
    </w:p>
    <w:p>
      <w:pPr>
        <w:pStyle w:val="TextBody"/>
        <w:bidi w:val="0"/>
        <w:jc w:val="both"/>
        <w:rPr>
          <w:rFonts w:ascii="Times New Roman" w:hAnsi="Times New Roman"/>
          <w:sz w:val="20"/>
        </w:rPr>
      </w:pPr>
      <w:r>
        <w:rPr>
          <w:rFonts w:ascii="Times New Roman" w:hAnsi="Times New Roman"/>
          <w:b/>
          <w:i/>
          <w:color w:val="000000"/>
          <w:sz w:val="20"/>
        </w:rPr>
        <w:t>We are subject to U.S. and foreign anti-corruption and anti-money laundering laws and regulations. We can face criminal liability and other serious consequences for violations of these laws, which can harm our business, prospects, financial condition and operating results.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 </w:t>
      </w:r>
    </w:p>
    <w:p>
      <w:pPr>
        <w:pStyle w:val="TextBody"/>
        <w:bidi w:val="0"/>
        <w:jc w:val="both"/>
        <w:rPr>
          <w:rFonts w:ascii="Times New Roman" w:hAnsi="Times New Roman"/>
          <w:color w:val="000000"/>
          <w:sz w:val="20"/>
        </w:rPr>
      </w:pPr>
      <w:r>
        <w:rPr>
          <w:rFonts w:ascii="Times New Roman" w:hAnsi="Times New Roman"/>
          <w:color w:val="000000"/>
          <w:sz w:val="20"/>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held responsible. Our exposure for violating these laws increases as our international presence expands and as we increase sales and operations in foreign jurisdictions.</w:t>
      </w:r>
    </w:p>
    <w:p>
      <w:pPr>
        <w:pStyle w:val="TextBody"/>
        <w:bidi w:val="0"/>
        <w:jc w:val="both"/>
        <w:rPr>
          <w:rFonts w:ascii="Times New Roman" w:hAnsi="Times New Roman"/>
          <w:color w:val="000000"/>
          <w:sz w:val="20"/>
        </w:rPr>
      </w:pPr>
      <w:r>
        <w:rPr>
          <w:rFonts w:ascii="Times New Roman" w:hAnsi="Times New Roman"/>
          <w:color w:val="000000"/>
          <w:sz w:val="20"/>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We are subject to laws and regulations imposing export and import controls that could subject us to liability if we do not comply with such requirements.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Our provision of products, technology and services are subject to compliance with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products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pStyle w:val="TextBody"/>
        <w:bidi w:val="0"/>
        <w:jc w:val="both"/>
        <w:rPr>
          <w:rFonts w:ascii="Times New Roman" w:hAnsi="Times New Roman"/>
          <w:color w:val="000000"/>
          <w:sz w:val="20"/>
        </w:rPr>
      </w:pPr>
      <w:r>
        <w:rPr>
          <w:rFonts w:ascii="Times New Roman" w:hAnsi="Times New Roman"/>
          <w:color w:val="000000"/>
          <w:sz w:val="20"/>
        </w:rPr>
        <w:t>Moreover, international sales of our products may be subject to first obtaining licenses, clearances or authorizations from various regulatory entities, both domestic and foreign. If we are not allowed to export our products or the clearance process is burdensome and costly, our ability to generate revenue would be adversely affected. We have entered into, and intend to continue to pursue, strategic or customer relationships or transactions with non-U.S. entities. These relationships or transactions may require export licenses, technology control plans, governmental approvals, compliance with applicable foreign ownership, control or influence requirements, or other regulatory approvals and ongoing compliance activities, which generally result in additional costs as compared to domestic transactions. Changes in geopolitical conditions, export controls, sanctions, national security policies or other regulatory requirements could delay, restrict or prevent these relationships or transactions, limit our ability to collaborate with international partners or increase the costs and complexity of maintaining such relationships, any of which could adversely affect our business, financial condition and results of operations.</w:t>
      </w:r>
    </w:p>
    <w:p>
      <w:pPr>
        <w:pStyle w:val="TextBody"/>
        <w:bidi w:val="0"/>
        <w:jc w:val="both"/>
        <w:rPr>
          <w:rFonts w:ascii="Times New Roman" w:hAnsi="Times New Roman"/>
          <w:color w:val="000000"/>
          <w:sz w:val="20"/>
        </w:rPr>
      </w:pPr>
      <w:r>
        <w:rPr>
          <w:rFonts w:ascii="Times New Roman" w:hAnsi="Times New Roman"/>
          <w:color w:val="000000"/>
          <w:sz w:val="20"/>
        </w:rPr>
        <w:t>In addition, changes to our technologies or products or changes in applicable export control, import or economic sanctions laws and regulations may create delays in the introduction and sale of our products, constrain collaboration with suppliers or other business partners or, in some cases, prevent the export or import of our products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products, as well as our decreased ability to export or market our products to potential customers. Any decreased use of our products or limitation on our ability to export or market our products would likely adversely affect our business, prospects, financial condition and operating results.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Companies across all industries are facing increasing scrutiny related to their environmental, social and governance ("ESG") practices and reporting. Regulators, investors, customers, employees and other stakeholders have focused increasingly on ESG practices and placed increasing importance on the implications and social cost of their investments, purchases and other interactions with companies. Equally, some stakeholders may be opposed to the implementation of such initiatives at all. Anti-ESG sentiment has gained some momentum across the United States, with several states having enacted or proposed "anti-ESG" policies, legislation or issued related legal opinions. If our ESG practices and reporting do not meet investor, customer or employee expectations or legal requirements, which continue to evolve, our brand, reputation and customer retention may be negatively impacted. We could also incur additional costs and need to devote additional resources to monitor, report and implement various ESG practices, including as a result of regulatory developments.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jc w:val="both"/>
        <w:rPr>
          <w:rFonts w:ascii="Times New Roman" w:hAnsi="Times New Roman"/>
          <w:b/>
          <w:i/>
          <w:color w:val="000000"/>
          <w:sz w:val="20"/>
        </w:rPr>
      </w:pPr>
      <w:r>
        <w:rPr>
          <w:rFonts w:ascii="Times New Roman" w:hAnsi="Times New Roman"/>
          <w:b/>
          <w:i/>
          <w:color w:val="000000"/>
          <w:sz w:val="20"/>
        </w:rPr>
        <w:t>Our success depends in part on our ability to obtain and maintain protection for the intellectual property relating to our AI/ML Foundational Technology and our other technologies and products.</w:t>
      </w:r>
    </w:p>
    <w:p>
      <w:pPr>
        <w:pStyle w:val="TextBody"/>
        <w:bidi w:val="0"/>
        <w:jc w:val="both"/>
        <w:rPr>
          <w:rFonts w:ascii="Times New Roman" w:hAnsi="Times New Roman"/>
          <w:color w:val="000000"/>
          <w:sz w:val="20"/>
        </w:rPr>
      </w:pPr>
      <w:r>
        <w:rPr>
          <w:rFonts w:ascii="Times New Roman" w:hAnsi="Times New Roman"/>
          <w:color w:val="000000"/>
          <w:sz w:val="20"/>
        </w:rPr>
        <w:t>Our success depends in part on our ability to obtain and maintain protection for the intellectual property relating to our AI/ML Foundational Technology and our other technologies and products.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copyright and trade secret law to protect our proprietary software and technologies.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Patent positions covering software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technologies or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we are investing fewer resources in filing and prosecuting new patents and on maintaining and enforcing various patents, especially in regions where we currently do not focus our market growth strategy or with respect to patents with less relevance to our current business. </w:t>
      </w:r>
    </w:p>
    <w:p>
      <w:pPr>
        <w:pStyle w:val="TextBody"/>
        <w:bidi w:val="0"/>
        <w:jc w:val="both"/>
        <w:rPr>
          <w:rFonts w:ascii="Times New Roman" w:hAnsi="Times New Roman"/>
          <w:color w:val="000000"/>
          <w:sz w:val="20"/>
        </w:rPr>
      </w:pPr>
      <w:r>
        <w:rPr>
          <w:rFonts w:ascii="Times New Roman" w:hAnsi="Times New Roman"/>
          <w:color w:val="000000"/>
          <w:sz w:val="20"/>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pStyle w:val="TextBody"/>
        <w:bidi w:val="0"/>
        <w:jc w:val="both"/>
        <w:rPr>
          <w:rFonts w:ascii="Times New Roman" w:hAnsi="Times New Roman"/>
          <w:color w:val="000000"/>
          <w:sz w:val="20"/>
        </w:rPr>
      </w:pPr>
      <w:r>
        <w:rPr>
          <w:rFonts w:ascii="Times New Roman" w:hAnsi="Times New Roman"/>
          <w:color w:val="000000"/>
          <w:sz w:val="20"/>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and we are unable to use them, it could adversely affect our business and profitability.</w:t>
      </w:r>
    </w:p>
    <w:p>
      <w:pPr>
        <w:pStyle w:val="TextBody"/>
        <w:bidi w:val="0"/>
        <w:jc w:val="both"/>
        <w:rPr>
          <w:rFonts w:ascii="Times New Roman" w:hAnsi="Times New Roman"/>
          <w:color w:val="000000"/>
          <w:sz w:val="20"/>
        </w:rPr>
      </w:pPr>
      <w:r>
        <w:rPr>
          <w:rFonts w:ascii="Times New Roman" w:hAnsi="Times New Roman"/>
          <w:color w:val="000000"/>
          <w:sz w:val="20"/>
        </w:rPr>
        <w:t>We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software or other technologies that we consider proprietary or our proprietary information may otherwise become known or may be independently developed by our competitors or other third parties. If other parties are able to use our proprietary technology or information, our ability to compete could be harmed. Further, unauthorized use of our intellectual property may have occurred or may occur in the future, without our knowledge.</w:t>
      </w:r>
    </w:p>
    <w:p>
      <w:pPr>
        <w:pStyle w:val="TextBody"/>
        <w:bidi w:val="0"/>
        <w:jc w:val="both"/>
        <w:rPr>
          <w:rFonts w:ascii="Times New Roman" w:hAnsi="Times New Roman"/>
          <w:color w:val="000000"/>
          <w:sz w:val="20"/>
        </w:rPr>
      </w:pPr>
      <w:r>
        <w:rPr>
          <w:rFonts w:ascii="Times New Roman" w:hAnsi="Times New Roman"/>
          <w:color w:val="000000"/>
          <w:sz w:val="20"/>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we are unable to obtain or maintain adequate protection for our intellectual property or if any protection is reduced or eliminated, competitors may be able to use our technologies, resulting in harm to our competitive position and our business.</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able to effectively protect our intellectual property rights in our target markets or at all.</w:t>
      </w:r>
    </w:p>
    <w:p>
      <w:pPr>
        <w:pStyle w:val="TextBody"/>
        <w:bidi w:val="0"/>
        <w:jc w:val="both"/>
        <w:rPr>
          <w:rFonts w:ascii="Times New Roman" w:hAnsi="Times New Roman"/>
          <w:color w:val="000000"/>
          <w:sz w:val="20"/>
        </w:rPr>
      </w:pPr>
      <w:r>
        <w:rPr>
          <w:rFonts w:ascii="Times New Roman" w:hAnsi="Times New Roman"/>
          <w:color w:val="000000"/>
          <w:sz w:val="20"/>
        </w:rPr>
        <w:t xml:space="preserve">Filing, prosecuting, maintaining and defending patents and trademarks and seeking to enforce copyrights on our intellectual property in all target markets would be prohibitively expensive and time consuming, and thus our intellectual property rights outside the United States are limited. In addition, the laws of some of our target markets,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of our target markets,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importing those infringing products into territories where we have patent protection, but enforcement may not be as strong as in the United States. These products may compete with our software or other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pStyle w:val="TextBody"/>
        <w:bidi w:val="0"/>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intellectual property infringement claims or misappropriation claims, which may be time consuming and expensive and, if adversely determined, could limit our ability to commercialize our software or other products.</w:t>
      </w:r>
    </w:p>
    <w:p>
      <w:pPr>
        <w:pStyle w:val="TextBody"/>
        <w:bidi w:val="0"/>
        <w:jc w:val="both"/>
        <w:rPr>
          <w:rFonts w:ascii="Times New Roman" w:hAnsi="Times New Roman"/>
          <w:color w:val="000000"/>
          <w:sz w:val="20"/>
        </w:rPr>
      </w:pPr>
      <w:r>
        <w:rPr>
          <w:rFonts w:ascii="Times New Roman" w:hAnsi="Times New Roman"/>
          <w:color w:val="000000"/>
          <w:sz w:val="20"/>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pStyle w:val="TextBody"/>
        <w:bidi w:val="0"/>
        <w:jc w:val="both"/>
        <w:rPr>
          <w:rFonts w:ascii="Times New Roman" w:hAnsi="Times New Roman"/>
          <w:color w:val="000000"/>
          <w:sz w:val="20"/>
        </w:rPr>
      </w:pPr>
      <w:r>
        <w:rPr>
          <w:rFonts w:ascii="Times New Roman" w:hAnsi="Times New Roman"/>
          <w:color w:val="000000"/>
          <w:sz w:val="20"/>
        </w:rPr>
        <w:t xml:space="preserve">Determining whether a product infringes a patent involves complex legal and factual issues and the outcome of patent litigation is often uncertain. No assurance can be given that patents containing claims covering our software, other products, technologies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other products, technologies or methods. Moreover, there may be pending, published or allowed applications that may disclose, but not claim, subject matter covering our software, other products, technologies or methods, where such pending or published applications may be amended, or one or more continuation or divisional applications may be filed, in an attempt to capture, to the extent possible, such software, other products, technologies or methods that are in the public domain, and which may result in issued patents that our current or future products infringe. </w:t>
      </w:r>
    </w:p>
    <w:p>
      <w:pPr>
        <w:pStyle w:val="TextBody"/>
        <w:bidi w:val="0"/>
        <w:jc w:val="both"/>
        <w:rPr>
          <w:rFonts w:ascii="Times New Roman" w:hAnsi="Times New Roman"/>
          <w:color w:val="000000"/>
          <w:sz w:val="20"/>
        </w:rPr>
      </w:pPr>
      <w:r>
        <w:rPr>
          <w:rFonts w:ascii="Times New Roman" w:hAnsi="Times New Roman"/>
          <w:color w:val="000000"/>
          <w:sz w:val="20"/>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products, unless we can obtain a license to use the technology covered by such patents or can redesign our products so that they do not infringe. A license may not be available on commercially reasonable terms or at all, and we may not be able to redesign our products to avoid infringement. In these circumstances, we may not be able to sell our products at competitive prices or at all, and our business, prospects, financial condition and operating results would be harmed.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jc w:val="both"/>
        <w:rPr>
          <w:rFonts w:ascii="Times New Roman" w:hAnsi="Times New Roman"/>
          <w:color w:val="000000"/>
          <w:sz w:val="20"/>
        </w:rPr>
      </w:pPr>
      <w:r>
        <w:rPr>
          <w:rFonts w:ascii="Times New Roman" w:hAnsi="Times New Roman"/>
          <w:color w:val="000000"/>
          <w:sz w:val="20"/>
        </w:rPr>
        <w:t xml:space="preserve">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damages resulting from claims that we or our employees have wrongfully used or disclosed alleged trade secrets of our employees' former employers.</w:t>
      </w:r>
    </w:p>
    <w:p>
      <w:pPr>
        <w:pStyle w:val="TextBody"/>
        <w:bidi w:val="0"/>
        <w:jc w:val="both"/>
        <w:rPr>
          <w:rFonts w:ascii="Times New Roman" w:hAnsi="Times New Roman"/>
          <w:color w:val="000000"/>
          <w:sz w:val="20"/>
        </w:rPr>
      </w:pPr>
      <w:r>
        <w:rPr>
          <w:rFonts w:ascii="Times New Roman" w:hAnsi="Times New Roman"/>
          <w:color w:val="000000"/>
          <w:sz w:val="20"/>
        </w:rPr>
        <w:t>We may be subject to claims that we or our employees have inadvertently or otherwise used or disclosed trade secrets or other proprietary information of an employee's former employers. Litigation may be necessary to defend against these claims. If we fail to successfully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 which could severely harm our business. Even if we are successful in defending against these claims, litigation could result in substantial costs and demand on management resources.</w:t>
      </w:r>
    </w:p>
    <w:p>
      <w:pPr>
        <w:pStyle w:val="TextBody"/>
        <w:bidi w:val="0"/>
        <w:jc w:val="both"/>
        <w:rPr>
          <w:rFonts w:ascii="Times New Roman" w:hAnsi="Times New Roman"/>
          <w:b/>
          <w:color w:val="000000"/>
          <w:sz w:val="20"/>
        </w:rPr>
      </w:pPr>
      <w:r>
        <w:rPr>
          <w:rFonts w:ascii="Times New Roman" w:hAnsi="Times New Roman"/>
          <w:b/>
          <w:color w:val="000000"/>
          <w:sz w:val="20"/>
        </w:rPr>
        <w:t>Risks Related to Ownership of our Securities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issuance or sale of shares of our Common Stock, or rights to acquire shares of our Common Stock could depress the trading price of our Common Stock and may cause dilution to our existing stockholders.</w:t>
      </w:r>
    </w:p>
    <w:p>
      <w:pPr>
        <w:pStyle w:val="TextBody"/>
        <w:bidi w:val="0"/>
        <w:spacing w:before="240" w:after="283"/>
        <w:jc w:val="both"/>
        <w:rPr>
          <w:rFonts w:ascii="Times New Roman" w:hAnsi="Times New Roman"/>
          <w:sz w:val="20"/>
        </w:rPr>
      </w:pPr>
      <w:r>
        <w:rPr>
          <w:rFonts w:ascii="Times New Roman" w:hAnsi="Times New Roman"/>
          <w:color w:val="000000"/>
          <w:sz w:val="20"/>
        </w:rPr>
        <w:t>We may from time to time conduct offerings of our Common Stock or other securities that are convertible into or exercisable for our Common Stock to finance our operations or fund acquisitions, or for other purposes. For further information on our financing activities for the quarter ended June 30, 2026, see "</w:t>
      </w:r>
      <w:r>
        <w:rPr>
          <w:rFonts w:ascii="Times New Roman" w:hAnsi="Times New Roman"/>
          <w:i/>
          <w:color w:val="000000"/>
          <w:sz w:val="20"/>
        </w:rPr>
        <w:t>Management's Discussion and Analysis of Financial Condition and Results of Operations—Liquidity and Capital Resources.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issue additional shares of our Common Stock or rights to acquire shares of our Common Stock, if any of our existing stockholders sells a substantial amount of our Common Stock or if the market perceives that such issuances or sales may occur, the trading price of our Common Stock may significantly decrease. In addition, our issuance of additional shares of Common Stock, including upon exercise of our outstanding warrants, will dilute the ownership interests of our existing stockholders.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price of our Common Stock could decline due to the large number of shares of our Common Stock being subject to employee equity awards.</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granted and expect to continue to grant equity awards to our directors and employees as additional compensation in an effort to align their interests with those of our stockholders. There is a potential that sales of large amounts of our Common Stock issued pursuant to these awards may take place during concentrated periods, including because these awards may be scheduled to vest during specified points in time, such as expected open trading windows under our insider trading policy, or because achievement of stock price conditions in awards to senior employees could lead to concurrent vesting and settlements. Such concentrated sales could lead to a decline in the price of our Common Stock.. </w:t>
      </w:r>
    </w:p>
    <w:p>
      <w:pPr>
        <w:pStyle w:val="TextBody"/>
        <w:bidi w:val="0"/>
        <w:jc w:val="both"/>
        <w:rPr>
          <w:rFonts w:ascii="Times New Roman" w:hAnsi="Times New Roman"/>
          <w:color w:val="000000"/>
          <w:sz w:val="20"/>
        </w:rPr>
      </w:pPr>
      <w:r>
        <w:rPr>
          <w:rFonts w:ascii="Times New Roman" w:hAnsi="Times New Roman"/>
          <w:color w:val="000000"/>
          <w:sz w:val="20"/>
        </w:rPr>
        <w:t>"Sell-to-cover" transactions are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markets for our publicly traded securities have been volatile and may not continue at all.</w:t>
      </w:r>
    </w:p>
    <w:p>
      <w:pPr>
        <w:pStyle w:val="TextBody"/>
        <w:bidi w:val="0"/>
        <w:jc w:val="both"/>
        <w:rPr>
          <w:rFonts w:ascii="Times New Roman" w:hAnsi="Times New Roman"/>
          <w:color w:val="000000"/>
          <w:sz w:val="20"/>
        </w:rPr>
      </w:pPr>
      <w:r>
        <w:rPr>
          <w:rFonts w:ascii="Times New Roman" w:hAnsi="Times New Roman"/>
          <w:color w:val="000000"/>
          <w:sz w:val="20"/>
        </w:rPr>
        <w:t>Since our Common Stock and deSPAC Public Warrants (as defined below) began trading on the Nasdaq Global Market, the prices of our publicly traded securities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jc w:val="both"/>
        <w:rPr>
          <w:rFonts w:ascii="Times New Roman" w:hAnsi="Times New Roman"/>
          <w:color w:val="000000"/>
          <w:sz w:val="20"/>
        </w:rPr>
      </w:pPr>
      <w:r>
        <w:rPr>
          <w:rFonts w:ascii="Times New Roman" w:hAnsi="Times New Roman"/>
          <w:color w:val="000000"/>
          <w:sz w:val="20"/>
        </w:rPr>
        <w:t>Factors affecting the trading price of our securities may include: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actual or anticipated fluctuations in our quarterly financial results or the quarterly financial results of companies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market's expectations about our operating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public's reaction to our press releases, our other public announcements and our filings with the SEC;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strategy or financial condition;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 of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results failing to meet the expectation of securities analysts or investors in a particular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operating performance and stock market valuations of robotics software or other technology companies, or those in our industry in particular;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financial estimates and recommendations by securities analysts concerning our company or the market in general;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and stock price performance of other companies that investors deem comparable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market, sell and deliver our software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laws and regulations affecting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commencement of, or involvement in,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our capital structure, such as future issuances of securities or the incurrence of debt;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volume of shares of our publicly traded securities, including as a result of the exercise of our deSPAC Public Warrants or the exercise or vesting of employee equity awards;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major change in our board of directors or management;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substantial amounts of Common Stock by our directors, officers or significant stockholders or the perception that such sales could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realization of any of the risk factors discussed herein;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failure to comply with Nasdaq listing requirements (see </w:t>
      </w:r>
      <w:r>
        <w:rPr>
          <w:rFonts w:ascii="Times New Roman" w:hAnsi="Times New Roman"/>
          <w:i/>
          <w:color w:val="000000"/>
          <w:sz w:val="20"/>
        </w:rPr>
        <w:t>"Our publicly traded securities are subject to potential delisting from The Nasdaq Global Market if we do not meet Nasdaq's continued listing requirements, which would likely impair the liquidity of the trading market for our Common Stock and warrants"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to comply with the Sarbanes-Oxley Act of 2002 or other laws or regulations;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potential or perceived control, accounting or reporting problems;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accounting principles, policies and guidelines;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and political conditions such as recessions, interest rates, changes in U.S. trade policy including tariffs and expectations of tariffs, fuel prices, international currency fluctuations and acts of war or terrorism. </w:t>
      </w:r>
    </w:p>
    <w:p>
      <w:pPr>
        <w:pStyle w:val="TextBody"/>
        <w:bidi w:val="0"/>
        <w:jc w:val="both"/>
        <w:rPr>
          <w:rFonts w:ascii="Times New Roman" w:hAnsi="Times New Roman"/>
          <w:color w:val="000000"/>
          <w:sz w:val="20"/>
        </w:rPr>
      </w:pPr>
      <w:r>
        <w:rPr>
          <w:rFonts w:ascii="Times New Roman" w:hAnsi="Times New Roman"/>
          <w:color w:val="000000"/>
          <w:sz w:val="20"/>
        </w:rPr>
        <w:t xml:space="preserve">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jc w:val="both"/>
        <w:rPr>
          <w:rFonts w:ascii="Times New Roman" w:hAnsi="Times New Roman"/>
          <w:color w:val="000000"/>
          <w:sz w:val="20"/>
        </w:rPr>
      </w:pPr>
      <w:r>
        <w:rPr>
          <w:rFonts w:ascii="Times New Roman" w:hAnsi="Times New Roman"/>
          <w:color w:val="000000"/>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bidi w:val="0"/>
        <w:jc w:val="both"/>
        <w:rPr>
          <w:rFonts w:ascii="Times New Roman" w:hAnsi="Times New Roman"/>
          <w:b/>
          <w:i/>
          <w:color w:val="000000"/>
          <w:sz w:val="20"/>
        </w:rPr>
      </w:pPr>
      <w:r>
        <w:rPr>
          <w:rFonts w:ascii="Times New Roman" w:hAnsi="Times New Roman"/>
          <w:b/>
          <w:i/>
          <w:color w:val="000000"/>
          <w:sz w:val="20"/>
        </w:rPr>
        <w:t>Our publicly traded securities are subject to potential delisting from the Nasdaq Global Market if we do not meet Nasdaq's continued listing requirements, which would likely impair the liquidity of the trading market for our Common Stock and warrants.</w:t>
      </w:r>
    </w:p>
    <w:p>
      <w:pPr>
        <w:pStyle w:val="TextBody"/>
        <w:bidi w:val="0"/>
        <w:jc w:val="both"/>
        <w:rPr>
          <w:rFonts w:ascii="Times New Roman" w:hAnsi="Times New Roman"/>
          <w:color w:val="000000"/>
          <w:sz w:val="20"/>
        </w:rPr>
      </w:pPr>
      <w:r>
        <w:rPr>
          <w:rFonts w:ascii="Times New Roman" w:hAnsi="Times New Roman"/>
          <w:color w:val="000000"/>
          <w:sz w:val="20"/>
        </w:rPr>
        <w:t>Our listing on the Nasdaq Global Market is contingent upon meeting all the continued listing requirements of the Nasdaq Global Market. On two occasions in the past, we received notice from Nasdaq that we were not in compliance with its continued listing requirements based on the minimum bid price per share of our Common Stock. While in each case we were able to achieve compliance within the compliance period, if we fail to meet any listing requirements, we could again receive notice of non-compliance and in that case may not be able to regain compliance. If our Common Stock or deSPAC Public Warrants are delisted from the Nasdaq Global Market and are not eligible for quotation or listing on another market or exchange, we may be transferred to an over-the-counter market or on an electronic bulletin board established for unlisted securities such as the Pink Sheets or the OTC Bulletin Board. In such event, it could become more difficult to dispose of, or obtain accurate price quotations for our shares, and it would likely also reduce the visibility, liquidity, and value of our Common Stock, reduce institutional investor interest in us, and may increase the volatility of our Common Stock. Delisting could also cause a loss of confidence of potential industry partners, lenders and employees, which may harm our ability to raise capital through alternative financing sources on terms acceptable to us, which could further harm our business and our future prospects. Some or all of these material adverse consequences may contribute to a further decline in our stock price. If an active trading market for our securities is not sustained with sufficient trading volume, you may have limited or no ability to sell your securities.</w:t>
      </w:r>
    </w:p>
    <w:p>
      <w:pPr>
        <w:pStyle w:val="TextBody"/>
        <w:bidi w:val="0"/>
        <w:jc w:val="both"/>
        <w:rPr>
          <w:rFonts w:ascii="Times New Roman" w:hAnsi="Times New Roman"/>
          <w:sz w:val="20"/>
        </w:rPr>
      </w:pPr>
      <w:r>
        <w:rPr>
          <w:rFonts w:ascii="Times New Roman" w:hAnsi="Times New Roman"/>
          <w:b/>
          <w:i/>
          <w:color w:val="000000"/>
          <w:sz w:val="20"/>
        </w:rPr>
        <w:t>If securities or industry analysts cease publishing research or reports about us, our business or our market, or if they change their recommendations regarding our Common Stock, the price and trading volume of our Common Stock could decline</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The trading markets for our Common Stock and deSPAC Public Warrants will be influenced by research and reports that industry or securities analysts may publish about us, our business, our market or our competitors. From time to time, analysts covering us have ceased publishing research or reports about us. If any analyst covering our company now or in the future change their recommendation regarding our stock adversely, or provide more favorable relative recommendations about our competitors, the price of our Common Stock and deSPAC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deSPAC Public Warrants to decline.</w:t>
      </w:r>
    </w:p>
    <w:p>
      <w:pPr>
        <w:pStyle w:val="TextBody"/>
        <w:bidi w:val="0"/>
        <w:jc w:val="both"/>
        <w:rPr>
          <w:rFonts w:ascii="Times New Roman" w:hAnsi="Times New Roman"/>
          <w:sz w:val="20"/>
        </w:rPr>
      </w:pPr>
      <w:r>
        <w:rPr>
          <w:rFonts w:ascii="Times New Roman" w:hAnsi="Times New Roman"/>
          <w:b/>
          <w:i/>
          <w:color w:val="000000"/>
          <w:sz w:val="20"/>
        </w:rPr>
        <w:t>There is no guarantee that the deSPAC Public Warrants or the deSPAC Private Placement Warrants will ever be in the money, and they may expire worthless.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our initial public offering and a concurrent private placement, we issued units with each unit including one sixth of a share of Class A Common Stock and one half of one warrant (the "deSPAC Public Warrants") and certain warrants (the "deSPAC Private Placement Warrants," and together with the deSPAC Public Warrants, the "deSPAC Warrants"). The exercise price of our deSPAC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deSPAC Warrants is $11.50 per warrant. Upon exercise of the deSPAC Warrants the number of shares of Common Stock issuable shall be adjusted 1-for-6, the same ratio as the reverse stock split that was effective as of July 5, 2023, such that each warrant will be exercisable for 1/6 of a share of our Common Stock for a purchase price of $11.50 per warrant. The deSPAC warrants will expire at 5:00 pm New York City time on September 24, 2026. There is no guarantee that the deSPAC Warrants will ever be in the money prior to their expiration, and as such, the deSPAC Warrants may expire worthless.</w:t>
      </w:r>
    </w:p>
    <w:p>
      <w:pPr>
        <w:pStyle w:val="TextBody"/>
        <w:bidi w:val="0"/>
        <w:jc w:val="both"/>
        <w:rPr>
          <w:rFonts w:ascii="Times New Roman" w:hAnsi="Times New Roman"/>
          <w:sz w:val="20"/>
        </w:rPr>
      </w:pPr>
      <w:r>
        <w:rPr>
          <w:rFonts w:ascii="Times New Roman" w:hAnsi="Times New Roman"/>
          <w:b/>
          <w:i/>
          <w:color w:val="000000"/>
          <w:sz w:val="20"/>
        </w:rPr>
        <w:t>We may redeem unexpired deSPAC Warrants prior to their exercise at a time that is disadvantageous to deSPAC Warrant holders, thereby making their deSPAC Warrants worthless</w:t>
      </w:r>
      <w:r>
        <w:rPr>
          <w:rFonts w:ascii="Times New Roman" w:hAnsi="Times New Roman"/>
          <w:i/>
          <w:color w:val="000000"/>
          <w:sz w:val="20"/>
        </w:rPr>
        <w:t>.</w:t>
      </w:r>
    </w:p>
    <w:p>
      <w:pPr>
        <w:pStyle w:val="TextBody"/>
        <w:bidi w:val="0"/>
        <w:jc w:val="both"/>
        <w:rPr>
          <w:rFonts w:ascii="Times New Roman" w:hAnsi="Times New Roman"/>
          <w:sz w:val="20"/>
        </w:rPr>
      </w:pPr>
      <w:r>
        <w:rPr>
          <w:rFonts w:ascii="Times New Roman" w:hAnsi="Times New Roman"/>
          <w:color w:val="000000"/>
          <w:sz w:val="20"/>
        </w:rPr>
        <w:t>We have the ability to redeem outstanding deSPAC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deSPAC Warrant holders and provided certain other conditions are met. For additional information on the circumstances in which the deSPAC Public Warrants may be redeemed, see "</w:t>
      </w:r>
      <w:r>
        <w:rPr>
          <w:rFonts w:ascii="Times New Roman" w:hAnsi="Times New Roman"/>
          <w:i/>
          <w:color w:val="000000"/>
          <w:sz w:val="20"/>
        </w:rPr>
        <w:t>Description of Securities—Warrants—Public Stockholders' Warrants</w:t>
      </w:r>
      <w:r>
        <w:rPr>
          <w:rFonts w:ascii="Times New Roman" w:hAnsi="Times New Roman"/>
          <w:color w:val="000000"/>
          <w:sz w:val="20"/>
        </w:rPr>
        <w:t xml:space="preserve">" in this Annual Report. If and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 the deSPAC Warrants become redeemable by us, we may exercise our redemption right even if we are unable to register or qualify the underlying securities for sale under all applicable state securities laws. Redemption of the outstanding deSPAC Warrants could force the deSPAC Warrant holders (1) to exercise their deSPAC Warrants and pay the exercise price therefor at a time when it may be disadvantageous for them to do so, (2) to sell their deSPAC Warrants at the then-current market price when they might otherwise wish to hold their deSPAC Warrants or (3) to accept the nominal redemption price which, at the time the outstanding deSPAC Warrants are called for redemption, is likely to be substantially less than the market value of their deSPAC Warrants. None of the deSPAC Private Placement Warrants will be redeemable by us so long as they are held by the initial purchasers or their permitted transferees, subject to certain exceptions. None of the warrants sold in private placement under the Investor Purchase Agreement and the Insider Purchase Agreement are redeemable by us.</w:t>
      </w:r>
    </w:p>
    <w:p>
      <w:pPr>
        <w:pStyle w:val="TextBody"/>
        <w:bidi w:val="0"/>
        <w:jc w:val="both"/>
        <w:rPr>
          <w:rFonts w:ascii="Times New Roman" w:hAnsi="Times New Roman"/>
          <w:sz w:val="20"/>
        </w:rPr>
      </w:pPr>
      <w:r>
        <w:rPr>
          <w:rFonts w:ascii="Times New Roman" w:hAnsi="Times New Roman"/>
          <w:b/>
          <w:i/>
          <w:color w:val="000000"/>
          <w:sz w:val="20"/>
        </w:rPr>
        <w:t>DeSPAC Warrants are exercisable for Common Stock, and their exercise would increase the number of shares eligible for future resale in the public market and result in dilution to our stockholders</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As of June 30, 2026, there were 20,549,453 deSPAC Warrants outstanding. Each whole deSPAC Warrant entitles the holder to purchase one sixth of a share of our Common Stock at a price of $11.50 per warrant, which is equivalent to approximately 3,424,909 shares of Common Stock. The shares of Common Stock issued upon exercise of our deSPAC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2024 Warrants are exercisable for Common Stock, and their exercise would increase the number of shares eligible for future resale in the public market and result in dilution to our stockholders</w:t>
      </w:r>
      <w:r>
        <w:rPr>
          <w:rFonts w:ascii="Times New Roman" w:hAnsi="Times New Roman"/>
          <w:i/>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On November 1, 2024, we issued warrants to purchase up to </w:t>
      </w:r>
      <w:r>
        <w:rPr>
          <w:rFonts w:ascii="Times New Roman" w:hAnsi="Times New Roman"/>
          <w:color w:val="000000"/>
          <w:sz w:val="20"/>
        </w:rPr>
        <w:t>3,220,805</w:t>
      </w:r>
      <w:r>
        <w:rPr>
          <w:rFonts w:ascii="Times New Roman" w:hAnsi="Times New Roman"/>
          <w:color w:val="212529"/>
          <w:sz w:val="20"/>
        </w:rPr>
        <w:t xml:space="preserve"> shares of </w:t>
      </w:r>
      <w:r>
        <w:rPr>
          <w:rFonts w:ascii="Times New Roman" w:hAnsi="Times New Roman"/>
          <w:color w:val="000000"/>
          <w:sz w:val="20"/>
        </w:rPr>
        <w:t>Common Stock</w:t>
      </w:r>
      <w:r>
        <w:rPr>
          <w:rFonts w:ascii="Times New Roman" w:hAnsi="Times New Roman"/>
          <w:color w:val="212529"/>
          <w:sz w:val="20"/>
        </w:rPr>
        <w:t xml:space="preserve"> (the </w:t>
      </w:r>
      <w:r>
        <w:rPr>
          <w:rFonts w:ascii="Times New Roman" w:hAnsi="Times New Roman"/>
          <w:color w:val="000000"/>
          <w:sz w:val="20"/>
        </w:rPr>
        <w:t>"</w:t>
      </w:r>
      <w:r>
        <w:rPr>
          <w:rFonts w:ascii="Times New Roman" w:hAnsi="Times New Roman"/>
          <w:color w:val="212529"/>
          <w:sz w:val="20"/>
        </w:rPr>
        <w:t>2024 Warrants</w:t>
      </w:r>
      <w:r>
        <w:rPr>
          <w:rFonts w:ascii="Times New Roman" w:hAnsi="Times New Roman"/>
          <w:color w:val="000000"/>
          <w:sz w:val="20"/>
        </w:rPr>
        <w:t>"</w:t>
      </w:r>
      <w:r>
        <w:rPr>
          <w:rFonts w:ascii="Times New Roman" w:hAnsi="Times New Roman"/>
          <w:color w:val="212529"/>
          <w:sz w:val="20"/>
        </w:rPr>
        <w:t xml:space="preserve">). </w:t>
      </w:r>
      <w:r>
        <w:rPr>
          <w:rFonts w:ascii="Times New Roman" w:hAnsi="Times New Roman"/>
          <w:color w:val="000000"/>
          <w:sz w:val="20"/>
        </w:rPr>
        <w:t>As of June 30, 2026, there were 430,105 2024 Warrants outstanding. Each whole 2024 Warrant entitles the holder to purchase one share of our Common Stock at a price of $2.30 per share. The shares of Common Stock issued upon exercise of our 2024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pStyle w:val="TextBody"/>
        <w:bidi w:val="0"/>
        <w:jc w:val="both"/>
        <w:rPr>
          <w:rFonts w:ascii="Times New Roman" w:hAnsi="Times New Roman"/>
          <w:sz w:val="20"/>
        </w:rPr>
      </w:pPr>
      <w:r>
        <w:rPr>
          <w:rFonts w:ascii="Times New Roman" w:hAnsi="Times New Roman"/>
          <w:b/>
          <w:i/>
          <w:color w:val="000000"/>
          <w:sz w:val="20"/>
        </w:rPr>
        <w:t>Anti-takeover provisions contained in our Charter and Bylaws, as well as provisions of Delaware law, could impair a takeover attempt, which could limit the price investors might be willing to pay in the future for our Common Stock</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only the board of directors (pursuant to a majority vote of the whole board), the chairperson of the board of directors, or the Chief Executive Officer may call a special meeting;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 vote of at least 66-2/3% required to remove a director for "cause";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 vote of at least 66-2/3% required to approve certain amendments to the Charter and Bylaws;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designation of Delaware and federal courts as the exclusive forums for certain disputes.</w:t>
      </w:r>
    </w:p>
    <w:p>
      <w:pPr>
        <w:pStyle w:val="TextBody"/>
        <w:bidi w:val="0"/>
        <w:jc w:val="both"/>
        <w:rPr>
          <w:rFonts w:ascii="Times New Roman" w:hAnsi="Times New Roman"/>
          <w:b/>
          <w:i/>
          <w:color w:val="000000"/>
          <w:sz w:val="20"/>
        </w:rPr>
      </w:pPr>
      <w:r>
        <w:rPr>
          <w:rFonts w:ascii="Times New Roman" w:hAnsi="Times New Roman"/>
          <w:b/>
          <w:i/>
          <w:color w:val="000000"/>
          <w:sz w:val="20"/>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pStyle w:val="TextBody"/>
        <w:bidi w:val="0"/>
        <w:jc w:val="both"/>
        <w:rPr>
          <w:rFonts w:ascii="Times New Roman" w:hAnsi="Times New Roman"/>
          <w:color w:val="000000"/>
          <w:sz w:val="20"/>
        </w:rPr>
      </w:pPr>
      <w:r>
        <w:rPr>
          <w:rFonts w:ascii="Times New Roman" w:hAnsi="Times New Roman"/>
          <w:color w:val="000000"/>
          <w:sz w:val="20"/>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pStyle w:val="TextBody"/>
        <w:bidi w:val="0"/>
        <w:jc w:val="both"/>
        <w:rPr>
          <w:rFonts w:ascii="Times New Roman" w:hAnsi="Times New Roman"/>
          <w:color w:val="000000"/>
          <w:sz w:val="20"/>
        </w:rPr>
      </w:pPr>
      <w:r>
        <w:rPr>
          <w:rFonts w:ascii="Times New Roman" w:hAnsi="Times New Roman"/>
          <w:color w:val="000000"/>
          <w:sz w:val="20"/>
        </w:rPr>
        <w:t xml:space="preserve">This choice of forum provision may limit a stockholder's ability to bring a claim in a judicial forum that it finds favorable for disputes with us or any of our directors, officers, other employees or stockholders, which may discourage lawsuits with respect to such claims.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pStyle w:val="TextBody"/>
        <w:bidi w:val="0"/>
        <w:jc w:val="both"/>
        <w:rPr>
          <w:rFonts w:ascii="Times New Roman" w:hAnsi="Times New Roman"/>
          <w:sz w:val="20"/>
        </w:rPr>
      </w:pPr>
      <w:r>
        <w:rPr>
          <w:rFonts w:ascii="Times New Roman" w:hAnsi="Times New Roman"/>
          <w:b/>
          <w:i/>
          <w:color w:val="000000"/>
          <w:sz w:val="20"/>
        </w:rPr>
        <w:t>The JOBS Act permits "emerging growth companies" like us to take advantage of certain exemptions from various reporting requirements applicable to other public companies that are not emerging growth companies</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(1) the exemption from the auditor attestation requirements with respect to internal control over financial reporting under Section 404 of the Sarbanes-Oxley Act of 2002, (2) the exemptions from say-on-pay, say-on-frequency and say-on-golden parachute voting requirements and (3) reduced disclosure obligations regarding executive compensation in our periodic reports and proxy statements. As a result, our stockholders may not have access to certain information they deem important. We will remain an emerging growth company until the earlier of (1)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deSPAC Public Warrants that is held by non-affiliates exceeds $700 million as of the last business day of our prior second fiscal quarter, and (2) the date on which we have issued more than $1.0 billion in non-convertible debt during the prior three-year period.</w:t>
      </w:r>
    </w:p>
    <w:p>
      <w:pPr>
        <w:pStyle w:val="TextBody"/>
        <w:bidi w:val="0"/>
        <w:jc w:val="both"/>
        <w:rPr>
          <w:rFonts w:ascii="Times New Roman" w:hAnsi="Times New Roman"/>
          <w:color w:val="000000"/>
          <w:sz w:val="20"/>
        </w:rPr>
      </w:pPr>
      <w:r>
        <w:rPr>
          <w:rFonts w:ascii="Times New Roman" w:hAnsi="Times New Roman"/>
          <w:color w:val="000000"/>
          <w:sz w:val="20"/>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bidi w:val="0"/>
        <w:jc w:val="both"/>
        <w:rPr>
          <w:rFonts w:ascii="Times New Roman" w:hAnsi="Times New Roman"/>
          <w:color w:val="000000"/>
          <w:sz w:val="20"/>
        </w:rPr>
      </w:pPr>
      <w:r>
        <w:rPr>
          <w:rFonts w:ascii="Times New Roman" w:hAnsi="Times New Roman"/>
          <w:color w:val="000000"/>
          <w:sz w:val="20"/>
        </w:rPr>
        <w:t>Investors may find our Common Stock or deSPAC Public Warrants less attractive because we rely on these exemptions and may continue to rely on them to the extent they remain available to us. If some investors find our Common Stock or deSPAC Public Warrants less attractive as a result of these exemptions and reduced disclosure as an emerging growth company, there may be a less active trading market for and/or more price volatility with respect to our Common Stock or deSPAC Public Warrants.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3_defaults_upon_senior"/>
      <w:bookmarkEnd w:id="17"/>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9" w:name="item_5_othe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our last fiscal quarter, no director or officer, as defined in Rule 16a-1(f), adopted or terminated a “Rule 10b5-1 trading arrangement” or a “non-Rule 10b5-1 trading arrangement,” each as defined in Regulation S-K Item 408.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20" w:name="item_6_exhibits"/>
      <w:bookmarkEnd w:id="20"/>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5"/>
        <w:gridCol w:w="146"/>
        <w:gridCol w:w="9284"/>
      </w:tblGrid>
      <w:tr>
        <w:trPr/>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4" w:type="dxa"/>
            <w:tcBorders/>
            <w:vAlign w:val="center"/>
          </w:tcPr>
          <w:p>
            <w:pPr>
              <w:pStyle w:val="TableContents"/>
              <w:bidi w:val="0"/>
              <w:spacing w:before="0" w:after="283"/>
              <w:jc w:val="left"/>
              <w:rPr>
                <w:sz w:val="4"/>
                <w:szCs w:val="4"/>
              </w:rPr>
            </w:pPr>
            <w:r>
              <w:rPr>
                <w:sz w:val="4"/>
                <w:szCs w:val="4"/>
              </w:rPr>
            </w:r>
          </w:p>
        </w:tc>
      </w:tr>
      <w:tr>
        <w:trPr/>
        <w:tc>
          <w:tcPr>
            <w:tcW w:w="775"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Amended and Restated Certificate of Incorporation of the Company (incorporated by reference to Exhibit 3.1 to the Company’s Current Report on Form 8-K, filed with the SEC on September 30, 2021).</w:t>
              </w:r>
            </w:hyperlink>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Amended and Restated Certificate of Incorporation of the Company (incorporated by reference to Exhibit 3.1 to the Company’s Current Report on Form 8-K filed with the SEC on June 20, 2023).</w:t>
              </w:r>
            </w:hyperlink>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Amended and Restated Certificate of Incorporation of the Company (incorporated by reference to Exhibit 3.1 to the Company’s Current Report on Form 8-K filed with the SEC on March 18, 2024).</w:t>
              </w:r>
            </w:hyperlink>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the Company (incorporated by reference to Exhibit 3.2 to the Company's Current Report on Form 8-K filed with the SEC on March 18, 2024).</w:t>
              </w:r>
            </w:hyperlink>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10_1.htm">
              <w:r>
                <w:rPr>
                  <w:rStyle w:val="InternetLink"/>
                  <w:rFonts w:ascii="Times New Roman" w:hAnsi="Times New Roman"/>
                  <w:color w:val="0000FF"/>
                  <w:sz w:val="20"/>
                  <w:u w:val="single"/>
                </w:rPr>
                <w:t>Palladyne AI Corp. Amended and Restated 2021 Equity Incentive Plan</w:t>
              </w:r>
            </w:hyperlink>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10_2.htm">
              <w:r>
                <w:rPr>
                  <w:rStyle w:val="InternetLink"/>
                  <w:rFonts w:ascii="Times New Roman" w:hAnsi="Times New Roman"/>
                  <w:color w:val="0000FF"/>
                  <w:sz w:val="20"/>
                  <w:u w:val="single"/>
                </w:rPr>
                <w:t>Form of Stand-Alone Restricted Stock Unit Agreement</w:t>
              </w:r>
            </w:hyperlink>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y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on Form 10-Q are not deemed filed with the Securities and Exchange Commission and are not to be incorporated by reference into any filing of Palladyne AI Corp.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PALLADYNE AI CORP.</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Benjamin G. Wolff</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Benjamin G. Wolff</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Trevor Thatcher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Trevor Thatcher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pdyn-ex10_1.htm"/>
      <w:bookmarkStart w:id="23" w:name="kspdynex10_1"/>
      <w:bookmarkEnd w:id="22"/>
      <w:bookmarkEnd w:id="23"/>
      <w:r>
        <w:rPr>
          <w:rFonts w:ascii="Times New Roman" w:hAnsi="Times New Roman"/>
          <w:b/>
          <w:color w:val="000000"/>
          <w:sz w:val="24"/>
        </w:rPr>
        <w:t>Exhibit 10.1</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PALLADYNE AI CORP.</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AMENDED AND RESTATED 2021 EQUITY INCENTIVE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(effective as of June 8, 2026)</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 </w:t>
      </w:r>
      <w:r>
        <w:rPr>
          <w:rFonts w:ascii="Times New Roman" w:hAnsi="Times New Roman"/>
          <w:b/>
          <w:color w:val="000000"/>
          <w:sz w:val="24"/>
        </w:rPr>
        <w:t>Purposes of the Plan</w:t>
      </w:r>
      <w:r>
        <w:rPr>
          <w:rFonts w:ascii="Times New Roman" w:hAnsi="Times New Roman"/>
          <w:color w:val="000000"/>
          <w:sz w:val="24"/>
        </w:rPr>
        <w:t>. The purposes of this Plan are: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attract and retain the best available personnel for positions of substantial responsibility,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provide additional incentive to Employees, Directors and Consultants,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promote the success of the Company’s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permits the grant of Incentive Stock Options, Nonstatutory Stock Options, Stock Appreciation Rights, Restricted Stock, Restricted Stock Units and Performance Awards.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 </w:t>
      </w:r>
      <w:r>
        <w:rPr>
          <w:rFonts w:ascii="Times New Roman" w:hAnsi="Times New Roman"/>
          <w:b/>
          <w:color w:val="000000"/>
          <w:sz w:val="24"/>
        </w:rPr>
        <w:t>Definitions</w:t>
      </w:r>
      <w:r>
        <w:rPr>
          <w:rFonts w:ascii="Times New Roman" w:hAnsi="Times New Roman"/>
          <w:color w:val="000000"/>
          <w:sz w:val="24"/>
        </w:rPr>
        <w:t>. As used herein, the following definitions will apply:</w:t>
      </w:r>
    </w:p>
    <w:p>
      <w:pPr>
        <w:pStyle w:val="TextBody"/>
        <w:bidi w:val="0"/>
        <w:spacing w:before="240" w:after="283"/>
        <w:jc w:val="both"/>
        <w:rPr>
          <w:rFonts w:ascii="Times New Roman" w:hAnsi="Times New Roman"/>
          <w:sz w:val="20"/>
        </w:rPr>
      </w:pPr>
      <w:r>
        <w:rPr>
          <w:rFonts w:ascii="Times New Roman" w:hAnsi="Times New Roman"/>
          <w:color w:val="000000"/>
          <w:sz w:val="24"/>
        </w:rPr>
        <w:t>2.1. “</w:t>
      </w:r>
      <w:r>
        <w:rPr>
          <w:rFonts w:ascii="Times New Roman" w:hAnsi="Times New Roman"/>
          <w:b/>
          <w:color w:val="000000"/>
          <w:sz w:val="24"/>
        </w:rPr>
        <w:t>Administrator</w:t>
      </w:r>
      <w:r>
        <w:rPr>
          <w:rFonts w:ascii="Times New Roman" w:hAnsi="Times New Roman"/>
          <w:color w:val="000000"/>
          <w:sz w:val="20"/>
        </w:rPr>
        <w:t xml:space="preserve">” </w:t>
      </w:r>
      <w:r>
        <w:rPr>
          <w:rFonts w:ascii="Times New Roman" w:hAnsi="Times New Roman"/>
          <w:color w:val="000000"/>
          <w:sz w:val="24"/>
        </w:rPr>
        <w:t>means the Board or any of its Committees as will be administering the Plan, in accordance with Section 4 of the Plan.</w:t>
      </w:r>
    </w:p>
    <w:p>
      <w:pPr>
        <w:pStyle w:val="TextBody"/>
        <w:bidi w:val="0"/>
        <w:spacing w:before="240" w:after="283"/>
        <w:jc w:val="both"/>
        <w:rPr>
          <w:rFonts w:ascii="Times New Roman" w:hAnsi="Times New Roman"/>
          <w:sz w:val="20"/>
        </w:rPr>
      </w:pPr>
      <w:r>
        <w:rPr>
          <w:rFonts w:ascii="Times New Roman" w:hAnsi="Times New Roman"/>
          <w:color w:val="000000"/>
          <w:sz w:val="24"/>
        </w:rPr>
        <w:t>2.2. “</w:t>
      </w:r>
      <w:r>
        <w:rPr>
          <w:rFonts w:ascii="Times New Roman" w:hAnsi="Times New Roman"/>
          <w:b/>
          <w:color w:val="000000"/>
          <w:sz w:val="24"/>
        </w:rPr>
        <w:t>Applicable Laws</w:t>
      </w:r>
      <w:r>
        <w:rPr>
          <w:rFonts w:ascii="Times New Roman" w:hAnsi="Times New Roman"/>
          <w:color w:val="000000"/>
          <w:sz w:val="20"/>
        </w:rPr>
        <w:t xml:space="preserve">” </w:t>
      </w:r>
      <w:r>
        <w:rPr>
          <w:rFonts w:ascii="Times New Roman" w:hAnsi="Times New Roman"/>
          <w:color w:val="000000"/>
          <w:sz w:val="24"/>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2.3. “</w:t>
      </w:r>
      <w:r>
        <w:rPr>
          <w:rFonts w:ascii="Times New Roman" w:hAnsi="Times New Roman"/>
          <w:b/>
          <w:color w:val="000000"/>
          <w:sz w:val="24"/>
        </w:rPr>
        <w:t>Award</w:t>
      </w:r>
      <w:r>
        <w:rPr>
          <w:rFonts w:ascii="Times New Roman" w:hAnsi="Times New Roman"/>
          <w:color w:val="000000"/>
          <w:sz w:val="20"/>
        </w:rPr>
        <w:t xml:space="preserve">” </w:t>
      </w:r>
      <w:r>
        <w:rPr>
          <w:rFonts w:ascii="Times New Roman" w:hAnsi="Times New Roman"/>
          <w:color w:val="000000"/>
          <w:sz w:val="24"/>
        </w:rPr>
        <w:t>means, individually or collectively, a grant under the Plan of Options, Stock Appreciation Rights, Restricted Stock, Restricted Stock Units, or Performance Awards.</w:t>
      </w:r>
    </w:p>
    <w:p>
      <w:pPr>
        <w:pStyle w:val="TextBody"/>
        <w:bidi w:val="0"/>
        <w:spacing w:before="240" w:after="283"/>
        <w:jc w:val="both"/>
        <w:rPr>
          <w:rFonts w:ascii="Times New Roman" w:hAnsi="Times New Roman"/>
          <w:sz w:val="20"/>
        </w:rPr>
      </w:pPr>
      <w:r>
        <w:rPr>
          <w:rFonts w:ascii="Times New Roman" w:hAnsi="Times New Roman"/>
          <w:color w:val="000000"/>
          <w:sz w:val="24"/>
        </w:rPr>
        <w:t>2.4. “</w:t>
      </w:r>
      <w:r>
        <w:rPr>
          <w:rFonts w:ascii="Times New Roman" w:hAnsi="Times New Roman"/>
          <w:b/>
          <w:color w:val="000000"/>
          <w:sz w:val="24"/>
        </w:rPr>
        <w:t>Award Agreement</w:t>
      </w:r>
      <w:r>
        <w:rPr>
          <w:rFonts w:ascii="Times New Roman" w:hAnsi="Times New Roman"/>
          <w:color w:val="000000"/>
          <w:sz w:val="20"/>
        </w:rPr>
        <w:t xml:space="preserve">” </w:t>
      </w:r>
      <w:r>
        <w:rPr>
          <w:rFonts w:ascii="Times New Roman" w:hAnsi="Times New Roman"/>
          <w:color w:val="000000"/>
          <w:sz w:val="24"/>
        </w:rPr>
        <w:t>means the written or electronic agreement setting forth the terms and provisions applicable to each Award granted under the Plan. The Award Agreement is subject to the terms and conditions of the Plan.</w:t>
      </w:r>
    </w:p>
    <w:p>
      <w:pPr>
        <w:pStyle w:val="TextBody"/>
        <w:bidi w:val="0"/>
        <w:spacing w:before="240" w:after="283"/>
        <w:jc w:val="both"/>
        <w:rPr>
          <w:rFonts w:ascii="Times New Roman" w:hAnsi="Times New Roman"/>
          <w:sz w:val="20"/>
        </w:rPr>
      </w:pPr>
      <w:r>
        <w:rPr>
          <w:rFonts w:ascii="Times New Roman" w:hAnsi="Times New Roman"/>
          <w:color w:val="000000"/>
          <w:sz w:val="24"/>
        </w:rPr>
        <w:t>2.5. “</w:t>
      </w:r>
      <w:r>
        <w:rPr>
          <w:rFonts w:ascii="Times New Roman" w:hAnsi="Times New Roman"/>
          <w:b/>
          <w:color w:val="000000"/>
          <w:sz w:val="24"/>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240" w:after="283"/>
        <w:jc w:val="both"/>
        <w:rPr>
          <w:rFonts w:ascii="Times New Roman" w:hAnsi="Times New Roman"/>
          <w:sz w:val="20"/>
        </w:rPr>
      </w:pPr>
      <w:r>
        <w:rPr>
          <w:rFonts w:ascii="Times New Roman" w:hAnsi="Times New Roman"/>
          <w:color w:val="000000"/>
          <w:sz w:val="24"/>
        </w:rPr>
        <w:t>2.6. “</w:t>
      </w:r>
      <w:r>
        <w:rPr>
          <w:rFonts w:ascii="Times New Roman" w:hAnsi="Times New Roman"/>
          <w:b/>
          <w:color w:val="000000"/>
          <w:sz w:val="24"/>
        </w:rPr>
        <w:t>Change in Control</w:t>
      </w:r>
      <w:r>
        <w:rPr>
          <w:rFonts w:ascii="Times New Roman" w:hAnsi="Times New Roman"/>
          <w:color w:val="000000"/>
          <w:sz w:val="20"/>
        </w:rPr>
        <w:t xml:space="preserve">” </w:t>
      </w:r>
      <w:r>
        <w:rPr>
          <w:rFonts w:ascii="Times New Roman" w:hAnsi="Times New Roman"/>
          <w:color w:val="000000"/>
          <w:sz w:val="24"/>
        </w:rPr>
        <w:t>means the occurrence of any of the following events: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Change in Ownership of the Company</w:t>
      </w:r>
      <w:r>
        <w:rPr>
          <w:rFonts w:ascii="Times New Roman" w:hAnsi="Times New Roman"/>
          <w:color w:val="000000"/>
          <w:sz w:val="24"/>
        </w:rPr>
        <w:t>. A change in the ownership of the Company</w:t>
      </w:r>
      <w:r>
        <w:rPr>
          <w:rFonts w:ascii="Times New Roman" w:hAnsi="Times New Roman"/>
          <w:color w:val="000000"/>
          <w:sz w:val="2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b/>
          <w:color w:val="000000"/>
          <w:sz w:val="24"/>
        </w:rPr>
        <w:t>Person</w:t>
      </w:r>
      <w:r>
        <w:rPr>
          <w:rFonts w:ascii="Times New Roman" w:hAnsi="Times New Roman"/>
          <w:color w:val="000000"/>
          <w:sz w:val="20"/>
        </w:rPr>
        <w:t>”</w:t>
      </w:r>
      <w:r>
        <w:rPr>
          <w:rFonts w:ascii="Times New Roman" w:hAnsi="Times New Roman"/>
          <w:color w:val="000000"/>
          <w:sz w:val="24"/>
        </w:rPr>
        <w:t>), acquires ownership of the stock of the Company that, together with the stock held by such Person, constitutes more than fifty percent (50%) of the total voting power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jc w:val="center"/>
        <w:rPr>
          <w:rFonts w:ascii="Times New Roman" w:hAnsi="Times New Roman"/>
          <w:caps/>
          <w:color w:val="000000"/>
          <w:sz w:val="24"/>
        </w:rPr>
      </w:pPr>
      <w:r>
        <w:rPr>
          <w:rFonts w:ascii="Times New Roman" w:hAnsi="Times New Roman"/>
          <w:caps/>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2.6,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sz w:val="20"/>
        </w:rPr>
      </w:pPr>
      <w:r>
        <w:rPr>
          <w:rFonts w:ascii="Times New Roman" w:hAnsi="Times New Roman"/>
          <w:color w:val="000000"/>
          <w:sz w:val="24"/>
        </w:rPr>
        <w:t>2.7. “</w:t>
      </w:r>
      <w:r>
        <w:rPr>
          <w:rFonts w:ascii="Times New Roman" w:hAnsi="Times New Roman"/>
          <w:b/>
          <w:color w:val="000000"/>
          <w:sz w:val="24"/>
        </w:rPr>
        <w:t>Code</w:t>
      </w:r>
      <w:r>
        <w:rPr>
          <w:rFonts w:ascii="Times New Roman" w:hAnsi="Times New Roman"/>
          <w:color w:val="000000"/>
          <w:sz w:val="2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both"/>
        <w:rPr>
          <w:rFonts w:ascii="Times New Roman" w:hAnsi="Times New Roman"/>
          <w:sz w:val="20"/>
        </w:rPr>
      </w:pPr>
      <w:r>
        <w:rPr>
          <w:rFonts w:ascii="Times New Roman" w:hAnsi="Times New Roman"/>
          <w:color w:val="000000"/>
          <w:sz w:val="24"/>
        </w:rPr>
        <w:t>2.8. “</w:t>
      </w:r>
      <w:r>
        <w:rPr>
          <w:rFonts w:ascii="Times New Roman" w:hAnsi="Times New Roman"/>
          <w:b/>
          <w:color w:val="000000"/>
          <w:sz w:val="24"/>
        </w:rPr>
        <w:t>Committee</w:t>
      </w:r>
      <w:r>
        <w:rPr>
          <w:rFonts w:ascii="Times New Roman" w:hAnsi="Times New Roman"/>
          <w:color w:val="000000"/>
          <w:sz w:val="20"/>
        </w:rPr>
        <w:t xml:space="preserve">” </w:t>
      </w:r>
      <w:r>
        <w:rPr>
          <w:rFonts w:ascii="Times New Roman" w:hAnsi="Times New Roman"/>
          <w:color w:val="000000"/>
          <w:sz w:val="24"/>
        </w:rPr>
        <w:t>means a committee of Directors or of other individuals satisfying Applicable Laws appointed by the Board, or by a duly authorized committee of the Board, in accordance with Section 4 hereof.</w:t>
      </w:r>
    </w:p>
    <w:p>
      <w:pPr>
        <w:pStyle w:val="TextBody"/>
        <w:bidi w:val="0"/>
        <w:spacing w:before="240" w:after="283"/>
        <w:jc w:val="both"/>
        <w:rPr>
          <w:rFonts w:ascii="Times New Roman" w:hAnsi="Times New Roman"/>
          <w:sz w:val="20"/>
        </w:rPr>
      </w:pPr>
      <w:r>
        <w:rPr>
          <w:rFonts w:ascii="Times New Roman" w:hAnsi="Times New Roman"/>
          <w:color w:val="000000"/>
          <w:sz w:val="24"/>
        </w:rPr>
        <w:t>2.9. “</w:t>
      </w:r>
      <w:r>
        <w:rPr>
          <w:rFonts w:ascii="Times New Roman" w:hAnsi="Times New Roman"/>
          <w:b/>
          <w:color w:val="000000"/>
          <w:sz w:val="24"/>
        </w:rPr>
        <w:t>Common Stock</w:t>
      </w:r>
      <w:r>
        <w:rPr>
          <w:rFonts w:ascii="Times New Roman" w:hAnsi="Times New Roman"/>
          <w:color w:val="000000"/>
          <w:sz w:val="20"/>
        </w:rPr>
        <w:t xml:space="preserve">” </w:t>
      </w:r>
      <w:r>
        <w:rPr>
          <w:rFonts w:ascii="Times New Roman" w:hAnsi="Times New Roman"/>
          <w:color w:val="000000"/>
          <w:sz w:val="24"/>
        </w:rPr>
        <w:t>means the common stock of the Company.</w:t>
      </w:r>
    </w:p>
    <w:p>
      <w:pPr>
        <w:pStyle w:val="TextBody"/>
        <w:bidi w:val="0"/>
        <w:spacing w:before="240" w:after="283"/>
        <w:jc w:val="both"/>
        <w:rPr>
          <w:rFonts w:ascii="Times New Roman" w:hAnsi="Times New Roman"/>
          <w:sz w:val="20"/>
        </w:rPr>
      </w:pPr>
      <w:r>
        <w:rPr>
          <w:rFonts w:ascii="Times New Roman" w:hAnsi="Times New Roman"/>
          <w:color w:val="000000"/>
          <w:sz w:val="24"/>
        </w:rPr>
        <w:t>2.10. “</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means Palladyne AI Corp., a Delaware corporation, or any successor thereto.</w:t>
      </w:r>
    </w:p>
    <w:p>
      <w:pPr>
        <w:pStyle w:val="TextBody"/>
        <w:bidi w:val="0"/>
        <w:spacing w:before="240" w:after="283"/>
        <w:jc w:val="both"/>
        <w:rPr>
          <w:rFonts w:ascii="Times New Roman" w:hAnsi="Times New Roman"/>
          <w:sz w:val="20"/>
        </w:rPr>
      </w:pPr>
      <w:r>
        <w:rPr>
          <w:rFonts w:ascii="Times New Roman" w:hAnsi="Times New Roman"/>
          <w:color w:val="000000"/>
          <w:sz w:val="24"/>
        </w:rPr>
        <w:t>2.11. “</w:t>
      </w:r>
      <w:r>
        <w:rPr>
          <w:rFonts w:ascii="Times New Roman" w:hAnsi="Times New Roman"/>
          <w:b/>
          <w:color w:val="000000"/>
          <w:sz w:val="24"/>
        </w:rPr>
        <w:t>Consultant</w:t>
      </w:r>
      <w:r>
        <w:rPr>
          <w:rFonts w:ascii="Times New Roman" w:hAnsi="Times New Roman"/>
          <w:color w:val="000000"/>
          <w:sz w:val="20"/>
        </w:rPr>
        <w:t xml:space="preserve">” </w:t>
      </w:r>
      <w:r>
        <w:rPr>
          <w:rFonts w:ascii="Times New Roman" w:hAnsi="Times New Roman"/>
          <w:color w:val="000000"/>
          <w:sz w:val="24"/>
        </w:rPr>
        <w:t>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240" w:after="283"/>
        <w:jc w:val="both"/>
        <w:rPr>
          <w:rFonts w:ascii="Times New Roman" w:hAnsi="Times New Roman"/>
          <w:sz w:val="20"/>
        </w:rPr>
      </w:pPr>
      <w:r>
        <w:rPr>
          <w:rFonts w:ascii="Times New Roman" w:hAnsi="Times New Roman"/>
          <w:color w:val="000000"/>
          <w:sz w:val="24"/>
        </w:rPr>
        <w:t>2.12. “</w:t>
      </w:r>
      <w:r>
        <w:rPr>
          <w:rFonts w:ascii="Times New Roman" w:hAnsi="Times New Roman"/>
          <w:b/>
          <w:color w:val="000000"/>
          <w:sz w:val="24"/>
        </w:rPr>
        <w:t>Director</w:t>
      </w:r>
      <w:r>
        <w:rPr>
          <w:rFonts w:ascii="Times New Roman" w:hAnsi="Times New Roman"/>
          <w:color w:val="000000"/>
          <w:sz w:val="20"/>
        </w:rPr>
        <w:t xml:space="preserve">” </w:t>
      </w:r>
      <w:r>
        <w:rPr>
          <w:rFonts w:ascii="Times New Roman" w:hAnsi="Times New Roman"/>
          <w:color w:val="000000"/>
          <w:sz w:val="24"/>
        </w:rPr>
        <w:t>means a member of the Board.</w:t>
      </w:r>
    </w:p>
    <w:p>
      <w:pPr>
        <w:pStyle w:val="TextBody"/>
        <w:bidi w:val="0"/>
        <w:spacing w:before="240" w:after="283"/>
        <w:jc w:val="both"/>
        <w:rPr>
          <w:rFonts w:ascii="Times New Roman" w:hAnsi="Times New Roman"/>
          <w:sz w:val="20"/>
        </w:rPr>
      </w:pPr>
      <w:r>
        <w:rPr>
          <w:rFonts w:ascii="Times New Roman" w:hAnsi="Times New Roman"/>
          <w:color w:val="000000"/>
          <w:sz w:val="24"/>
        </w:rPr>
        <w:t>2.13. “</w:t>
      </w:r>
      <w:r>
        <w:rPr>
          <w:rFonts w:ascii="Times New Roman" w:hAnsi="Times New Roman"/>
          <w:b/>
          <w:color w:val="000000"/>
          <w:sz w:val="24"/>
        </w:rPr>
        <w:t>Disability</w:t>
      </w:r>
      <w:r>
        <w:rPr>
          <w:rFonts w:ascii="Times New Roman" w:hAnsi="Times New Roman"/>
          <w:color w:val="000000"/>
          <w:sz w:val="20"/>
        </w:rPr>
        <w:t xml:space="preserve">” </w:t>
      </w:r>
      <w:r>
        <w:rPr>
          <w:rFonts w:ascii="Times New Roman" w:hAnsi="Times New Roman"/>
          <w:color w:val="000000"/>
          <w:sz w:val="24"/>
        </w:rPr>
        <w:t>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2.14. “</w:t>
      </w:r>
      <w:r>
        <w:rPr>
          <w:rFonts w:ascii="Times New Roman" w:hAnsi="Times New Roman"/>
          <w:b/>
          <w:color w:val="000000"/>
          <w:sz w:val="24"/>
        </w:rPr>
        <w:t>Effective Date</w:t>
      </w:r>
      <w:r>
        <w:rPr>
          <w:rFonts w:ascii="Times New Roman" w:hAnsi="Times New Roman"/>
          <w:color w:val="000000"/>
          <w:sz w:val="20"/>
        </w:rPr>
        <w:t xml:space="preserve">” </w:t>
      </w:r>
      <w:r>
        <w:rPr>
          <w:rFonts w:ascii="Times New Roman" w:hAnsi="Times New Roman"/>
          <w:color w:val="000000"/>
          <w:sz w:val="24"/>
        </w:rPr>
        <w:t>means the date of the consummation of the merger by and between the Company, Sarcos Corp., and certain other parties, pursuant to that certain Agreement and Plan of Merger dated April 5, 2021 (such merger, the “</w:t>
      </w:r>
      <w:r>
        <w:rPr>
          <w:rFonts w:ascii="Times New Roman" w:hAnsi="Times New Roman"/>
          <w:b/>
          <w:color w:val="000000"/>
          <w:sz w:val="24"/>
        </w:rPr>
        <w:t>Merger</w:t>
      </w:r>
      <w:r>
        <w:rPr>
          <w:rFonts w:ascii="Times New Roman" w:hAnsi="Times New Roman"/>
          <w:color w:val="000000"/>
          <w:sz w:val="20"/>
        </w:rPr>
        <w:t>”</w:t>
      </w:r>
      <w:r>
        <w:rPr>
          <w:rFonts w:ascii="Times New Roman" w:hAnsi="Times New Roman"/>
          <w:color w:val="000000"/>
          <w:sz w:val="24"/>
        </w:rPr>
        <w:t>).</w:t>
      </w:r>
    </w:p>
    <w:p>
      <w:pPr>
        <w:pStyle w:val="TextBody"/>
        <w:bidi w:val="0"/>
        <w:jc w:val="center"/>
        <w:rPr>
          <w:rFonts w:ascii="Times New Roman" w:hAnsi="Times New Roman"/>
          <w:caps/>
          <w:color w:val="000000"/>
          <w:sz w:val="24"/>
        </w:rPr>
      </w:pPr>
      <w:r>
        <w:rPr>
          <w:rFonts w:ascii="Times New Roman" w:hAnsi="Times New Roman"/>
          <w:caps/>
          <w:color w:val="000000"/>
          <w:sz w:val="24"/>
        </w:rPr>
        <w:t>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2.15. “</w:t>
      </w:r>
      <w:r>
        <w:rPr>
          <w:rFonts w:ascii="Times New Roman" w:hAnsi="Times New Roman"/>
          <w:b/>
          <w:color w:val="000000"/>
          <w:sz w:val="24"/>
        </w:rPr>
        <w:t>Employee</w:t>
      </w:r>
      <w:r>
        <w:rPr>
          <w:rFonts w:ascii="Times New Roman" w:hAnsi="Times New Roman"/>
          <w:color w:val="000000"/>
          <w:sz w:val="20"/>
        </w:rPr>
        <w:t xml:space="preserve">” </w:t>
      </w:r>
      <w:r>
        <w:rPr>
          <w:rFonts w:ascii="Times New Roman" w:hAnsi="Times New Roman"/>
          <w:color w:val="000000"/>
          <w:sz w:val="24"/>
        </w:rPr>
        <w:t>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240" w:after="283"/>
        <w:jc w:val="both"/>
        <w:rPr>
          <w:rFonts w:ascii="Times New Roman" w:hAnsi="Times New Roman"/>
          <w:sz w:val="20"/>
        </w:rPr>
      </w:pPr>
      <w:r>
        <w:rPr>
          <w:rFonts w:ascii="Times New Roman" w:hAnsi="Times New Roman"/>
          <w:color w:val="000000"/>
          <w:sz w:val="24"/>
        </w:rPr>
        <w:t>2.16. “</w:t>
      </w:r>
      <w:r>
        <w:rPr>
          <w:rFonts w:ascii="Times New Roman" w:hAnsi="Times New Roman"/>
          <w:b/>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both"/>
        <w:rPr>
          <w:rFonts w:ascii="Times New Roman" w:hAnsi="Times New Roman"/>
          <w:sz w:val="20"/>
        </w:rPr>
      </w:pPr>
      <w:r>
        <w:rPr>
          <w:rFonts w:ascii="Times New Roman" w:hAnsi="Times New Roman"/>
          <w:color w:val="000000"/>
          <w:sz w:val="24"/>
        </w:rPr>
        <w:t>2.17. “</w:t>
      </w:r>
      <w:r>
        <w:rPr>
          <w:rFonts w:ascii="Times New Roman" w:hAnsi="Times New Roman"/>
          <w:b/>
          <w:color w:val="000000"/>
          <w:sz w:val="24"/>
        </w:rPr>
        <w:t>Exchange Program</w:t>
      </w:r>
      <w:r>
        <w:rPr>
          <w:rFonts w:ascii="Times New Roman" w:hAnsi="Times New Roman"/>
          <w:color w:val="000000"/>
          <w:sz w:val="20"/>
        </w:rPr>
        <w:t xml:space="preserve">” </w:t>
      </w:r>
      <w:r>
        <w:rPr>
          <w:rFonts w:ascii="Times New Roman" w:hAnsi="Times New Roman"/>
          <w:color w:val="000000"/>
          <w:sz w:val="24"/>
        </w:rPr>
        <w:t>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pStyle w:val="TextBody"/>
        <w:bidi w:val="0"/>
        <w:spacing w:before="240" w:after="283"/>
        <w:jc w:val="both"/>
        <w:rPr>
          <w:rFonts w:ascii="Times New Roman" w:hAnsi="Times New Roman"/>
          <w:sz w:val="20"/>
        </w:rPr>
      </w:pPr>
      <w:r>
        <w:rPr>
          <w:rFonts w:ascii="Times New Roman" w:hAnsi="Times New Roman"/>
          <w:color w:val="000000"/>
          <w:sz w:val="24"/>
        </w:rPr>
        <w:t>2.18. “</w:t>
      </w:r>
      <w:r>
        <w:rPr>
          <w:rFonts w:ascii="Times New Roman" w:hAnsi="Times New Roman"/>
          <w:b/>
          <w:color w:val="000000"/>
          <w:sz w:val="24"/>
        </w:rPr>
        <w:t>Fair Market Value</w:t>
      </w:r>
      <w:r>
        <w:rPr>
          <w:rFonts w:ascii="Times New Roman" w:hAnsi="Times New Roman"/>
          <w:color w:val="000000"/>
          <w:sz w:val="20"/>
        </w:rPr>
        <w:t xml:space="preserve">” </w:t>
      </w:r>
      <w:r>
        <w:rPr>
          <w:rFonts w:ascii="Times New Roman" w:hAnsi="Times New Roman"/>
          <w:color w:val="000000"/>
          <w:sz w:val="24"/>
        </w:rPr>
        <w:t>means, as of any date and unless the Administrator determines otherwise, the value of Common Stock determined as follows: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rFonts w:ascii="Times New Roman" w:hAnsi="Times New Roman"/>
          <w:color w:val="000000"/>
          <w:sz w:val="20"/>
        </w:rPr>
        <w:t xml:space="preserve"> </w:t>
      </w:r>
      <w:r>
        <w:rPr>
          <w:rFonts w:ascii="Times New Roman" w:hAnsi="Times New Roman"/>
          <w:color w:val="000000"/>
          <w:sz w:val="24"/>
        </w:rPr>
        <w:t>or such other source as the Administrator deems reliable;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color w:val="000000"/>
          <w:sz w:val="24"/>
        </w:rPr>
        <w:t>The Wall Street Journal</w:t>
      </w:r>
      <w:r>
        <w:rPr>
          <w:rFonts w:ascii="Times New Roman" w:hAnsi="Times New Roman"/>
          <w:color w:val="000000"/>
          <w:sz w:val="20"/>
        </w:rPr>
        <w:t xml:space="preserve"> </w:t>
      </w:r>
      <w:r>
        <w:rPr>
          <w:rFonts w:ascii="Times New Roman" w:hAnsi="Times New Roman"/>
          <w:color w:val="000000"/>
          <w:sz w:val="24"/>
        </w:rPr>
        <w:t>or such other source as the Administrator deems reliable;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In the absence of an established market for the Common Stock, the Fair Market Value will be determined in good faith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pStyle w:val="TextBody"/>
        <w:bidi w:val="0"/>
        <w:jc w:val="center"/>
        <w:rPr>
          <w:rFonts w:ascii="Times New Roman" w:hAnsi="Times New Roman"/>
          <w:caps/>
          <w:color w:val="000000"/>
          <w:sz w:val="24"/>
        </w:rPr>
      </w:pPr>
      <w:r>
        <w:rPr>
          <w:rFonts w:ascii="Times New Roman" w:hAnsi="Times New Roman"/>
          <w:caps/>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2.19. “</w:t>
      </w:r>
      <w:r>
        <w:rPr>
          <w:rFonts w:ascii="Times New Roman" w:hAnsi="Times New Roman"/>
          <w:b/>
          <w:color w:val="000000"/>
          <w:sz w:val="24"/>
        </w:rPr>
        <w:t>Fiscal Year</w:t>
      </w:r>
      <w:r>
        <w:rPr>
          <w:rFonts w:ascii="Times New Roman" w:hAnsi="Times New Roman"/>
          <w:color w:val="000000"/>
          <w:sz w:val="20"/>
        </w:rPr>
        <w:t xml:space="preserve">” </w:t>
      </w:r>
      <w:r>
        <w:rPr>
          <w:rFonts w:ascii="Times New Roman" w:hAnsi="Times New Roman"/>
          <w:color w:val="000000"/>
          <w:sz w:val="24"/>
        </w:rPr>
        <w:t>means the fiscal year of the Company.</w:t>
      </w:r>
    </w:p>
    <w:p>
      <w:pPr>
        <w:pStyle w:val="TextBody"/>
        <w:bidi w:val="0"/>
        <w:spacing w:before="240" w:after="283"/>
        <w:jc w:val="both"/>
        <w:rPr>
          <w:rFonts w:ascii="Times New Roman" w:hAnsi="Times New Roman"/>
          <w:sz w:val="20"/>
        </w:rPr>
      </w:pPr>
      <w:r>
        <w:rPr>
          <w:rFonts w:ascii="Times New Roman" w:hAnsi="Times New Roman"/>
          <w:color w:val="000000"/>
          <w:sz w:val="24"/>
        </w:rPr>
        <w:t>2.20. “</w:t>
      </w:r>
      <w:r>
        <w:rPr>
          <w:rFonts w:ascii="Times New Roman" w:hAnsi="Times New Roman"/>
          <w:b/>
          <w:color w:val="000000"/>
          <w:sz w:val="24"/>
        </w:rPr>
        <w:t>Incentive Stock Option</w:t>
      </w:r>
      <w:r>
        <w:rPr>
          <w:rFonts w:ascii="Times New Roman" w:hAnsi="Times New Roman"/>
          <w:color w:val="000000"/>
          <w:sz w:val="20"/>
        </w:rPr>
        <w:t xml:space="preserve">” </w:t>
      </w:r>
      <w:r>
        <w:rPr>
          <w:rFonts w:ascii="Times New Roman" w:hAnsi="Times New Roman"/>
          <w:color w:val="000000"/>
          <w:sz w:val="24"/>
        </w:rPr>
        <w:t>means an Option that by its terms qualifies and is otherwise intended to qualify as an incentive stock option within the meaning of Code Section 422 and the regulations promulgated thereunder.</w:t>
      </w:r>
    </w:p>
    <w:p>
      <w:pPr>
        <w:pStyle w:val="TextBody"/>
        <w:bidi w:val="0"/>
        <w:spacing w:before="240" w:after="283"/>
        <w:jc w:val="both"/>
        <w:rPr>
          <w:rFonts w:ascii="Times New Roman" w:hAnsi="Times New Roman"/>
          <w:sz w:val="20"/>
        </w:rPr>
      </w:pPr>
      <w:r>
        <w:rPr>
          <w:rFonts w:ascii="Times New Roman" w:hAnsi="Times New Roman"/>
          <w:color w:val="000000"/>
          <w:sz w:val="24"/>
        </w:rPr>
        <w:t>2.21. “</w:t>
      </w:r>
      <w:r>
        <w:rPr>
          <w:rFonts w:ascii="Times New Roman" w:hAnsi="Times New Roman"/>
          <w:b/>
          <w:color w:val="000000"/>
          <w:sz w:val="24"/>
        </w:rPr>
        <w:t>Inside Director</w:t>
      </w:r>
      <w:r>
        <w:rPr>
          <w:rFonts w:ascii="Times New Roman" w:hAnsi="Times New Roman"/>
          <w:color w:val="000000"/>
          <w:sz w:val="20"/>
        </w:rPr>
        <w:t xml:space="preserve">” </w:t>
      </w:r>
      <w:r>
        <w:rPr>
          <w:rFonts w:ascii="Times New Roman" w:hAnsi="Times New Roman"/>
          <w:color w:val="000000"/>
          <w:sz w:val="24"/>
        </w:rPr>
        <w:t>means a Director who is an Employee.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2.22. “</w:t>
      </w:r>
      <w:r>
        <w:rPr>
          <w:rFonts w:ascii="Times New Roman" w:hAnsi="Times New Roman"/>
          <w:b/>
          <w:color w:val="000000"/>
          <w:sz w:val="24"/>
        </w:rPr>
        <w:t>Nonstatutory Stock Option</w:t>
      </w:r>
      <w:r>
        <w:rPr>
          <w:rFonts w:ascii="Times New Roman" w:hAnsi="Times New Roman"/>
          <w:color w:val="000000"/>
          <w:sz w:val="20"/>
        </w:rPr>
        <w:t xml:space="preserve">” </w:t>
      </w:r>
      <w:r>
        <w:rPr>
          <w:rFonts w:ascii="Times New Roman" w:hAnsi="Times New Roman"/>
          <w:color w:val="000000"/>
          <w:sz w:val="24"/>
        </w:rPr>
        <w:t>means an Option that by its terms does not qualify or is not intended to qualify as an Incentive Stock Option.</w:t>
      </w:r>
    </w:p>
    <w:p>
      <w:pPr>
        <w:pStyle w:val="TextBody"/>
        <w:bidi w:val="0"/>
        <w:spacing w:before="240" w:after="283"/>
        <w:jc w:val="both"/>
        <w:rPr>
          <w:rFonts w:ascii="Times New Roman" w:hAnsi="Times New Roman"/>
          <w:sz w:val="20"/>
        </w:rPr>
      </w:pPr>
      <w:r>
        <w:rPr>
          <w:rFonts w:ascii="Times New Roman" w:hAnsi="Times New Roman"/>
          <w:color w:val="000000"/>
          <w:sz w:val="24"/>
        </w:rPr>
        <w:t>2.23. “</w:t>
      </w:r>
      <w:r>
        <w:rPr>
          <w:rFonts w:ascii="Times New Roman" w:hAnsi="Times New Roman"/>
          <w:b/>
          <w:color w:val="000000"/>
          <w:sz w:val="24"/>
        </w:rPr>
        <w:t>Officer</w:t>
      </w:r>
      <w:r>
        <w:rPr>
          <w:rFonts w:ascii="Times New Roman" w:hAnsi="Times New Roman"/>
          <w:color w:val="000000"/>
          <w:sz w:val="20"/>
        </w:rPr>
        <w:t xml:space="preserve">” </w:t>
      </w:r>
      <w:r>
        <w:rPr>
          <w:rFonts w:ascii="Times New Roman" w:hAnsi="Times New Roman"/>
          <w:color w:val="000000"/>
          <w:sz w:val="24"/>
        </w:rPr>
        <w:t>means a person who is an officer of the Company within the meaning of Section 16 of the Exchange Act and the rules and regulations promulgated thereunder.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2.24. “</w:t>
      </w:r>
      <w:r>
        <w:rPr>
          <w:rFonts w:ascii="Times New Roman" w:hAnsi="Times New Roman"/>
          <w:b/>
          <w:color w:val="000000"/>
          <w:sz w:val="24"/>
        </w:rPr>
        <w:t>Option</w:t>
      </w:r>
      <w:r>
        <w:rPr>
          <w:rFonts w:ascii="Times New Roman" w:hAnsi="Times New Roman"/>
          <w:color w:val="000000"/>
          <w:sz w:val="20"/>
        </w:rPr>
        <w:t xml:space="preserve">” </w:t>
      </w:r>
      <w:r>
        <w:rPr>
          <w:rFonts w:ascii="Times New Roman" w:hAnsi="Times New Roman"/>
          <w:color w:val="000000"/>
          <w:sz w:val="24"/>
        </w:rPr>
        <w:t>means a stock option granted pursuant to the Plan.</w:t>
      </w:r>
    </w:p>
    <w:p>
      <w:pPr>
        <w:pStyle w:val="TextBody"/>
        <w:bidi w:val="0"/>
        <w:spacing w:before="240" w:after="283"/>
        <w:jc w:val="both"/>
        <w:rPr>
          <w:rFonts w:ascii="Times New Roman" w:hAnsi="Times New Roman"/>
          <w:sz w:val="20"/>
        </w:rPr>
      </w:pPr>
      <w:r>
        <w:rPr>
          <w:rFonts w:ascii="Times New Roman" w:hAnsi="Times New Roman"/>
          <w:color w:val="000000"/>
          <w:sz w:val="24"/>
        </w:rPr>
        <w:t>2.25. “</w:t>
      </w:r>
      <w:r>
        <w:rPr>
          <w:rFonts w:ascii="Times New Roman" w:hAnsi="Times New Roman"/>
          <w:b/>
          <w:color w:val="000000"/>
          <w:sz w:val="24"/>
        </w:rPr>
        <w:t>Outside Director</w:t>
      </w:r>
      <w:r>
        <w:rPr>
          <w:rFonts w:ascii="Times New Roman" w:hAnsi="Times New Roman"/>
          <w:color w:val="000000"/>
          <w:sz w:val="20"/>
        </w:rPr>
        <w:t xml:space="preserve">” </w:t>
      </w:r>
      <w:r>
        <w:rPr>
          <w:rFonts w:ascii="Times New Roman" w:hAnsi="Times New Roman"/>
          <w:color w:val="000000"/>
          <w:sz w:val="24"/>
        </w:rPr>
        <w:t>means a Director who is not an Employee.</w:t>
      </w:r>
    </w:p>
    <w:p>
      <w:pPr>
        <w:pStyle w:val="TextBody"/>
        <w:bidi w:val="0"/>
        <w:spacing w:before="240" w:after="283"/>
        <w:jc w:val="both"/>
        <w:rPr>
          <w:rFonts w:ascii="Times New Roman" w:hAnsi="Times New Roman"/>
          <w:sz w:val="20"/>
        </w:rPr>
      </w:pPr>
      <w:r>
        <w:rPr>
          <w:rFonts w:ascii="Times New Roman" w:hAnsi="Times New Roman"/>
          <w:color w:val="000000"/>
          <w:sz w:val="24"/>
        </w:rPr>
        <w:t>2.26. “</w:t>
      </w:r>
      <w:r>
        <w:rPr>
          <w:rFonts w:ascii="Times New Roman" w:hAnsi="Times New Roman"/>
          <w:b/>
          <w:color w:val="000000"/>
          <w:sz w:val="24"/>
        </w:rPr>
        <w:t>Parent</w:t>
      </w:r>
      <w:r>
        <w:rPr>
          <w:rFonts w:ascii="Times New Roman" w:hAnsi="Times New Roman"/>
          <w:color w:val="000000"/>
          <w:sz w:val="20"/>
        </w:rPr>
        <w:t xml:space="preserve">” </w:t>
      </w:r>
      <w:r>
        <w:rPr>
          <w:rFonts w:ascii="Times New Roman" w:hAnsi="Times New Roman"/>
          <w:color w:val="000000"/>
          <w:sz w:val="24"/>
        </w:rPr>
        <w:t>means a “parent corporation,” whether now or hereafter existing, as defined in Code Section 424(e).</w:t>
      </w:r>
    </w:p>
    <w:p>
      <w:pPr>
        <w:pStyle w:val="TextBody"/>
        <w:bidi w:val="0"/>
        <w:spacing w:before="240" w:after="283"/>
        <w:jc w:val="both"/>
        <w:rPr>
          <w:rFonts w:ascii="Times New Roman" w:hAnsi="Times New Roman"/>
          <w:sz w:val="20"/>
        </w:rPr>
      </w:pPr>
      <w:r>
        <w:rPr>
          <w:rFonts w:ascii="Times New Roman" w:hAnsi="Times New Roman"/>
          <w:color w:val="000000"/>
          <w:sz w:val="24"/>
        </w:rPr>
        <w:t>2.27. “</w:t>
      </w:r>
      <w:r>
        <w:rPr>
          <w:rFonts w:ascii="Times New Roman" w:hAnsi="Times New Roman"/>
          <w:b/>
          <w:color w:val="000000"/>
          <w:sz w:val="24"/>
        </w:rPr>
        <w:t>Participant</w:t>
      </w:r>
      <w:r>
        <w:rPr>
          <w:rFonts w:ascii="Times New Roman" w:hAnsi="Times New Roman"/>
          <w:color w:val="000000"/>
          <w:sz w:val="20"/>
        </w:rPr>
        <w:t xml:space="preserve">” </w:t>
      </w:r>
      <w:r>
        <w:rPr>
          <w:rFonts w:ascii="Times New Roman" w:hAnsi="Times New Roman"/>
          <w:color w:val="000000"/>
          <w:sz w:val="24"/>
        </w:rPr>
        <w:t>means the holder of an outstanding Award.</w:t>
      </w:r>
    </w:p>
    <w:p>
      <w:pPr>
        <w:pStyle w:val="TextBody"/>
        <w:bidi w:val="0"/>
        <w:spacing w:before="240" w:after="283"/>
        <w:jc w:val="both"/>
        <w:rPr>
          <w:rFonts w:ascii="Times New Roman" w:hAnsi="Times New Roman"/>
          <w:sz w:val="20"/>
        </w:rPr>
      </w:pPr>
      <w:r>
        <w:rPr>
          <w:rFonts w:ascii="Times New Roman" w:hAnsi="Times New Roman"/>
          <w:color w:val="000000"/>
          <w:sz w:val="24"/>
        </w:rPr>
        <w:t>2.28. “</w:t>
      </w:r>
      <w:r>
        <w:rPr>
          <w:rFonts w:ascii="Times New Roman" w:hAnsi="Times New Roman"/>
          <w:b/>
          <w:color w:val="000000"/>
          <w:sz w:val="24"/>
        </w:rPr>
        <w:t>Performance Awards</w:t>
      </w:r>
      <w:r>
        <w:rPr>
          <w:rFonts w:ascii="Times New Roman" w:hAnsi="Times New Roman"/>
          <w:color w:val="000000"/>
          <w:sz w:val="20"/>
        </w:rPr>
        <w:t xml:space="preserve">” </w:t>
      </w:r>
      <w:r>
        <w:rPr>
          <w:rFonts w:ascii="Times New Roman" w:hAnsi="Times New Roman"/>
          <w:color w:val="000000"/>
          <w:sz w:val="24"/>
        </w:rPr>
        <w:t>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pStyle w:val="TextBody"/>
        <w:bidi w:val="0"/>
        <w:spacing w:before="240" w:after="283"/>
        <w:jc w:val="both"/>
        <w:rPr>
          <w:rFonts w:ascii="Times New Roman" w:hAnsi="Times New Roman"/>
          <w:sz w:val="20"/>
        </w:rPr>
      </w:pPr>
      <w:r>
        <w:rPr>
          <w:rFonts w:ascii="Times New Roman" w:hAnsi="Times New Roman"/>
          <w:color w:val="000000"/>
          <w:sz w:val="24"/>
        </w:rPr>
        <w:t>2.29. “</w:t>
      </w:r>
      <w:r>
        <w:rPr>
          <w:rFonts w:ascii="Times New Roman" w:hAnsi="Times New Roman"/>
          <w:b/>
          <w:color w:val="000000"/>
          <w:sz w:val="24"/>
        </w:rPr>
        <w:t>Performance Period</w:t>
      </w:r>
      <w:r>
        <w:rPr>
          <w:rFonts w:ascii="Times New Roman" w:hAnsi="Times New Roman"/>
          <w:color w:val="000000"/>
          <w:sz w:val="20"/>
        </w:rPr>
        <w:t xml:space="preserve">” </w:t>
      </w:r>
      <w:r>
        <w:rPr>
          <w:rFonts w:ascii="Times New Roman" w:hAnsi="Times New Roman"/>
          <w:color w:val="000000"/>
          <w:sz w:val="24"/>
        </w:rPr>
        <w:t>means Performance Period as defined in Section 10.1.</w:t>
      </w:r>
    </w:p>
    <w:p>
      <w:pPr>
        <w:pStyle w:val="TextBody"/>
        <w:bidi w:val="0"/>
        <w:spacing w:before="240" w:after="283"/>
        <w:jc w:val="both"/>
        <w:rPr>
          <w:rFonts w:ascii="Times New Roman" w:hAnsi="Times New Roman"/>
          <w:sz w:val="20"/>
        </w:rPr>
      </w:pPr>
      <w:r>
        <w:rPr>
          <w:rFonts w:ascii="Times New Roman" w:hAnsi="Times New Roman"/>
          <w:color w:val="000000"/>
          <w:sz w:val="24"/>
        </w:rPr>
        <w:t>2.30. “</w:t>
      </w:r>
      <w:r>
        <w:rPr>
          <w:rFonts w:ascii="Times New Roman" w:hAnsi="Times New Roman"/>
          <w:b/>
          <w:color w:val="000000"/>
          <w:sz w:val="24"/>
        </w:rPr>
        <w:t>Period of Restriction</w:t>
      </w:r>
      <w:r>
        <w:rPr>
          <w:rFonts w:ascii="Times New Roman" w:hAnsi="Times New Roman"/>
          <w:color w:val="000000"/>
          <w:sz w:val="20"/>
        </w:rPr>
        <w:t xml:space="preserve">” </w:t>
      </w:r>
      <w:r>
        <w:rPr>
          <w:rFonts w:ascii="Times New Roman" w:hAnsi="Times New Roman"/>
          <w:color w:val="000000"/>
          <w:sz w:val="24"/>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240" w:after="283"/>
        <w:jc w:val="both"/>
        <w:rPr>
          <w:rFonts w:ascii="Times New Roman" w:hAnsi="Times New Roman"/>
          <w:sz w:val="20"/>
        </w:rPr>
      </w:pPr>
      <w:r>
        <w:rPr>
          <w:rFonts w:ascii="Times New Roman" w:hAnsi="Times New Roman"/>
          <w:color w:val="000000"/>
          <w:sz w:val="24"/>
        </w:rPr>
        <w:t>2.31. “</w:t>
      </w:r>
      <w:r>
        <w:rPr>
          <w:rFonts w:ascii="Times New Roman" w:hAnsi="Times New Roman"/>
          <w:b/>
          <w:color w:val="000000"/>
          <w:sz w:val="24"/>
        </w:rPr>
        <w:t>Plan</w:t>
      </w:r>
      <w:r>
        <w:rPr>
          <w:rFonts w:ascii="Times New Roman" w:hAnsi="Times New Roman"/>
          <w:color w:val="000000"/>
          <w:sz w:val="20"/>
        </w:rPr>
        <w:t xml:space="preserve">” </w:t>
      </w:r>
      <w:r>
        <w:rPr>
          <w:rFonts w:ascii="Times New Roman" w:hAnsi="Times New Roman"/>
          <w:color w:val="000000"/>
          <w:sz w:val="24"/>
        </w:rPr>
        <w:t>means this Amended and Restated 2021 Equity Incentive Plan, as may be amended from time to time.</w:t>
      </w:r>
    </w:p>
    <w:p>
      <w:pPr>
        <w:pStyle w:val="TextBody"/>
        <w:bidi w:val="0"/>
        <w:spacing w:before="240" w:after="283"/>
        <w:jc w:val="both"/>
        <w:rPr>
          <w:rFonts w:ascii="Times New Roman" w:hAnsi="Times New Roman"/>
          <w:sz w:val="20"/>
        </w:rPr>
      </w:pPr>
      <w:r>
        <w:rPr>
          <w:rFonts w:ascii="Times New Roman" w:hAnsi="Times New Roman"/>
          <w:color w:val="000000"/>
          <w:sz w:val="24"/>
        </w:rPr>
        <w:t>2.32. “</w:t>
      </w:r>
      <w:r>
        <w:rPr>
          <w:rFonts w:ascii="Times New Roman" w:hAnsi="Times New Roman"/>
          <w:b/>
          <w:color w:val="000000"/>
          <w:sz w:val="24"/>
        </w:rPr>
        <w:t>Restricted Stock</w:t>
      </w:r>
      <w:r>
        <w:rPr>
          <w:rFonts w:ascii="Times New Roman" w:hAnsi="Times New Roman"/>
          <w:color w:val="000000"/>
          <w:sz w:val="20"/>
        </w:rPr>
        <w:t xml:space="preserve">” </w:t>
      </w:r>
      <w:r>
        <w:rPr>
          <w:rFonts w:ascii="Times New Roman" w:hAnsi="Times New Roman"/>
          <w:color w:val="000000"/>
          <w:sz w:val="24"/>
        </w:rPr>
        <w:t>means Shares issued pursuant to an Award of Restricted Stock under Section 8 of the Plan, or issued pursuant to the early exercise of an Option.</w:t>
      </w:r>
    </w:p>
    <w:p>
      <w:pPr>
        <w:pStyle w:val="TextBody"/>
        <w:bidi w:val="0"/>
        <w:spacing w:before="240" w:after="283"/>
        <w:jc w:val="both"/>
        <w:rPr>
          <w:rFonts w:ascii="Times New Roman" w:hAnsi="Times New Roman"/>
          <w:sz w:val="20"/>
        </w:rPr>
      </w:pPr>
      <w:r>
        <w:rPr>
          <w:rFonts w:ascii="Times New Roman" w:hAnsi="Times New Roman"/>
          <w:color w:val="000000"/>
          <w:sz w:val="24"/>
        </w:rPr>
        <w:t>2.33. “</w:t>
      </w:r>
      <w:r>
        <w:rPr>
          <w:rFonts w:ascii="Times New Roman" w:hAnsi="Times New Roman"/>
          <w:b/>
          <w:color w:val="000000"/>
          <w:sz w:val="24"/>
        </w:rPr>
        <w:t>Restricted Stock Unit</w:t>
      </w:r>
      <w:r>
        <w:rPr>
          <w:rFonts w:ascii="Times New Roman" w:hAnsi="Times New Roman"/>
          <w:color w:val="000000"/>
          <w:sz w:val="20"/>
        </w:rPr>
        <w:t xml:space="preserve">” </w:t>
      </w:r>
      <w:r>
        <w:rPr>
          <w:rFonts w:ascii="Times New Roman" w:hAnsi="Times New Roman"/>
          <w:color w:val="000000"/>
          <w:sz w:val="24"/>
        </w:rPr>
        <w:t>means a bookkeeping entry representing an amount equal to the Fair Market Value of one Share, granted pursuant to Section 9. Each Restricted Stock Unit represents an unfunded and unsecured obligation of the Company.</w:t>
      </w:r>
    </w:p>
    <w:p>
      <w:pPr>
        <w:pStyle w:val="TextBody"/>
        <w:bidi w:val="0"/>
        <w:jc w:val="center"/>
        <w:rPr>
          <w:rFonts w:ascii="Times New Roman" w:hAnsi="Times New Roman"/>
          <w:caps/>
          <w:color w:val="000000"/>
          <w:sz w:val="24"/>
        </w:rPr>
      </w:pPr>
      <w:r>
        <w:rPr>
          <w:rFonts w:ascii="Times New Roman" w:hAnsi="Times New Roman"/>
          <w:caps/>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2.34. “</w:t>
      </w:r>
      <w:r>
        <w:rPr>
          <w:rFonts w:ascii="Times New Roman" w:hAnsi="Times New Roman"/>
          <w:b/>
          <w:color w:val="000000"/>
          <w:sz w:val="24"/>
        </w:rPr>
        <w:t>Rule 16b</w:t>
        <w:noBreakHyphen/>
        <w:t>3</w:t>
      </w:r>
      <w:r>
        <w:rPr>
          <w:rFonts w:ascii="Times New Roman" w:hAnsi="Times New Roman"/>
          <w:color w:val="000000"/>
          <w:sz w:val="20"/>
        </w:rPr>
        <w:t xml:space="preserve">” </w:t>
      </w:r>
      <w:r>
        <w:rPr>
          <w:rFonts w:ascii="Times New Roman" w:hAnsi="Times New Roman"/>
          <w:color w:val="000000"/>
          <w:sz w:val="24"/>
        </w:rPr>
        <w:t>means Rule 16b</w:t>
        <w:noBreakHyphen/>
        <w:t>3 of the Exchange Act or any successor to Rule 16b</w:t>
        <w:noBreakHyphen/>
        <w:t>3, as in effect when discretion is being exercised with respect to the Plan.</w:t>
      </w:r>
    </w:p>
    <w:p>
      <w:pPr>
        <w:pStyle w:val="TextBody"/>
        <w:bidi w:val="0"/>
        <w:spacing w:before="240" w:after="283"/>
        <w:jc w:val="both"/>
        <w:rPr>
          <w:rFonts w:ascii="Times New Roman" w:hAnsi="Times New Roman"/>
          <w:sz w:val="20"/>
        </w:rPr>
      </w:pPr>
      <w:r>
        <w:rPr>
          <w:rFonts w:ascii="Times New Roman" w:hAnsi="Times New Roman"/>
          <w:color w:val="000000"/>
          <w:sz w:val="24"/>
        </w:rPr>
        <w:t>2.35. “</w:t>
      </w:r>
      <w:r>
        <w:rPr>
          <w:rFonts w:ascii="Times New Roman" w:hAnsi="Times New Roman"/>
          <w:b/>
          <w:color w:val="000000"/>
          <w:sz w:val="24"/>
        </w:rPr>
        <w:t>Section 16b</w:t>
      </w:r>
      <w:r>
        <w:rPr>
          <w:rFonts w:ascii="Times New Roman" w:hAnsi="Times New Roman"/>
          <w:color w:val="000000"/>
          <w:sz w:val="20"/>
        </w:rPr>
        <w:t xml:space="preserve">” </w:t>
      </w:r>
      <w:r>
        <w:rPr>
          <w:rFonts w:ascii="Times New Roman" w:hAnsi="Times New Roman"/>
          <w:color w:val="000000"/>
          <w:sz w:val="24"/>
        </w:rPr>
        <w:t>means Section 16(b) of the Exchange Act.</w:t>
      </w:r>
    </w:p>
    <w:p>
      <w:pPr>
        <w:pStyle w:val="TextBody"/>
        <w:bidi w:val="0"/>
        <w:spacing w:before="240" w:after="283"/>
        <w:jc w:val="both"/>
        <w:rPr>
          <w:rFonts w:ascii="Times New Roman" w:hAnsi="Times New Roman"/>
          <w:sz w:val="20"/>
        </w:rPr>
      </w:pPr>
      <w:r>
        <w:rPr>
          <w:rFonts w:ascii="Times New Roman" w:hAnsi="Times New Roman"/>
          <w:color w:val="000000"/>
          <w:sz w:val="24"/>
        </w:rPr>
        <w:t>2.36. “</w:t>
      </w:r>
      <w:r>
        <w:rPr>
          <w:rFonts w:ascii="Times New Roman" w:hAnsi="Times New Roman"/>
          <w:b/>
          <w:color w:val="000000"/>
          <w:sz w:val="24"/>
        </w:rPr>
        <w:t>Section 409A</w:t>
      </w:r>
      <w:r>
        <w:rPr>
          <w:rFonts w:ascii="Times New Roman" w:hAnsi="Times New Roman"/>
          <w:color w:val="000000"/>
          <w:sz w:val="2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both"/>
        <w:rPr>
          <w:rFonts w:ascii="Times New Roman" w:hAnsi="Times New Roman"/>
          <w:sz w:val="20"/>
        </w:rPr>
      </w:pPr>
      <w:r>
        <w:rPr>
          <w:rFonts w:ascii="Times New Roman" w:hAnsi="Times New Roman"/>
          <w:color w:val="000000"/>
          <w:sz w:val="24"/>
        </w:rPr>
        <w:t>2.37. “</w:t>
      </w:r>
      <w:r>
        <w:rPr>
          <w:rFonts w:ascii="Times New Roman" w:hAnsi="Times New Roman"/>
          <w:b/>
          <w:color w:val="000000"/>
          <w:sz w:val="24"/>
        </w:rPr>
        <w:t>Securities Act</w:t>
      </w:r>
      <w:r>
        <w:rPr>
          <w:rFonts w:ascii="Times New Roman" w:hAnsi="Times New Roman"/>
          <w:color w:val="000000"/>
          <w:sz w:val="20"/>
        </w:rPr>
        <w:t xml:space="preserve">” </w:t>
      </w:r>
      <w:r>
        <w:rPr>
          <w:rFonts w:ascii="Times New Roman" w:hAnsi="Times New Roman"/>
          <w:color w:val="000000"/>
          <w:sz w:val="24"/>
        </w:rPr>
        <w:t>means the U.S. Securities Act of 1933, as amended, including the rules and regulations promulgated thereunder.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2.38. “</w:t>
      </w:r>
      <w:r>
        <w:rPr>
          <w:rFonts w:ascii="Times New Roman" w:hAnsi="Times New Roman"/>
          <w:b/>
          <w:color w:val="000000"/>
          <w:sz w:val="24"/>
        </w:rPr>
        <w:t>Service Provider</w:t>
      </w:r>
      <w:r>
        <w:rPr>
          <w:rFonts w:ascii="Times New Roman" w:hAnsi="Times New Roman"/>
          <w:color w:val="000000"/>
          <w:sz w:val="20"/>
        </w:rPr>
        <w:t xml:space="preserve">” </w:t>
      </w:r>
      <w:r>
        <w:rPr>
          <w:rFonts w:ascii="Times New Roman" w:hAnsi="Times New Roman"/>
          <w:color w:val="000000"/>
          <w:sz w:val="24"/>
        </w:rPr>
        <w:t>means an Employee, Director or Consultant.</w:t>
      </w:r>
    </w:p>
    <w:p>
      <w:pPr>
        <w:pStyle w:val="TextBody"/>
        <w:bidi w:val="0"/>
        <w:spacing w:before="240" w:after="283"/>
        <w:jc w:val="both"/>
        <w:rPr>
          <w:rFonts w:ascii="Times New Roman" w:hAnsi="Times New Roman"/>
          <w:sz w:val="20"/>
        </w:rPr>
      </w:pPr>
      <w:r>
        <w:rPr>
          <w:rFonts w:ascii="Times New Roman" w:hAnsi="Times New Roman"/>
          <w:color w:val="000000"/>
          <w:sz w:val="24"/>
        </w:rPr>
        <w:t>2.39. “</w:t>
      </w:r>
      <w:r>
        <w:rPr>
          <w:rFonts w:ascii="Times New Roman" w:hAnsi="Times New Roman"/>
          <w:b/>
          <w:color w:val="000000"/>
          <w:sz w:val="24"/>
        </w:rPr>
        <w:t>Share</w:t>
      </w:r>
      <w:r>
        <w:rPr>
          <w:rFonts w:ascii="Times New Roman" w:hAnsi="Times New Roman"/>
          <w:color w:val="000000"/>
          <w:sz w:val="20"/>
        </w:rPr>
        <w:t xml:space="preserve">” </w:t>
      </w:r>
      <w:r>
        <w:rPr>
          <w:rFonts w:ascii="Times New Roman" w:hAnsi="Times New Roman"/>
          <w:color w:val="000000"/>
          <w:sz w:val="24"/>
        </w:rPr>
        <w:t>means a share of the Common Stock, as adjusted in accordance with Section 15 of the Plan.</w:t>
      </w:r>
    </w:p>
    <w:p>
      <w:pPr>
        <w:pStyle w:val="TextBody"/>
        <w:bidi w:val="0"/>
        <w:spacing w:before="240" w:after="283"/>
        <w:jc w:val="both"/>
        <w:rPr>
          <w:rFonts w:ascii="Times New Roman" w:hAnsi="Times New Roman"/>
          <w:sz w:val="20"/>
        </w:rPr>
      </w:pPr>
      <w:r>
        <w:rPr>
          <w:rFonts w:ascii="Times New Roman" w:hAnsi="Times New Roman"/>
          <w:color w:val="000000"/>
          <w:sz w:val="24"/>
        </w:rPr>
        <w:t>2.40. “</w:t>
      </w:r>
      <w:r>
        <w:rPr>
          <w:rFonts w:ascii="Times New Roman" w:hAnsi="Times New Roman"/>
          <w:b/>
          <w:color w:val="000000"/>
          <w:sz w:val="24"/>
        </w:rPr>
        <w:t>Stock Appreciation Right</w:t>
      </w:r>
      <w:r>
        <w:rPr>
          <w:rFonts w:ascii="Times New Roman" w:hAnsi="Times New Roman"/>
          <w:color w:val="000000"/>
          <w:sz w:val="20"/>
        </w:rPr>
        <w:t xml:space="preserve">” </w:t>
      </w:r>
      <w:r>
        <w:rPr>
          <w:rFonts w:ascii="Times New Roman" w:hAnsi="Times New Roman"/>
          <w:color w:val="000000"/>
          <w:sz w:val="24"/>
        </w:rPr>
        <w:t>means an Award, granted alone or in connection with an Option, that pursuant to Section 7 is designated as a Stock Appreciation Right.</w:t>
      </w:r>
    </w:p>
    <w:p>
      <w:pPr>
        <w:pStyle w:val="TextBody"/>
        <w:bidi w:val="0"/>
        <w:spacing w:before="240" w:after="283"/>
        <w:jc w:val="both"/>
        <w:rPr>
          <w:rFonts w:ascii="Times New Roman" w:hAnsi="Times New Roman"/>
          <w:sz w:val="20"/>
        </w:rPr>
      </w:pPr>
      <w:r>
        <w:rPr>
          <w:rFonts w:ascii="Times New Roman" w:hAnsi="Times New Roman"/>
          <w:color w:val="000000"/>
          <w:sz w:val="24"/>
        </w:rPr>
        <w:t>2.41.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a “subsidiary corporation,” whether now or hereafter existing, as defined in Code Section 424(f).</w:t>
      </w:r>
    </w:p>
    <w:p>
      <w:pPr>
        <w:pStyle w:val="TextBody"/>
        <w:bidi w:val="0"/>
        <w:spacing w:before="240" w:after="283"/>
        <w:jc w:val="both"/>
        <w:rPr>
          <w:rFonts w:ascii="Times New Roman" w:hAnsi="Times New Roman"/>
          <w:sz w:val="20"/>
        </w:rPr>
      </w:pPr>
      <w:r>
        <w:rPr>
          <w:rFonts w:ascii="Times New Roman" w:hAnsi="Times New Roman"/>
          <w:color w:val="000000"/>
          <w:sz w:val="24"/>
        </w:rPr>
        <w:t>2.42. “</w:t>
      </w:r>
      <w:r>
        <w:rPr>
          <w:rFonts w:ascii="Times New Roman" w:hAnsi="Times New Roman"/>
          <w:b/>
          <w:color w:val="000000"/>
          <w:sz w:val="24"/>
        </w:rPr>
        <w:t>Trading Day</w:t>
      </w:r>
      <w:r>
        <w:rPr>
          <w:rFonts w:ascii="Times New Roman" w:hAnsi="Times New Roman"/>
          <w:color w:val="000000"/>
          <w:sz w:val="2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both"/>
        <w:rPr>
          <w:rFonts w:ascii="Times New Roman" w:hAnsi="Times New Roman"/>
          <w:sz w:val="20"/>
        </w:rPr>
      </w:pPr>
      <w:r>
        <w:rPr>
          <w:rFonts w:ascii="Times New Roman" w:hAnsi="Times New Roman"/>
          <w:color w:val="000000"/>
          <w:sz w:val="24"/>
        </w:rPr>
        <w:t>2.43. “</w:t>
      </w:r>
      <w:r>
        <w:rPr>
          <w:rFonts w:ascii="Times New Roman" w:hAnsi="Times New Roman"/>
          <w:b/>
          <w:color w:val="000000"/>
          <w:sz w:val="24"/>
        </w:rPr>
        <w:t>U.S. Treasury Regulations</w:t>
      </w:r>
      <w:r>
        <w:rPr>
          <w:rFonts w:ascii="Times New Roman" w:hAnsi="Times New Roman"/>
          <w:color w:val="000000"/>
          <w:sz w:val="20"/>
        </w:rPr>
        <w:t xml:space="preserve">” </w:t>
      </w:r>
      <w:r>
        <w:rPr>
          <w:rFonts w:ascii="Times New Roman" w:hAnsi="Times New Roman"/>
          <w:color w:val="000000"/>
          <w:sz w:val="24"/>
        </w:rPr>
        <w:t>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 </w:t>
      </w:r>
      <w:r>
        <w:rPr>
          <w:rFonts w:ascii="Times New Roman" w:hAnsi="Times New Roman"/>
          <w:b/>
          <w:color w:val="000000"/>
          <w:sz w:val="24"/>
        </w:rPr>
        <w:t>Stock Subject to the Plan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3.1. </w:t>
      </w:r>
      <w:r>
        <w:rPr>
          <w:rFonts w:ascii="Times New Roman" w:hAnsi="Times New Roman"/>
          <w:b/>
          <w:color w:val="000000"/>
          <w:sz w:val="24"/>
        </w:rPr>
        <w:t>Stock Subject to the Plan</w:t>
      </w:r>
      <w:r>
        <w:rPr>
          <w:rFonts w:ascii="Times New Roman" w:hAnsi="Times New Roman"/>
          <w:color w:val="000000"/>
          <w:sz w:val="24"/>
        </w:rPr>
        <w:t>. Subject to adjustment upon changes in capitalization of the Company as provided in Section 15, the maximum aggregate number of Shares that may be subject to Awards and sold under the Plan will be equal to (a) 9,500,000 Shares, plus (b) any shares of the Company’s common stock subject to stock options, awards of restricted stock, awards of restricted stock units, or other awards that were assumed in the Merger (“</w:t>
      </w:r>
      <w:r>
        <w:rPr>
          <w:rFonts w:ascii="Times New Roman" w:hAnsi="Times New Roman"/>
          <w:b/>
          <w:color w:val="000000"/>
          <w:sz w:val="24"/>
        </w:rPr>
        <w:t>Assumed Awards</w:t>
      </w:r>
      <w:r>
        <w:rPr>
          <w:rFonts w:ascii="Times New Roman" w:hAnsi="Times New Roman"/>
          <w:color w:val="000000"/>
          <w:sz w:val="20"/>
        </w:rPr>
        <w:t>”</w:t>
      </w:r>
      <w:r>
        <w:rPr>
          <w:rFonts w:ascii="Times New Roman" w:hAnsi="Times New Roman"/>
          <w:color w:val="000000"/>
          <w:sz w:val="24"/>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2,126,767 Shares. Effective as of July 5, 2023, the Company effected a 6-for-1 reverse stock split with respect to the Company’s common stock. In connection with this reverse stock split, the shares of Company common stock subject to the Plan were</w:t>
      </w:r>
      <w:r>
        <w:rPr>
          <w:rFonts w:ascii="Times New Roman" w:hAnsi="Times New Roman"/>
          <w:color w:val="000000"/>
          <w:sz w:val="20"/>
        </w:rPr>
        <w:t xml:space="preserve"> </w:t>
      </w:r>
    </w:p>
    <w:p>
      <w:pPr>
        <w:pStyle w:val="TextBody"/>
        <w:bidi w:val="0"/>
        <w:jc w:val="center"/>
        <w:rPr>
          <w:rFonts w:ascii="Times New Roman" w:hAnsi="Times New Roman"/>
          <w:caps/>
          <w:color w:val="000000"/>
          <w:sz w:val="24"/>
        </w:rPr>
      </w:pPr>
      <w:r>
        <w:rPr>
          <w:rFonts w:ascii="Times New Roman" w:hAnsi="Times New Roman"/>
          <w:caps/>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adjusted to reflect the impact thereof. Prior to such adjustment, the total number of Shares authorized under the Plan under clause (a) above was 30,000,000 Shares, and the maximum number of Shares to be added to the Plan pursuant to clause (b) was 12,760,600 Shares. In addition, Shares may become available for issuance under Section 3.2. The Shares may be authorized but unissued, or reacquired Common Stock.</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3.2. </w:t>
      </w:r>
      <w:r>
        <w:rPr>
          <w:rFonts w:ascii="Times New Roman" w:hAnsi="Times New Roman"/>
          <w:b/>
          <w:color w:val="000000"/>
          <w:sz w:val="24"/>
        </w:rPr>
        <w:t>Lapsed Awards</w:t>
      </w:r>
      <w:r>
        <w:rPr>
          <w:rFonts w:ascii="Times New Roman" w:hAnsi="Times New Roman"/>
          <w:color w:val="000000"/>
          <w:sz w:val="24"/>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 3.2.</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3.3. </w:t>
      </w:r>
      <w:r>
        <w:rPr>
          <w:rFonts w:ascii="Times New Roman" w:hAnsi="Times New Roman"/>
          <w:b/>
          <w:color w:val="000000"/>
          <w:sz w:val="24"/>
        </w:rPr>
        <w:t>Share Reserve</w:t>
      </w:r>
      <w:r>
        <w:rPr>
          <w:rFonts w:ascii="Times New Roman" w:hAnsi="Times New Roman"/>
          <w:color w:val="000000"/>
          <w:sz w:val="24"/>
        </w:rPr>
        <w:t>. The Company, during the term of this Plan, will at all times reserve and keep available such number of Shares as will be sufficient to satisfy the requirements of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 </w:t>
      </w:r>
      <w:r>
        <w:rPr>
          <w:rFonts w:ascii="Times New Roman" w:hAnsi="Times New Roman"/>
          <w:b/>
          <w:color w:val="000000"/>
          <w:sz w:val="24"/>
        </w:rPr>
        <w:t>Administration of the Plan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4.1. </w:t>
      </w:r>
      <w:r>
        <w:rPr>
          <w:rFonts w:ascii="Times New Roman" w:hAnsi="Times New Roman"/>
          <w:b/>
          <w:color w:val="000000"/>
          <w:sz w:val="24"/>
        </w:rPr>
        <w:t>Procedure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4.1.1. </w:t>
      </w:r>
      <w:r>
        <w:rPr>
          <w:rFonts w:ascii="Times New Roman" w:hAnsi="Times New Roman"/>
          <w:b/>
          <w:color w:val="000000"/>
          <w:sz w:val="24"/>
        </w:rPr>
        <w:t>Multiple Administrative Bodies</w:t>
      </w:r>
      <w:r>
        <w:rPr>
          <w:rFonts w:ascii="Times New Roman" w:hAnsi="Times New Roman"/>
          <w:color w:val="000000"/>
          <w:sz w:val="24"/>
        </w:rPr>
        <w:t>. Different Committees with respect to different groups of Service Providers may administer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4.1.2. </w:t>
      </w:r>
      <w:r>
        <w:rPr>
          <w:rFonts w:ascii="Times New Roman" w:hAnsi="Times New Roman"/>
          <w:b/>
          <w:color w:val="000000"/>
          <w:sz w:val="24"/>
        </w:rPr>
        <w:t>Rule 16b-3</w:t>
      </w:r>
      <w:r>
        <w:rPr>
          <w:rFonts w:ascii="Times New Roman" w:hAnsi="Times New Roman"/>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4.1.3. </w:t>
      </w:r>
      <w:r>
        <w:rPr>
          <w:rFonts w:ascii="Times New Roman" w:hAnsi="Times New Roman"/>
          <w:b/>
          <w:color w:val="000000"/>
          <w:sz w:val="24"/>
        </w:rPr>
        <w:t>Other Administration</w:t>
      </w:r>
      <w:r>
        <w:rPr>
          <w:rFonts w:ascii="Times New Roman" w:hAnsi="Times New Roman"/>
          <w:color w:val="000000"/>
          <w:sz w:val="24"/>
        </w:rPr>
        <w:t>. Other than as provided above, the Plan will be administered by (A) the Board or (B) a Committee, which Committee will be constituted to comply with Applicable Laws.</w:t>
      </w:r>
      <w:r>
        <w:rPr>
          <w:rFonts w:ascii="Times New Roman" w:hAnsi="Times New Roman"/>
          <w:color w:val="000000"/>
          <w:sz w:val="20"/>
        </w:rPr>
        <w:t xml:space="preserve"> </w:t>
      </w:r>
    </w:p>
    <w:p>
      <w:pPr>
        <w:pStyle w:val="TextBody"/>
        <w:bidi w:val="0"/>
        <w:jc w:val="center"/>
        <w:rPr>
          <w:rFonts w:ascii="Times New Roman" w:hAnsi="Times New Roman"/>
          <w:caps/>
          <w:color w:val="000000"/>
          <w:sz w:val="24"/>
        </w:rPr>
      </w:pPr>
      <w:r>
        <w:rPr>
          <w:rFonts w:ascii="Times New Roman" w:hAnsi="Times New Roman"/>
          <w:caps/>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4.2. </w:t>
      </w:r>
      <w:r>
        <w:rPr>
          <w:rFonts w:ascii="Times New Roman" w:hAnsi="Times New Roman"/>
          <w:b/>
          <w:color w:val="000000"/>
          <w:sz w:val="24"/>
        </w:rPr>
        <w:t>Powers of the Administrator</w:t>
      </w:r>
      <w:r>
        <w:rPr>
          <w:rFonts w:ascii="Times New Roman" w:hAnsi="Times New Roman"/>
          <w:color w:val="000000"/>
          <w:sz w:val="24"/>
        </w:rPr>
        <w:t>. Subject to the provisions of the Plan, and in the case of a Committee, subject to the specific duties delegated by the Board to such Committee, the Administrator will have the authority,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to determine the Fair Market Value;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to select the Service Providers to whom Awards may be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to determine the number of Shares or dollar amounts to be covered by each Award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to approve forms of Award Agreements for use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to institute and determine the terms and conditions of an Exchange Program, including, subject to Section 20.3, to unilaterally implement an Exchange Program;</w:t>
      </w:r>
    </w:p>
    <w:p>
      <w:pPr>
        <w:pStyle w:val="TextBody"/>
        <w:bidi w:val="0"/>
        <w:spacing w:before="240" w:after="283"/>
        <w:jc w:val="both"/>
        <w:rPr>
          <w:rFonts w:ascii="Times New Roman" w:hAnsi="Times New Roman"/>
          <w:sz w:val="20"/>
        </w:rPr>
      </w:pPr>
      <w:r>
        <w:rPr>
          <w:rFonts w:ascii="Times New Roman" w:hAnsi="Times New Roman"/>
          <w:color w:val="000000"/>
          <w:sz w:val="24"/>
        </w:rPr>
        <w:t>(g) to construe and interpret the terms of the Plan and Awards granted pursuant to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 to prescribe, amend and rescind rules and regulations relating to the Plan, including rules and regulations relating to sub-plans established for the purpose of facilitating compliance with applicable non</w:t>
        <w:noBreakHyphen/>
        <w:t>U.S. laws, easing the administration of the Plan and/or for qualifying for favorable tax treatment under applicable non</w:t>
        <w:noBreakHyphen/>
        <w:t>U.S. laws, in each case as the Administrator may deem necessary or advisable;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 to allow Participants to satisfy withholding tax obligations in a manner prescribed in Section 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 to authorize any person to execute on behalf of the Company any instrument required to effect the grant of an Award previously granted by the Administrator;</w:t>
      </w:r>
    </w:p>
    <w:p>
      <w:pPr>
        <w:pStyle w:val="TextBody"/>
        <w:bidi w:val="0"/>
        <w:jc w:val="center"/>
        <w:rPr>
          <w:rFonts w:ascii="Times New Roman" w:hAnsi="Times New Roman"/>
          <w:caps/>
          <w:color w:val="000000"/>
          <w:sz w:val="24"/>
        </w:rPr>
      </w:pPr>
      <w:r>
        <w:rPr>
          <w:rFonts w:ascii="Times New Roman" w:hAnsi="Times New Roman"/>
          <w:caps/>
          <w:color w:val="000000"/>
          <w:sz w:val="24"/>
        </w:rPr>
        <w:t>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 temporarily suspend the exercisability of an Award if the Administrator deems such suspension to be necessary or appropriate for administrative purposes;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 to allow a Participant to defer the receipt of the payment of cash or the delivery of Shares that otherwise would be due to such Participant under an Award;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 to make all other determinations deemed necessary or advisable for administering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4.3. </w:t>
      </w:r>
      <w:r>
        <w:rPr>
          <w:rFonts w:ascii="Times New Roman" w:hAnsi="Times New Roman"/>
          <w:b/>
          <w:color w:val="000000"/>
          <w:sz w:val="24"/>
        </w:rPr>
        <w:t>Effect of Administrator’s Decision</w:t>
      </w:r>
      <w:r>
        <w:rPr>
          <w:rFonts w:ascii="Times New Roman" w:hAnsi="Times New Roman"/>
          <w:color w:val="000000"/>
          <w:sz w:val="24"/>
        </w:rPr>
        <w:t>. The Administrator’s decisions, determinations and interpretations will be final and binding on all Participants and any other holders of Awards and will be given the maximum deference permitted by Applicable Laws.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5. </w:t>
      </w:r>
      <w:r>
        <w:rPr>
          <w:rFonts w:ascii="Times New Roman" w:hAnsi="Times New Roman"/>
          <w:b/>
          <w:color w:val="000000"/>
          <w:sz w:val="24"/>
        </w:rPr>
        <w:t>Eligibility</w:t>
      </w:r>
      <w:r>
        <w:rPr>
          <w:rFonts w:ascii="Times New Roman" w:hAnsi="Times New Roman"/>
          <w:color w:val="000000"/>
          <w:sz w:val="24"/>
        </w:rPr>
        <w:t>. Nonstatutory Stock Options, Stock Appreciation Rights, Restricted Stock, Restricted Stock Units, or Performance Awards may be granted to Service Providers. Incentive Stock Options may be granted only to Employees.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 </w:t>
      </w:r>
      <w:r>
        <w:rPr>
          <w:rFonts w:ascii="Times New Roman" w:hAnsi="Times New Roman"/>
          <w:b/>
          <w:color w:val="000000"/>
          <w:sz w:val="24"/>
        </w:rPr>
        <w:t>Stock Options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6.1. </w:t>
      </w:r>
      <w:r>
        <w:rPr>
          <w:rFonts w:ascii="Times New Roman" w:hAnsi="Times New Roman"/>
          <w:b/>
          <w:color w:val="000000"/>
          <w:sz w:val="24"/>
        </w:rPr>
        <w:t>Grant of Options</w:t>
      </w:r>
      <w:r>
        <w:rPr>
          <w:rFonts w:ascii="Times New Roman" w:hAnsi="Times New Roman"/>
          <w:color w:val="000000"/>
          <w:sz w:val="24"/>
        </w:rPr>
        <w:t>. Subject to the terms and provisions of the Plan, the Administrator, at any time and from time to time, may grant Options to Service Providers in such amounts as the Administrator, in its sole discretion, will determine.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6.2. </w:t>
      </w:r>
      <w:r>
        <w:rPr>
          <w:rFonts w:ascii="Times New Roman" w:hAnsi="Times New Roman"/>
          <w:b/>
          <w:color w:val="000000"/>
          <w:sz w:val="24"/>
        </w:rPr>
        <w:t>Option Agreement</w:t>
      </w:r>
      <w:r>
        <w:rPr>
          <w:rFonts w:ascii="Times New Roman" w:hAnsi="Times New Roman"/>
          <w:color w:val="000000"/>
          <w:sz w:val="24"/>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6.3. </w:t>
      </w:r>
      <w:r>
        <w:rPr>
          <w:rFonts w:ascii="Times New Roman" w:hAnsi="Times New Roman"/>
          <w:b/>
          <w:color w:val="000000"/>
          <w:sz w:val="24"/>
        </w:rPr>
        <w:t>Limitations</w:t>
      </w:r>
      <w:r>
        <w:rPr>
          <w:rFonts w:ascii="Times New Roman" w:hAnsi="Times New Roman"/>
          <w:color w:val="000000"/>
          <w:sz w:val="24"/>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6.4. </w:t>
      </w:r>
      <w:r>
        <w:rPr>
          <w:rFonts w:ascii="Times New Roman" w:hAnsi="Times New Roman"/>
          <w:b/>
          <w:color w:val="000000"/>
          <w:sz w:val="24"/>
        </w:rPr>
        <w:t>Term of Option</w:t>
      </w:r>
      <w:r>
        <w:rPr>
          <w:rFonts w:ascii="Times New Roman" w:hAnsi="Times New Roman"/>
          <w:color w:val="000000"/>
          <w:sz w:val="24"/>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jc w:val="center"/>
        <w:rPr>
          <w:rFonts w:ascii="Times New Roman" w:hAnsi="Times New Roman"/>
          <w:caps/>
          <w:color w:val="000000"/>
          <w:sz w:val="24"/>
        </w:rPr>
      </w:pPr>
      <w:r>
        <w:rPr>
          <w:rFonts w:ascii="Times New Roman" w:hAnsi="Times New Roman"/>
          <w:caps/>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6.5. </w:t>
      </w:r>
      <w:r>
        <w:rPr>
          <w:rFonts w:ascii="Times New Roman" w:hAnsi="Times New Roman"/>
          <w:b/>
          <w:color w:val="000000"/>
          <w:sz w:val="24"/>
        </w:rPr>
        <w:t>Option Exercise Price and Consideration</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6.5.1. </w:t>
      </w:r>
      <w:r>
        <w:rPr>
          <w:rFonts w:ascii="Times New Roman" w:hAnsi="Times New Roman"/>
          <w:b/>
          <w:color w:val="000000"/>
          <w:sz w:val="24"/>
        </w:rPr>
        <w:t>Exercise Price</w:t>
      </w:r>
      <w:r>
        <w:rPr>
          <w:rFonts w:ascii="Times New Roman" w:hAnsi="Times New Roman"/>
          <w:color w:val="000000"/>
          <w:sz w:val="24"/>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6.5.2. </w:t>
      </w:r>
      <w:r>
        <w:rPr>
          <w:rFonts w:ascii="Times New Roman" w:hAnsi="Times New Roman"/>
          <w:b/>
          <w:color w:val="000000"/>
          <w:sz w:val="24"/>
        </w:rPr>
        <w:t>Waiting Period and Exercise Dates</w:t>
      </w:r>
      <w:r>
        <w:rPr>
          <w:rFonts w:ascii="Times New Roman" w:hAnsi="Times New Roman"/>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6.5.3. </w:t>
      </w:r>
      <w:r>
        <w:rPr>
          <w:rFonts w:ascii="Times New Roman" w:hAnsi="Times New Roman"/>
          <w:b/>
          <w:color w:val="000000"/>
          <w:sz w:val="24"/>
        </w:rPr>
        <w:t>Form of Consideration</w:t>
      </w:r>
      <w:r>
        <w:rPr>
          <w:rFonts w:ascii="Times New Roman" w:hAnsi="Times New Roman"/>
          <w:color w:val="000000"/>
          <w:sz w:val="24"/>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 </w:t>
      </w:r>
      <w:r>
        <w:rPr>
          <w:rFonts w:ascii="Times New Roman" w:hAnsi="Times New Roman"/>
          <w:b/>
          <w:color w:val="000000"/>
          <w:sz w:val="24"/>
        </w:rPr>
        <w:t>Exercise of Option</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6.6.1. </w:t>
      </w:r>
      <w:r>
        <w:rPr>
          <w:rFonts w:ascii="Times New Roman" w:hAnsi="Times New Roman"/>
          <w:b/>
          <w:color w:val="000000"/>
          <w:sz w:val="24"/>
        </w:rPr>
        <w:t>Procedure for Exercise; Rights as a Stockholder</w:t>
      </w:r>
      <w:r>
        <w:rPr>
          <w:rFonts w:ascii="Times New Roman" w:hAnsi="Times New Roman"/>
          <w:color w:val="000000"/>
          <w:sz w:val="24"/>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240" w:after="283"/>
        <w:jc w:val="both"/>
        <w:rPr>
          <w:rFonts w:ascii="Times New Roman" w:hAnsi="Times New Roman"/>
          <w:sz w:val="20"/>
        </w:rPr>
      </w:pPr>
      <w:r>
        <w:rPr>
          <w:rFonts w:ascii="Times New Roman" w:hAnsi="Times New Roman"/>
          <w:color w:val="000000"/>
          <w:sz w:val="24"/>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such</w:t>
      </w:r>
      <w:r>
        <w:rPr>
          <w:rFonts w:ascii="Times New Roman" w:hAnsi="Times New Roman"/>
          <w:color w:val="000000"/>
          <w:sz w:val="20"/>
        </w:rPr>
        <w:t xml:space="preserve"> </w:t>
      </w:r>
    </w:p>
    <w:p>
      <w:pPr>
        <w:pStyle w:val="TextBody"/>
        <w:bidi w:val="0"/>
        <w:jc w:val="center"/>
        <w:rPr>
          <w:rFonts w:ascii="Times New Roman" w:hAnsi="Times New Roman"/>
          <w:caps/>
          <w:color w:val="000000"/>
          <w:sz w:val="24"/>
        </w:rPr>
      </w:pPr>
      <w:r>
        <w:rPr>
          <w:rFonts w:ascii="Times New Roman" w:hAnsi="Times New Roman"/>
          <w:caps/>
          <w:color w:val="000000"/>
          <w:sz w:val="24"/>
        </w:rPr>
        <w:t>10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Participant’s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w:t>
      </w:r>
      <w:r>
        <w:rPr>
          <w:rFonts w:ascii="Times New Roman" w:hAnsi="Times New Roman"/>
          <w:color w:val="000000"/>
          <w:sz w:val="20"/>
        </w:rPr>
        <w:t xml:space="preserve"> </w:t>
      </w:r>
      <w:r>
        <w:rPr>
          <w:rFonts w:ascii="Times New Roman" w:hAnsi="Times New Roman"/>
          <w:color w:val="000000"/>
          <w:sz w:val="24"/>
        </w:rPr>
        <w:t>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6.6.2. </w:t>
      </w:r>
      <w:r>
        <w:rPr>
          <w:rFonts w:ascii="Times New Roman" w:hAnsi="Times New Roman"/>
          <w:b/>
          <w:color w:val="000000"/>
          <w:sz w:val="24"/>
        </w:rPr>
        <w:t>Termination of Relationship as a Service Provider</w:t>
      </w:r>
      <w:r>
        <w:rPr>
          <w:rFonts w:ascii="Times New Roman" w:hAnsi="Times New Roman"/>
          <w:color w:val="000000"/>
          <w:sz w:val="24"/>
        </w:rPr>
        <w:t>. If a Participant ceases to be a Service Provider, other than upon such cessation as the result of the Participant’s death or Disability, the Participant may exercise such Participant’s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such Participant’s entire Option, the Shares covered by the unvested portion of the Option will revert to the Plan immediately. If after such cessation the Participant does not exercise such Participant’s Option within the time specified by the Administrator, the Option will terminate, and the Shares covered by such Option will revert to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6.6.3. </w:t>
      </w:r>
      <w:r>
        <w:rPr>
          <w:rFonts w:ascii="Times New Roman" w:hAnsi="Times New Roman"/>
          <w:b/>
          <w:color w:val="000000"/>
          <w:sz w:val="24"/>
        </w:rPr>
        <w:t>Disability of Participant</w:t>
      </w:r>
      <w:r>
        <w:rPr>
          <w:rFonts w:ascii="Times New Roman" w:hAnsi="Times New Roman"/>
          <w:color w:val="000000"/>
          <w:sz w:val="24"/>
        </w:rPr>
        <w:t>. If a Participant ceases to be a Service Provider as a result of the Participant’s Disability, the Participant may exercise such Participant’s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such Participant’s entire Option, the Shares covered by the unvested portion of the Option will revert to the Plan immediately. If after such cessation the Participant does not exercise such Participant’s Option within the time specified herein, the Option will terminate, and the Shares covered by such Option will revert to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6.6.4. </w:t>
      </w:r>
      <w:r>
        <w:rPr>
          <w:rFonts w:ascii="Times New Roman" w:hAnsi="Times New Roman"/>
          <w:b/>
          <w:color w:val="000000"/>
          <w:sz w:val="24"/>
        </w:rPr>
        <w:t>Death of Participant</w:t>
      </w:r>
      <w:r>
        <w:rPr>
          <w:rFonts w:ascii="Times New Roman" w:hAnsi="Times New Roman"/>
          <w:color w:val="000000"/>
          <w:sz w:val="24"/>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w:t>
      </w:r>
      <w:r>
        <w:rPr>
          <w:rFonts w:ascii="Times New Roman" w:hAnsi="Times New Roman"/>
          <w:color w:val="000000"/>
          <w:sz w:val="20"/>
        </w:rPr>
        <w:t xml:space="preserve"> </w:t>
      </w:r>
    </w:p>
    <w:p>
      <w:pPr>
        <w:pStyle w:val="TextBody"/>
        <w:bidi w:val="0"/>
        <w:jc w:val="center"/>
        <w:rPr>
          <w:rFonts w:ascii="Times New Roman" w:hAnsi="Times New Roman"/>
          <w:caps/>
          <w:color w:val="000000"/>
          <w:sz w:val="24"/>
        </w:rPr>
      </w:pPr>
      <w:r>
        <w:rPr>
          <w:rFonts w:ascii="Times New Roman" w:hAnsi="Times New Roman"/>
          <w:caps/>
          <w:color w:val="000000"/>
          <w:sz w:val="24"/>
        </w:rPr>
        <w:t>11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of the Participant’s estate or by the person(s) to whom the Option is transferred pursuant to the Participant’s will or in accordance with the laws of descent and distribution (each, a “</w:t>
      </w:r>
      <w:r>
        <w:rPr>
          <w:rFonts w:ascii="Times New Roman" w:hAnsi="Times New Roman"/>
          <w:b/>
          <w:color w:val="000000"/>
          <w:sz w:val="24"/>
        </w:rPr>
        <w:t>Legal Representative</w:t>
      </w:r>
      <w:r>
        <w:rPr>
          <w:rFonts w:ascii="Times New Roman" w:hAnsi="Times New Roman"/>
          <w:color w:val="000000"/>
          <w:sz w:val="20"/>
        </w:rPr>
        <w:t>”</w:t>
      </w:r>
      <w:r>
        <w:rPr>
          <w:rFonts w:ascii="Times New Roman" w:hAnsi="Times New Roman"/>
          <w:color w:val="000000"/>
          <w:sz w:val="24"/>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such Participant’s entire Option, the Shares covered by the unvested portion of the Option will revert to the Plan immediately. If the Option is not so exercised within the time specified herein, the Option will terminate, and the Shares covered by such Option will revert to the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6.6.5. </w:t>
      </w:r>
      <w:r>
        <w:rPr>
          <w:rFonts w:ascii="Times New Roman" w:hAnsi="Times New Roman"/>
          <w:b/>
          <w:color w:val="000000"/>
          <w:sz w:val="24"/>
        </w:rPr>
        <w:t>Tolling Expiration</w:t>
      </w:r>
      <w:r>
        <w:rPr>
          <w:rFonts w:ascii="Times New Roman" w:hAnsi="Times New Roman"/>
          <w:color w:val="000000"/>
          <w:sz w:val="24"/>
        </w:rPr>
        <w:t>. A Participant’s Award Agreement may also provide that:</w:t>
      </w:r>
    </w:p>
    <w:p>
      <w:pPr>
        <w:pStyle w:val="TextBody"/>
        <w:bidi w:val="0"/>
        <w:spacing w:before="240" w:after="283"/>
        <w:jc w:val="both"/>
        <w:rPr>
          <w:rFonts w:ascii="Times New Roman" w:hAnsi="Times New Roman"/>
          <w:sz w:val="20"/>
        </w:rPr>
      </w:pPr>
      <w:r>
        <w:rPr>
          <w:rFonts w:ascii="Times New Roman" w:hAnsi="Times New Roman"/>
          <w:color w:val="000000"/>
          <w:sz w:val="24"/>
        </w:rPr>
        <w:t>(a) 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hAnsi="Times New Roman"/>
          <w:color w:val="000000"/>
          <w:sz w:val="11"/>
        </w:rPr>
        <w:t>th</w:t>
      </w:r>
      <w:r>
        <w:rPr>
          <w:rFonts w:ascii="Times New Roman" w:hAnsi="Times New Roman"/>
          <w:color w:val="000000"/>
          <w:sz w:val="24"/>
        </w:rPr>
        <w:t>) day after the last date on which such exercise would result in liability under Section 16b; or</w:t>
      </w:r>
    </w:p>
    <w:p>
      <w:pPr>
        <w:pStyle w:val="TextBody"/>
        <w:bidi w:val="0"/>
        <w:spacing w:before="240" w:after="283"/>
        <w:jc w:val="both"/>
        <w:rPr>
          <w:rFonts w:ascii="Times New Roman" w:hAnsi="Times New Roman"/>
          <w:sz w:val="20"/>
        </w:rPr>
      </w:pPr>
      <w:r>
        <w:rPr>
          <w:rFonts w:ascii="Times New Roman" w:hAnsi="Times New Roman"/>
          <w:color w:val="000000"/>
          <w:sz w:val="24"/>
        </w:rPr>
        <w:t>(b) 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 </w:t>
      </w:r>
      <w:r>
        <w:rPr>
          <w:rFonts w:ascii="Times New Roman" w:hAnsi="Times New Roman"/>
          <w:b/>
          <w:color w:val="000000"/>
          <w:sz w:val="24"/>
        </w:rPr>
        <w:t>Stock Appreciation Rights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7.1. </w:t>
      </w:r>
      <w:r>
        <w:rPr>
          <w:rFonts w:ascii="Times New Roman" w:hAnsi="Times New Roman"/>
          <w:b/>
          <w:color w:val="000000"/>
          <w:sz w:val="24"/>
        </w:rPr>
        <w:t>Grant of Stock Appreciation Rights</w:t>
      </w:r>
      <w:r>
        <w:rPr>
          <w:rFonts w:ascii="Times New Roman" w:hAnsi="Times New Roman"/>
          <w:color w:val="000000"/>
          <w:sz w:val="24"/>
        </w:rPr>
        <w:t>. Subject to the terms and conditions of the Plan, a Stock Appreciation Right may be granted to Service Providers at any time and from time to time as will be determined by the Administrator, in its sole discretion.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7.2. </w:t>
      </w:r>
      <w:r>
        <w:rPr>
          <w:rFonts w:ascii="Times New Roman" w:hAnsi="Times New Roman"/>
          <w:b/>
          <w:color w:val="000000"/>
          <w:sz w:val="24"/>
        </w:rPr>
        <w:t>Number of Shares</w:t>
      </w:r>
      <w:r>
        <w:rPr>
          <w:rFonts w:ascii="Times New Roman" w:hAnsi="Times New Roman"/>
          <w:color w:val="000000"/>
          <w:sz w:val="24"/>
        </w:rPr>
        <w:t>. The Administrator will have complete discretion to determine the number of Shares subject to any Award of Stock Appreciation Rights.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7.3. </w:t>
      </w:r>
      <w:r>
        <w:rPr>
          <w:rFonts w:ascii="Times New Roman" w:hAnsi="Times New Roman"/>
          <w:b/>
          <w:color w:val="000000"/>
          <w:sz w:val="24"/>
        </w:rPr>
        <w:t>Exercise Price and Other Terms</w:t>
      </w:r>
      <w:r>
        <w:rPr>
          <w:rFonts w:ascii="Times New Roman" w:hAnsi="Times New Roman"/>
          <w:color w:val="000000"/>
          <w:sz w:val="24"/>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jc w:val="center"/>
        <w:rPr>
          <w:rFonts w:ascii="Times New Roman" w:hAnsi="Times New Roman"/>
          <w:caps/>
          <w:color w:val="000000"/>
          <w:sz w:val="24"/>
        </w:rPr>
      </w:pPr>
      <w:r>
        <w:rPr>
          <w:rFonts w:ascii="Times New Roman" w:hAnsi="Times New Roman"/>
          <w:caps/>
          <w:color w:val="000000"/>
          <w:sz w:val="24"/>
        </w:rPr>
        <w:t>12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7.4. </w:t>
      </w:r>
      <w:r>
        <w:rPr>
          <w:rFonts w:ascii="Times New Roman" w:hAnsi="Times New Roman"/>
          <w:b/>
          <w:color w:val="000000"/>
          <w:sz w:val="24"/>
        </w:rPr>
        <w:t>Stock Appreciation Right Agreement</w:t>
      </w:r>
      <w:r>
        <w:rPr>
          <w:rFonts w:ascii="Times New Roman" w:hAnsi="Times New Roman"/>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7.5. </w:t>
      </w:r>
      <w:r>
        <w:rPr>
          <w:rFonts w:ascii="Times New Roman" w:hAnsi="Times New Roman"/>
          <w:b/>
          <w:color w:val="000000"/>
          <w:sz w:val="24"/>
        </w:rPr>
        <w:t>Expiration of Stock Appreciation Rights</w:t>
      </w:r>
      <w:r>
        <w:rPr>
          <w:rFonts w:ascii="Times New Roman" w:hAnsi="Times New Roman"/>
          <w:color w:val="000000"/>
          <w:sz w:val="24"/>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7.6. </w:t>
      </w:r>
      <w:r>
        <w:rPr>
          <w:rFonts w:ascii="Times New Roman" w:hAnsi="Times New Roman"/>
          <w:b/>
          <w:color w:val="000000"/>
          <w:sz w:val="24"/>
        </w:rPr>
        <w:t>Payment of Stock Appreciation Right Amount</w:t>
      </w:r>
      <w:r>
        <w:rPr>
          <w:rFonts w:ascii="Times New Roman" w:hAnsi="Times New Roman"/>
          <w:color w:val="000000"/>
          <w:sz w:val="24"/>
        </w:rPr>
        <w:t>. Upon exercise of a Stock Appreciation Right, a Participant will be entitled to receive payment from the Company in an amount determined by multiplying: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difference between the Fair Market Value of a Share on the date of exercise over the exercise price; times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number of Shares with respect to which the Stock Appreciation Right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the discretion of the Administrator, the payment upon Stock Appreciation Right exercise may be in cash, in Shares of equivalent value, or in some combination thereof.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 </w:t>
      </w:r>
      <w:r>
        <w:rPr>
          <w:rFonts w:ascii="Times New Roman" w:hAnsi="Times New Roman"/>
          <w:b/>
          <w:color w:val="000000"/>
          <w:sz w:val="24"/>
        </w:rPr>
        <w:t>Restricted Stock</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8.1. </w:t>
      </w:r>
      <w:r>
        <w:rPr>
          <w:rFonts w:ascii="Times New Roman" w:hAnsi="Times New Roman"/>
          <w:b/>
          <w:color w:val="000000"/>
          <w:sz w:val="24"/>
        </w:rPr>
        <w:t>Grant of Restricted Stock</w:t>
      </w:r>
      <w:r>
        <w:rPr>
          <w:rFonts w:ascii="Times New Roman" w:hAnsi="Times New Roman"/>
          <w:color w:val="000000"/>
          <w:sz w:val="24"/>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8.2. </w:t>
      </w:r>
      <w:r>
        <w:rPr>
          <w:rFonts w:ascii="Times New Roman" w:hAnsi="Times New Roman"/>
          <w:b/>
          <w:color w:val="000000"/>
          <w:sz w:val="24"/>
        </w:rPr>
        <w:t>Restricted Stock Agreement</w:t>
      </w:r>
      <w:r>
        <w:rPr>
          <w:rFonts w:ascii="Times New Roman" w:hAnsi="Times New Roman"/>
          <w:color w:val="000000"/>
          <w:sz w:val="24"/>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8.3. </w:t>
      </w:r>
      <w:r>
        <w:rPr>
          <w:rFonts w:ascii="Times New Roman" w:hAnsi="Times New Roman"/>
          <w:b/>
          <w:color w:val="000000"/>
          <w:sz w:val="24"/>
        </w:rPr>
        <w:t>Transferability</w:t>
      </w:r>
      <w:r>
        <w:rPr>
          <w:rFonts w:ascii="Times New Roman" w:hAnsi="Times New Roman"/>
          <w:color w:val="000000"/>
          <w:sz w:val="24"/>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8.4. </w:t>
      </w:r>
      <w:r>
        <w:rPr>
          <w:rFonts w:ascii="Times New Roman" w:hAnsi="Times New Roman"/>
          <w:b/>
          <w:color w:val="000000"/>
          <w:sz w:val="24"/>
        </w:rPr>
        <w:t>Other Restrictions</w:t>
      </w:r>
      <w:r>
        <w:rPr>
          <w:rFonts w:ascii="Times New Roman" w:hAnsi="Times New Roman"/>
          <w:color w:val="000000"/>
          <w:sz w:val="24"/>
        </w:rPr>
        <w:t>. The Administrator, in its sole discretion, may impose such other restrictions on Shares of Restricted Stock as it may deem advisable or appropriate.</w:t>
      </w:r>
    </w:p>
    <w:p>
      <w:pPr>
        <w:pStyle w:val="TextBody"/>
        <w:bidi w:val="0"/>
        <w:jc w:val="center"/>
        <w:rPr>
          <w:rFonts w:ascii="Times New Roman" w:hAnsi="Times New Roman"/>
          <w:caps/>
          <w:color w:val="000000"/>
          <w:sz w:val="24"/>
        </w:rPr>
      </w:pPr>
      <w:r>
        <w:rPr>
          <w:rFonts w:ascii="Times New Roman" w:hAnsi="Times New Roman"/>
          <w:caps/>
          <w:color w:val="000000"/>
          <w:sz w:val="24"/>
        </w:rPr>
        <w:t>13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8.5. </w:t>
      </w:r>
      <w:r>
        <w:rPr>
          <w:rFonts w:ascii="Times New Roman" w:hAnsi="Times New Roman"/>
          <w:b/>
          <w:color w:val="000000"/>
          <w:sz w:val="24"/>
        </w:rPr>
        <w:t>Removal of Restrictions</w:t>
      </w:r>
      <w:r>
        <w:rPr>
          <w:rFonts w:ascii="Times New Roman" w:hAnsi="Times New Roman"/>
          <w:color w:val="000000"/>
          <w:sz w:val="24"/>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8.6. </w:t>
      </w:r>
      <w:r>
        <w:rPr>
          <w:rFonts w:ascii="Times New Roman" w:hAnsi="Times New Roman"/>
          <w:b/>
          <w:color w:val="000000"/>
          <w:sz w:val="24"/>
        </w:rPr>
        <w:t>Voting Rights</w:t>
      </w:r>
      <w:r>
        <w:rPr>
          <w:rFonts w:ascii="Times New Roman" w:hAnsi="Times New Roman"/>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8.7. </w:t>
      </w:r>
      <w:r>
        <w:rPr>
          <w:rFonts w:ascii="Times New Roman" w:hAnsi="Times New Roman"/>
          <w:b/>
          <w:color w:val="000000"/>
          <w:sz w:val="24"/>
        </w:rPr>
        <w:t>Dividends and Other Distributions</w:t>
      </w:r>
      <w:r>
        <w:rPr>
          <w:rFonts w:ascii="Times New Roman" w:hAnsi="Times New Roman"/>
          <w:color w:val="000000"/>
          <w:sz w:val="24"/>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8.8. </w:t>
      </w:r>
      <w:r>
        <w:rPr>
          <w:rFonts w:ascii="Times New Roman" w:hAnsi="Times New Roman"/>
          <w:b/>
          <w:color w:val="000000"/>
          <w:sz w:val="24"/>
        </w:rPr>
        <w:t>Return of Restricted Stock to Company</w:t>
      </w:r>
      <w:r>
        <w:rPr>
          <w:rFonts w:ascii="Times New Roman" w:hAnsi="Times New Roman"/>
          <w:color w:val="000000"/>
          <w:sz w:val="24"/>
        </w:rPr>
        <w:t>. On the date set forth in the Award Agreement, the Restricted Stock for which restrictions have not lapsed will revert to the Company and again will become available for grant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 </w:t>
      </w:r>
      <w:r>
        <w:rPr>
          <w:rFonts w:ascii="Times New Roman" w:hAnsi="Times New Roman"/>
          <w:b/>
          <w:color w:val="000000"/>
          <w:sz w:val="24"/>
        </w:rPr>
        <w:t>Restricted Stock Units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9.1. </w:t>
      </w:r>
      <w:r>
        <w:rPr>
          <w:rFonts w:ascii="Times New Roman" w:hAnsi="Times New Roman"/>
          <w:b/>
          <w:color w:val="000000"/>
          <w:sz w:val="24"/>
        </w:rPr>
        <w:t>Grant</w:t>
      </w:r>
      <w:r>
        <w:rPr>
          <w:rFonts w:ascii="Times New Roman" w:hAnsi="Times New Roman"/>
          <w:color w:val="000000"/>
          <w:sz w:val="24"/>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9.2. </w:t>
      </w:r>
      <w:r>
        <w:rPr>
          <w:rFonts w:ascii="Times New Roman" w:hAnsi="Times New Roman"/>
          <w:b/>
          <w:color w:val="000000"/>
          <w:sz w:val="24"/>
        </w:rPr>
        <w:t>Vesting Criteria and Other Terms</w:t>
      </w:r>
      <w:r>
        <w:rPr>
          <w:rFonts w:ascii="Times New Roman" w:hAnsi="Times New Roman"/>
          <w:color w:val="000000"/>
          <w:sz w:val="24"/>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9.3. </w:t>
      </w:r>
      <w:r>
        <w:rPr>
          <w:rFonts w:ascii="Times New Roman" w:hAnsi="Times New Roman"/>
          <w:b/>
          <w:color w:val="000000"/>
          <w:sz w:val="24"/>
        </w:rPr>
        <w:t>Earning Restricted Stock Units</w:t>
      </w:r>
      <w:r>
        <w:rPr>
          <w:rFonts w:ascii="Times New Roman" w:hAnsi="Times New Roman"/>
          <w:color w:val="000000"/>
          <w:sz w:val="24"/>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9.4. </w:t>
      </w:r>
      <w:r>
        <w:rPr>
          <w:rFonts w:ascii="Times New Roman" w:hAnsi="Times New Roman"/>
          <w:b/>
          <w:color w:val="000000"/>
          <w:sz w:val="24"/>
        </w:rPr>
        <w:t>Form and Timing of Payment</w:t>
      </w:r>
      <w:r>
        <w:rPr>
          <w:rFonts w:ascii="Times New Roman" w:hAnsi="Times New Roman"/>
          <w:color w:val="000000"/>
          <w:sz w:val="24"/>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pStyle w:val="TextBody"/>
        <w:bidi w:val="0"/>
        <w:jc w:val="center"/>
        <w:rPr>
          <w:rFonts w:ascii="Times New Roman" w:hAnsi="Times New Roman"/>
          <w:caps/>
          <w:color w:val="000000"/>
          <w:sz w:val="24"/>
        </w:rPr>
      </w:pPr>
      <w:r>
        <w:rPr>
          <w:rFonts w:ascii="Times New Roman" w:hAnsi="Times New Roman"/>
          <w:caps/>
          <w:color w:val="000000"/>
          <w:sz w:val="24"/>
        </w:rPr>
        <w:t>14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9.5. </w:t>
      </w:r>
      <w:r>
        <w:rPr>
          <w:rFonts w:ascii="Times New Roman" w:hAnsi="Times New Roman"/>
          <w:b/>
          <w:color w:val="000000"/>
          <w:sz w:val="24"/>
        </w:rPr>
        <w:t>Cancellation</w:t>
      </w:r>
      <w:r>
        <w:rPr>
          <w:rFonts w:ascii="Times New Roman" w:hAnsi="Times New Roman"/>
          <w:color w:val="000000"/>
          <w:sz w:val="24"/>
        </w:rPr>
        <w:t>. On the date set forth in the Award Agreement, all unearned Restricted Stock Units will be forfeited to the Company.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 </w:t>
      </w:r>
      <w:r>
        <w:rPr>
          <w:rFonts w:ascii="Times New Roman" w:hAnsi="Times New Roman"/>
          <w:b/>
          <w:color w:val="000000"/>
          <w:sz w:val="24"/>
        </w:rPr>
        <w:t>Performance Awards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10.1. </w:t>
      </w:r>
      <w:r>
        <w:rPr>
          <w:rFonts w:ascii="Times New Roman" w:hAnsi="Times New Roman"/>
          <w:b/>
          <w:color w:val="000000"/>
          <w:sz w:val="24"/>
        </w:rPr>
        <w:t>Award Agreement</w:t>
      </w:r>
      <w:r>
        <w:rPr>
          <w:rFonts w:ascii="Times New Roman" w:hAnsi="Times New Roman"/>
          <w:color w:val="000000"/>
          <w:sz w:val="24"/>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10.2. </w:t>
      </w:r>
      <w:r>
        <w:rPr>
          <w:rFonts w:ascii="Times New Roman" w:hAnsi="Times New Roman"/>
          <w:b/>
          <w:color w:val="000000"/>
          <w:sz w:val="24"/>
        </w:rPr>
        <w:t xml:space="preserve">Objectives or Vesting Provisions and Other Terms. </w:t>
      </w:r>
      <w:r>
        <w:rPr>
          <w:rFonts w:ascii="Times New Roman" w:hAnsi="Times New Roman"/>
          <w:color w:val="000000"/>
          <w:sz w:val="24"/>
        </w:rPr>
        <w:t>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10.3. </w:t>
      </w:r>
      <w:r>
        <w:rPr>
          <w:rFonts w:ascii="Times New Roman" w:hAnsi="Times New Roman"/>
          <w:b/>
          <w:color w:val="000000"/>
          <w:sz w:val="24"/>
        </w:rPr>
        <w:t>Earning Performance Awards</w:t>
      </w:r>
      <w:r>
        <w:rPr>
          <w:rFonts w:ascii="Times New Roman" w:hAnsi="Times New Roman"/>
          <w:color w:val="000000"/>
          <w:sz w:val="24"/>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10.4. </w:t>
      </w:r>
      <w:r>
        <w:rPr>
          <w:rFonts w:ascii="Times New Roman" w:hAnsi="Times New Roman"/>
          <w:b/>
          <w:color w:val="000000"/>
          <w:sz w:val="24"/>
        </w:rPr>
        <w:t>Form and Timing of Payment</w:t>
      </w:r>
      <w:r>
        <w:rPr>
          <w:rFonts w:ascii="Times New Roman" w:hAnsi="Times New Roman"/>
          <w:color w:val="000000"/>
          <w:sz w:val="24"/>
        </w:rPr>
        <w:t>. Payment of earned Performance Awards will be made at the time(s) determined by the Administrator and set forth in the Award Agreement. The Administrator, in its sole discretion, may settle earned Performance Awards in cash, Shares, or a combination of both.</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10.5. </w:t>
      </w:r>
      <w:r>
        <w:rPr>
          <w:rFonts w:ascii="Times New Roman" w:hAnsi="Times New Roman"/>
          <w:b/>
          <w:color w:val="000000"/>
          <w:sz w:val="24"/>
        </w:rPr>
        <w:t>Cancellation of Performance Awards</w:t>
      </w:r>
      <w:r>
        <w:rPr>
          <w:rFonts w:ascii="Times New Roman" w:hAnsi="Times New Roman"/>
          <w:color w:val="000000"/>
          <w:sz w:val="24"/>
        </w:rPr>
        <w:t>. On the date set forth in the Award Agreement, all unearned or unvested Performance Awards will be forfeited to the Company, and again will be available for grant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rPr>
        <w:t>Outside Director Award Limitations</w:t>
      </w:r>
      <w:r>
        <w:rPr>
          <w:rFonts w:ascii="Times New Roman" w:hAnsi="Times New Roman"/>
          <w:color w:val="000000"/>
          <w:sz w:val="24"/>
        </w:rPr>
        <w:t>. No Outside Director may be granted, in any Fiscal Year, equity awards (including any Awards granted 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$500,000, provided that such amount is increased to $750,000 in the Fiscal Year of the individual’s initial service as an Outside Director. Any Awards or other compensation provided to an individual (a) for the individual’s services as an Employee, or for the individual’s services as a Consultant other than as an Outside Director, or (b) prior to the closing of the Merger, will be excluded for purposes of this Section 11.</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rPr>
        <w:t>Compliance With Section 409A</w:t>
      </w:r>
      <w:r>
        <w:rPr>
          <w:rFonts w:ascii="Times New Roman" w:hAnsi="Times New Roman"/>
          <w:color w:val="000000"/>
          <w:sz w:val="24"/>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w:t>
      </w:r>
      <w:r>
        <w:rPr>
          <w:rFonts w:ascii="Times New Roman" w:hAnsi="Times New Roman"/>
          <w:color w:val="000000"/>
          <w:sz w:val="20"/>
        </w:rPr>
        <w:t xml:space="preserve"> </w:t>
      </w:r>
    </w:p>
    <w:p>
      <w:pPr>
        <w:pStyle w:val="TextBody"/>
        <w:bidi w:val="0"/>
        <w:jc w:val="center"/>
        <w:rPr>
          <w:rFonts w:ascii="Times New Roman" w:hAnsi="Times New Roman"/>
          <w:caps/>
          <w:color w:val="000000"/>
          <w:sz w:val="24"/>
        </w:rPr>
      </w:pPr>
      <w:r>
        <w:rPr>
          <w:rFonts w:ascii="Times New Roman" w:hAnsi="Times New Roman"/>
          <w:caps/>
          <w:color w:val="000000"/>
          <w:sz w:val="24"/>
        </w:rPr>
        <w:t>15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13. </w:t>
      </w:r>
      <w:r>
        <w:rPr>
          <w:rFonts w:ascii="Times New Roman" w:hAnsi="Times New Roman"/>
          <w:b/>
          <w:color w:val="000000"/>
          <w:sz w:val="24"/>
        </w:rPr>
        <w:t>Leaves of Absence/Transfer Between Locations</w:t>
      </w:r>
      <w:r>
        <w:rPr>
          <w:rFonts w:ascii="Times New Roman" w:hAnsi="Times New Roman"/>
          <w:color w:val="000000"/>
          <w:sz w:val="24"/>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hAnsi="Times New Roman"/>
          <w:color w:val="000000"/>
          <w:sz w:val="11"/>
        </w:rPr>
        <w:t>st</w:t>
      </w:r>
      <w:r>
        <w:rPr>
          <w:rFonts w:ascii="Times New Roman" w:hAnsi="Times New Roman"/>
          <w:color w:val="000000"/>
          <w:sz w:val="24"/>
        </w:rPr>
        <w:t>) day of such leave, any Incentive Stock Option held by the Participant will cease to be treated as an Incentive Stock Option and will be treated for tax purposes as a Nonstatutory Stock Option.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14. </w:t>
      </w:r>
      <w:r>
        <w:rPr>
          <w:rFonts w:ascii="Times New Roman" w:hAnsi="Times New Roman"/>
          <w:b/>
          <w:color w:val="000000"/>
          <w:sz w:val="24"/>
        </w:rPr>
        <w:t>Limited Transferability of Awards</w:t>
      </w:r>
      <w:r>
        <w:rPr>
          <w:rFonts w:ascii="Times New Roman" w:hAnsi="Times New Roman"/>
          <w:color w:val="000000"/>
          <w:sz w:val="24"/>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15. </w:t>
      </w:r>
      <w:r>
        <w:rPr>
          <w:rFonts w:ascii="Times New Roman" w:hAnsi="Times New Roman"/>
          <w:b/>
          <w:color w:val="000000"/>
          <w:sz w:val="24"/>
        </w:rPr>
        <w:t>Adjustments; Dissolution or Liquidation; Merger or Change in Control</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15.1. </w:t>
      </w:r>
      <w:r>
        <w:rPr>
          <w:rFonts w:ascii="Times New Roman" w:hAnsi="Times New Roman"/>
          <w:b/>
          <w:color w:val="000000"/>
          <w:sz w:val="24"/>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pStyle w:val="TextBody"/>
        <w:bidi w:val="0"/>
        <w:jc w:val="center"/>
        <w:rPr>
          <w:rFonts w:ascii="Times New Roman" w:hAnsi="Times New Roman"/>
          <w:caps/>
          <w:color w:val="000000"/>
          <w:sz w:val="24"/>
        </w:rPr>
      </w:pPr>
      <w:r>
        <w:rPr>
          <w:rFonts w:ascii="Times New Roman" w:hAnsi="Times New Roman"/>
          <w:caps/>
          <w:color w:val="000000"/>
          <w:sz w:val="24"/>
        </w:rPr>
        <w:t>16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15.2. </w:t>
      </w:r>
      <w:r>
        <w:rPr>
          <w:rFonts w:ascii="Times New Roman" w:hAnsi="Times New Roman"/>
          <w:b/>
          <w:color w:val="000000"/>
          <w:sz w:val="24"/>
        </w:rPr>
        <w:t>Dissolution or Liquidation</w:t>
      </w:r>
      <w:r>
        <w:rPr>
          <w:rFonts w:ascii="Times New Roman" w:hAnsi="Times New Roman"/>
          <w:color w:val="000000"/>
          <w:sz w:val="24"/>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15.3. </w:t>
      </w:r>
      <w:r>
        <w:rPr>
          <w:rFonts w:ascii="Times New Roman" w:hAnsi="Times New Roman"/>
          <w:b/>
          <w:color w:val="000000"/>
          <w:sz w:val="24"/>
        </w:rPr>
        <w:t>Merger or Change in Control</w:t>
      </w:r>
      <w:r>
        <w:rPr>
          <w:rFonts w:ascii="Times New Roman" w:hAnsi="Times New Roman"/>
          <w:color w:val="000000"/>
          <w:sz w:val="24"/>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successor corporation does not assume or substitute for the Award (or portion thereof), the Participant will fully vest in and have the right to exercise such Participant’s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jc w:val="center"/>
        <w:rPr>
          <w:rFonts w:ascii="Times New Roman" w:hAnsi="Times New Roman"/>
          <w:caps/>
          <w:color w:val="000000"/>
          <w:sz w:val="24"/>
        </w:rPr>
      </w:pPr>
      <w:r>
        <w:rPr>
          <w:rFonts w:ascii="Times New Roman" w:hAnsi="Times New Roman"/>
          <w:caps/>
          <w:color w:val="000000"/>
          <w:sz w:val="24"/>
        </w:rPr>
        <w:t>17</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15.4. </w:t>
      </w:r>
      <w:r>
        <w:rPr>
          <w:rFonts w:ascii="Times New Roman" w:hAnsi="Times New Roman"/>
          <w:b/>
          <w:color w:val="000000"/>
          <w:sz w:val="24"/>
        </w:rPr>
        <w:t>Outside Director Awards</w:t>
      </w:r>
      <w:r>
        <w:rPr>
          <w:rFonts w:ascii="Times New Roman" w:hAnsi="Times New Roman"/>
          <w:color w:val="000000"/>
          <w:sz w:val="24"/>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pStyle w:val="TextBody"/>
        <w:bidi w:val="0"/>
        <w:jc w:val="center"/>
        <w:rPr>
          <w:rFonts w:ascii="Times New Roman" w:hAnsi="Times New Roman"/>
          <w:caps/>
          <w:color w:val="000000"/>
          <w:sz w:val="24"/>
        </w:rPr>
      </w:pPr>
      <w:r>
        <w:rPr>
          <w:rFonts w:ascii="Times New Roman" w:hAnsi="Times New Roman"/>
          <w:caps/>
          <w:color w:val="000000"/>
          <w:sz w:val="24"/>
        </w:rPr>
        <w:t>18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16. </w:t>
      </w:r>
      <w:r>
        <w:rPr>
          <w:rFonts w:ascii="Times New Roman" w:hAnsi="Times New Roman"/>
          <w:b/>
          <w:color w:val="000000"/>
          <w:sz w:val="24"/>
        </w:rPr>
        <w:t>Tax Withholding</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16.1. </w:t>
      </w:r>
      <w:r>
        <w:rPr>
          <w:rFonts w:ascii="Times New Roman" w:hAnsi="Times New Roman"/>
          <w:b/>
          <w:color w:val="000000"/>
          <w:sz w:val="24"/>
        </w:rPr>
        <w:t>Withholding Requirements</w:t>
      </w:r>
      <w:r>
        <w:rPr>
          <w:rFonts w:ascii="Times New Roman" w:hAnsi="Times New Roman"/>
          <w:color w:val="000000"/>
          <w:sz w:val="24"/>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w:t>
      </w:r>
      <w:r>
        <w:rPr>
          <w:rFonts w:ascii="Times New Roman" w:hAnsi="Times New Roman"/>
          <w:color w:val="1F3864"/>
          <w:sz w:val="20"/>
        </w:rPr>
        <w:t xml:space="preserve"> </w:t>
      </w:r>
      <w:r>
        <w:rPr>
          <w:rFonts w:ascii="Times New Roman" w:hAnsi="Times New Roman"/>
          <w:color w:val="000000"/>
          <w:sz w:val="24"/>
        </w:rPr>
        <w:t>or a relevant tax authority, an amount sufficient to satisfy U.S. federal, state, local, non</w:t>
        <w:noBreakHyphen/>
        <w:t>U.S., and other taxes (including the Participant’s FICA or other social insurance contribution obligation) required to be withheld or paid with respect to such Award (or exercise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16.2. </w:t>
      </w:r>
      <w:r>
        <w:rPr>
          <w:rFonts w:ascii="Times New Roman" w:hAnsi="Times New Roman"/>
          <w:b/>
          <w:color w:val="000000"/>
          <w:sz w:val="24"/>
        </w:rPr>
        <w:t>Withholding Arrangements</w:t>
      </w:r>
      <w:r>
        <w:rPr>
          <w:rFonts w:ascii="Times New Roman" w:hAnsi="Times New Roman"/>
          <w:color w:val="000000"/>
          <w:sz w:val="24"/>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w:t>
      </w:r>
      <w:r>
        <w:rPr>
          <w:rFonts w:ascii="Times New Roman" w:hAnsi="Times New Roman"/>
          <w:color w:val="1F3864"/>
          <w:sz w:val="20"/>
        </w:rPr>
        <w:t xml:space="preserve"> </w:t>
      </w:r>
      <w:r>
        <w:rPr>
          <w:rFonts w:ascii="Times New Roman" w:hAnsi="Times New Roman"/>
          <w:color w:val="000000"/>
          <w:sz w:val="24"/>
        </w:rPr>
        <w:t>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17. </w:t>
      </w:r>
      <w:r>
        <w:rPr>
          <w:rFonts w:ascii="Times New Roman" w:hAnsi="Times New Roman"/>
          <w:b/>
          <w:color w:val="000000"/>
          <w:sz w:val="24"/>
        </w:rPr>
        <w:t>No Effect on Employment or Service</w:t>
      </w:r>
      <w:r>
        <w:rPr>
          <w:rFonts w:ascii="Times New Roman" w:hAnsi="Times New Roman"/>
          <w:color w:val="000000"/>
          <w:sz w:val="24"/>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free from any liability or claim under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18. </w:t>
      </w:r>
      <w:r>
        <w:rPr>
          <w:rFonts w:ascii="Times New Roman" w:hAnsi="Times New Roman"/>
          <w:b/>
          <w:color w:val="000000"/>
          <w:sz w:val="24"/>
        </w:rPr>
        <w:t>Date of Grant</w:t>
      </w:r>
      <w:r>
        <w:rPr>
          <w:rFonts w:ascii="Times New Roman" w:hAnsi="Times New Roman"/>
          <w:color w:val="000000"/>
          <w:sz w:val="24"/>
        </w:rPr>
        <w:t>. The date of grant of an Award will be, for all purposes, the date on which the Administrator makes the determination granting such Award, or such other later date as</w:t>
      </w:r>
      <w:r>
        <w:rPr>
          <w:rFonts w:ascii="Times New Roman" w:hAnsi="Times New Roman"/>
          <w:color w:val="000000"/>
          <w:sz w:val="20"/>
        </w:rPr>
        <w:t xml:space="preserve"> </w:t>
      </w:r>
    </w:p>
    <w:p>
      <w:pPr>
        <w:pStyle w:val="TextBody"/>
        <w:bidi w:val="0"/>
        <w:jc w:val="center"/>
        <w:rPr>
          <w:rFonts w:ascii="Times New Roman" w:hAnsi="Times New Roman"/>
          <w:caps/>
          <w:color w:val="000000"/>
          <w:sz w:val="24"/>
        </w:rPr>
      </w:pPr>
      <w:r>
        <w:rPr>
          <w:rFonts w:ascii="Times New Roman" w:hAnsi="Times New Roman"/>
          <w:caps/>
          <w:color w:val="000000"/>
          <w:sz w:val="24"/>
        </w:rPr>
        <w:t>19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is determined by the Administrator. Notice of the determination will be provided to each Participant within a reasonable time after the date of such grant.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19. </w:t>
      </w:r>
      <w:r>
        <w:rPr>
          <w:rFonts w:ascii="Times New Roman" w:hAnsi="Times New Roman"/>
          <w:b/>
          <w:color w:val="000000"/>
          <w:sz w:val="24"/>
        </w:rPr>
        <w:t>Term of Plan</w:t>
      </w:r>
      <w:r>
        <w:rPr>
          <w:rFonts w:ascii="Times New Roman" w:hAnsi="Times New Roman"/>
          <w:color w:val="000000"/>
          <w:sz w:val="24"/>
        </w:rPr>
        <w:t>. The Plan became effective upon the later to occur of (a) its adoption by the Board, (b) approval by the Company’s stockholders, or (c) the time as of immediately prior to the completion of the Merger. The Plan will continue in effect until terminated under Section 20 of the Plan, but no Options that qualify as incentive stock options within the meaning of Code Section 422 may be granted after ten (10) years from the earlier of the Board or stockholder approval of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20. </w:t>
      </w:r>
      <w:r>
        <w:rPr>
          <w:rFonts w:ascii="Times New Roman" w:hAnsi="Times New Roman"/>
          <w:b/>
          <w:color w:val="000000"/>
          <w:sz w:val="24"/>
        </w:rPr>
        <w:t>Amendment and Termination of the Plan</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20.1. </w:t>
      </w:r>
      <w:r>
        <w:rPr>
          <w:rFonts w:ascii="Times New Roman" w:hAnsi="Times New Roman"/>
          <w:b/>
          <w:color w:val="000000"/>
          <w:sz w:val="24"/>
        </w:rPr>
        <w:t>Amendment and Termination</w:t>
      </w:r>
      <w:r>
        <w:rPr>
          <w:rFonts w:ascii="Times New Roman" w:hAnsi="Times New Roman"/>
          <w:color w:val="000000"/>
          <w:sz w:val="24"/>
        </w:rPr>
        <w:t>. The Administrator, in its sole discretion, may amend, alter, suspend or terminate the Plan, or any part thereof, at any time and for any reason.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20.2. </w:t>
      </w:r>
      <w:r>
        <w:rPr>
          <w:rFonts w:ascii="Times New Roman" w:hAnsi="Times New Roman"/>
          <w:b/>
          <w:color w:val="000000"/>
          <w:sz w:val="24"/>
        </w:rPr>
        <w:t>Stockholder Approval</w:t>
      </w:r>
      <w:r>
        <w:rPr>
          <w:rFonts w:ascii="Times New Roman" w:hAnsi="Times New Roman"/>
          <w:color w:val="000000"/>
          <w:sz w:val="24"/>
        </w:rPr>
        <w:t>. The Company will obtain stockholder approval of any Plan amendment to the extent necessary and desirable to comply with Applicable 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20.3. </w:t>
      </w:r>
      <w:r>
        <w:rPr>
          <w:rFonts w:ascii="Times New Roman" w:hAnsi="Times New Roman"/>
          <w:b/>
          <w:color w:val="000000"/>
          <w:sz w:val="24"/>
        </w:rPr>
        <w:t>Effect of Amendment or Termination</w:t>
      </w:r>
      <w:r>
        <w:rPr>
          <w:rFonts w:ascii="Times New Roman" w:hAnsi="Times New Roman"/>
          <w:color w:val="000000"/>
          <w:sz w:val="24"/>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21. </w:t>
      </w:r>
      <w:r>
        <w:rPr>
          <w:rFonts w:ascii="Times New Roman" w:hAnsi="Times New Roman"/>
          <w:b/>
          <w:color w:val="000000"/>
          <w:sz w:val="24"/>
        </w:rPr>
        <w:t>Conditions Upon Issuance of Shares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21.1. </w:t>
      </w:r>
      <w:r>
        <w:rPr>
          <w:rFonts w:ascii="Times New Roman" w:hAnsi="Times New Roman"/>
          <w:b/>
          <w:color w:val="000000"/>
          <w:sz w:val="24"/>
        </w:rPr>
        <w:t>Legal Compliance</w:t>
      </w:r>
      <w:r>
        <w:rPr>
          <w:rFonts w:ascii="Times New Roman" w:hAnsi="Times New Roman"/>
          <w:color w:val="000000"/>
          <w:sz w:val="24"/>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21.2. </w:t>
      </w:r>
      <w:r>
        <w:rPr>
          <w:rFonts w:ascii="Times New Roman" w:hAnsi="Times New Roman"/>
          <w:b/>
          <w:color w:val="000000"/>
          <w:sz w:val="24"/>
        </w:rPr>
        <w:t>Investment Representations</w:t>
      </w:r>
      <w:r>
        <w:rPr>
          <w:rFonts w:ascii="Times New Roman" w:hAnsi="Times New Roman"/>
          <w:color w:val="000000"/>
          <w:sz w:val="24"/>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22. </w:t>
      </w:r>
      <w:r>
        <w:rPr>
          <w:rFonts w:ascii="Times New Roman" w:hAnsi="Times New Roman"/>
          <w:b/>
          <w:color w:val="000000"/>
          <w:sz w:val="24"/>
        </w:rPr>
        <w:t>Inability to Obtain Authority</w:t>
      </w:r>
      <w:r>
        <w:rPr>
          <w:rFonts w:ascii="Times New Roman" w:hAnsi="Times New Roman"/>
          <w:color w:val="000000"/>
          <w:sz w:val="24"/>
        </w:rPr>
        <w:t>. If the Company determines it to be impossible or impractical to obtain authority from any regulatory body having jurisdiction or to complete or comply with the requirements of any registration or other qualification of the Shares under any U.S. state or federal law or non</w:t>
        <w:noBreakHyphen/>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r>
        <w:rPr>
          <w:rFonts w:ascii="Times New Roman" w:hAnsi="Times New Roman"/>
          <w:color w:val="000000"/>
          <w:sz w:val="20"/>
        </w:rPr>
        <w:t xml:space="preserve"> </w:t>
      </w:r>
    </w:p>
    <w:p>
      <w:pPr>
        <w:pStyle w:val="TextBody"/>
        <w:bidi w:val="0"/>
        <w:jc w:val="center"/>
        <w:rPr>
          <w:rFonts w:ascii="Times New Roman" w:hAnsi="Times New Roman"/>
          <w:caps/>
          <w:color w:val="000000"/>
          <w:sz w:val="24"/>
        </w:rPr>
      </w:pPr>
      <w:r>
        <w:rPr>
          <w:rFonts w:ascii="Times New Roman" w:hAnsi="Times New Roman"/>
          <w:caps/>
          <w:color w:val="000000"/>
          <w:sz w:val="24"/>
        </w:rPr>
        <w:t>20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23. </w:t>
      </w:r>
      <w:r>
        <w:rPr>
          <w:rFonts w:ascii="Times New Roman" w:hAnsi="Times New Roman"/>
          <w:b/>
          <w:color w:val="000000"/>
          <w:sz w:val="24"/>
        </w:rPr>
        <w:t>Stockholder Approval</w:t>
      </w:r>
      <w:r>
        <w:rPr>
          <w:rFonts w:ascii="Times New Roman" w:hAnsi="Times New Roman"/>
          <w:color w:val="000000"/>
          <w:sz w:val="24"/>
        </w:rPr>
        <w:t>. The amendment and restatement of the Plan will be subject to approval by the stockholders of the Company within twelve (12) months after the date the amendment and restatement is adopted by the Board. Such stockholder approval will be obtained in the manner and to the degree required under Applicable 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24. </w:t>
      </w:r>
      <w:r>
        <w:rPr>
          <w:rFonts w:ascii="Times New Roman" w:hAnsi="Times New Roman"/>
          <w:b/>
          <w:color w:val="000000"/>
          <w:sz w:val="24"/>
        </w:rPr>
        <w:t>Forfeiture Events</w:t>
      </w:r>
      <w:r>
        <w:rPr>
          <w:rFonts w:ascii="Times New Roman" w:hAnsi="Times New Roman"/>
          <w:color w:val="000000"/>
          <w:sz w:val="24"/>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 w:hAnsi="Times New Roman"/>
          <w:b/>
          <w:color w:val="000000"/>
          <w:sz w:val="24"/>
        </w:rPr>
        <w:t>Clawback Policy</w:t>
      </w:r>
      <w:r>
        <w:rPr>
          <w:rFonts w:ascii="Times New Roman" w:hAnsi="Times New Roman"/>
          <w:color w:val="000000"/>
          <w:sz w:val="20"/>
        </w:rPr>
        <w:t>”</w:t>
      </w:r>
      <w:r>
        <w:rPr>
          <w:rFonts w:ascii="Times New Roman" w:hAnsi="Times New Roman"/>
          <w:color w:val="000000"/>
          <w:sz w:val="24"/>
        </w:rPr>
        <w:t>).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rFonts w:ascii="Times New Roman" w:hAnsi="Times New Roman"/>
          <w:caps/>
          <w:color w:val="000000"/>
          <w:sz w:val="24"/>
        </w:rPr>
      </w:pPr>
      <w:r>
        <w:rPr>
          <w:rFonts w:ascii="Times New Roman" w:hAnsi="Times New Roman"/>
          <w:caps/>
          <w:color w:val="000000"/>
          <w:sz w:val="24"/>
        </w:rPr>
        <w:t>21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4" w:name="pdyn-ex10_2.htm"/>
      <w:bookmarkStart w:id="25" w:name="kspdynex10_2"/>
      <w:bookmarkEnd w:id="24"/>
      <w:bookmarkEnd w:id="25"/>
      <w:r>
        <w:rPr>
          <w:rFonts w:ascii="Times New Roman" w:hAnsi="Times New Roman"/>
          <w:b/>
          <w:color w:val="000000"/>
          <w:sz w:val="24"/>
        </w:rPr>
        <w:t>Exhibit 10.2</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PALLADYNE AI CORP.</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STAND-ALONE RESTRICTED STOCK UNIT AGREEMENT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NOTICE OF RESTRICTED STOCK UNIT GRANT</w:t>
      </w:r>
    </w:p>
    <w:p>
      <w:pPr>
        <w:pStyle w:val="TextBody"/>
        <w:bidi w:val="0"/>
        <w:spacing w:before="240" w:after="283"/>
        <w:jc w:val="both"/>
        <w:rPr>
          <w:rFonts w:ascii="Times New Roman" w:hAnsi="Times New Roman"/>
          <w:sz w:val="20"/>
        </w:rPr>
      </w:pPr>
      <w:r>
        <w:rPr>
          <w:rFonts w:ascii="Times New Roman" w:hAnsi="Times New Roman"/>
          <w:b/>
          <w:color w:val="000000"/>
          <w:sz w:val="24"/>
        </w:rPr>
        <w:t>Participant Name:</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color w:val="000000"/>
          <w:sz w:val="24"/>
        </w:rPr>
        <w:t>Participant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Address:</w:t>
      </w:r>
    </w:p>
    <w:p>
      <w:pPr>
        <w:pStyle w:val="TextBody"/>
        <w:bidi w:val="0"/>
        <w:spacing w:before="240" w:after="283"/>
        <w:jc w:val="both"/>
        <w:rPr>
          <w:rFonts w:ascii="Times New Roman" w:hAnsi="Times New Roman"/>
          <w:sz w:val="20"/>
        </w:rPr>
      </w:pPr>
      <w:r>
        <w:rPr>
          <w:rFonts w:ascii="Times New Roman" w:hAnsi="Times New Roman"/>
          <w:color w:val="000000"/>
          <w:sz w:val="24"/>
        </w:rPr>
        <w:t>Participant has been granted an award of Restricted Stock Units (the “</w:t>
      </w:r>
      <w:r>
        <w:rPr>
          <w:rFonts w:ascii="Times New Roman" w:hAnsi="Times New Roman"/>
          <w:b/>
          <w:color w:val="000000"/>
          <w:sz w:val="24"/>
        </w:rPr>
        <w:t>Award</w:t>
      </w:r>
      <w:r>
        <w:rPr>
          <w:rFonts w:ascii="Times New Roman" w:hAnsi="Times New Roman"/>
          <w:color w:val="000000"/>
          <w:sz w:val="20"/>
        </w:rPr>
        <w:t>”</w:t>
      </w:r>
      <w:r>
        <w:rPr>
          <w:rFonts w:ascii="Times New Roman" w:hAnsi="Times New Roman"/>
          <w:color w:val="000000"/>
          <w:sz w:val="24"/>
        </w:rPr>
        <w:t>) subject to the terms and conditions of this Stand-Alone Restricted Stock Unit Agreement, which includes this Notice of Restricted Stock Unit Grant (the “</w:t>
      </w:r>
      <w:r>
        <w:rPr>
          <w:rFonts w:ascii="Times New Roman" w:hAnsi="Times New Roman"/>
          <w:b/>
          <w:color w:val="000000"/>
          <w:sz w:val="24"/>
        </w:rPr>
        <w:t>Notice of Grant</w:t>
      </w:r>
      <w:r>
        <w:rPr>
          <w:rFonts w:ascii="Times New Roman" w:hAnsi="Times New Roman"/>
          <w:color w:val="000000"/>
          <w:sz w:val="20"/>
        </w:rPr>
        <w:t>”</w:t>
      </w:r>
      <w:r>
        <w:rPr>
          <w:rFonts w:ascii="Times New Roman" w:hAnsi="Times New Roman"/>
          <w:color w:val="000000"/>
          <w:sz w:val="24"/>
        </w:rPr>
        <w:t>), the Terms and Conditions of Restricted Stock Unit Grant attached hereto as Exhibit A, and all other exhibits, appendices and addenda attached hereto (the “</w:t>
      </w:r>
      <w:r>
        <w:rPr>
          <w:rFonts w:ascii="Times New Roman" w:hAnsi="Times New Roman"/>
          <w:b/>
          <w:color w:val="000000"/>
          <w:sz w:val="24"/>
        </w:rPr>
        <w:t>Award Agreement</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tbl>
      <w:tblPr>
        <w:tblW w:w="4426" w:type="dxa"/>
        <w:jc w:val="left"/>
        <w:tblInd w:w="0" w:type="dxa"/>
        <w:tblLayout w:type="fixed"/>
        <w:tblCellMar>
          <w:top w:w="28" w:type="dxa"/>
          <w:left w:w="28" w:type="dxa"/>
          <w:bottom w:w="28" w:type="dxa"/>
          <w:right w:w="28" w:type="dxa"/>
        </w:tblCellMar>
      </w:tblPr>
      <w:tblGrid>
        <w:gridCol w:w="2907"/>
        <w:gridCol w:w="285"/>
        <w:gridCol w:w="285"/>
        <w:gridCol w:w="285"/>
        <w:gridCol w:w="181"/>
        <w:gridCol w:w="146"/>
        <w:gridCol w:w="146"/>
        <w:gridCol w:w="191"/>
      </w:tblGrid>
      <w:tr>
        <w:trPr/>
        <w:tc>
          <w:tcPr>
            <w:tcW w:w="290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Grant Number:</w:t>
            </w:r>
          </w:p>
        </w:tc>
        <w:tc>
          <w:tcPr>
            <w:tcW w:w="2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07" w:type="dxa"/>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of Grant:</w:t>
            </w:r>
          </w:p>
        </w:tc>
        <w:tc>
          <w:tcPr>
            <w:tcW w:w="2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07" w:type="dxa"/>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2"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Vesting Commencement Date:</w:t>
            </w:r>
          </w:p>
        </w:tc>
        <w:tc>
          <w:tcPr>
            <w:tcW w:w="47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07"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43"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Number of Restricted Stock Units: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07" w:type="dxa"/>
            <w:tcBorders/>
            <w:tcMar>
              <w:top w:w="0" w:type="dxa"/>
              <w:left w:w="0" w:type="dxa"/>
              <w:bottom w:w="0" w:type="dxa"/>
              <w:right w:w="0" w:type="dxa"/>
            </w:tcMar>
            <w:vAlign w:val="center"/>
          </w:tcPr>
          <w:p>
            <w:pPr>
              <w:pStyle w:val="TableContents"/>
              <w:bidi w:val="0"/>
              <w:spacing w:before="0" w:after="283"/>
              <w:jc w:val="left"/>
              <w:rPr/>
            </w:pPr>
            <w:r>
              <w:rPr/>
              <w:t> </w:t>
            </w:r>
          </w:p>
        </w:tc>
        <w:tc>
          <w:tcPr>
            <w:tcW w:w="5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7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Event Deadline Date:</w:t>
            </w:r>
          </w:p>
        </w:tc>
        <w:tc>
          <w:tcPr>
            <w:tcW w:w="61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Stockholder Approval</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The Company intends to submit this Award to the Company’s stockholders for their approval at the next annual meeting of the stockholders of the Company, which is expected to occur in or around June of 2026 (the “</w:t>
      </w:r>
      <w:r>
        <w:rPr>
          <w:rFonts w:ascii="Times New Roman" w:hAnsi="Times New Roman"/>
          <w:b/>
          <w:color w:val="000000"/>
          <w:sz w:val="24"/>
        </w:rPr>
        <w:t>Annual Meeting</w:t>
      </w:r>
      <w:r>
        <w:rPr>
          <w:rFonts w:ascii="Times New Roman" w:hAnsi="Times New Roman"/>
          <w:color w:val="000000"/>
          <w:sz w:val="20"/>
        </w:rPr>
        <w:t>”</w:t>
      </w:r>
      <w:r>
        <w:rPr>
          <w:rFonts w:ascii="Times New Roman" w:hAnsi="Times New Roman"/>
          <w:color w:val="000000"/>
          <w:sz w:val="24"/>
        </w:rPr>
        <w:t>) or at an earlier special meeting of stockholders called for the purpose of approving this Award. In the event that the stockholders of the Company do not approve this Award by the date of such Annual Meeting or the last adjournment thereof, the Award shall be null and void, and of no further effect, and Participant will have no further rights under the Award Agreement. In no event will any portion of this Award vest prior to stockholder approval of this Award. To the extent that any vesting condition with respect to this Award otherwise would be satisfied pursuant to the Vesting Schedule prior to the date of any such stockholder approval, the applicable vesting date for the portion of the Award will not occur before, and will be delayed until, the date of such stockholder approval.</w:t>
      </w:r>
    </w:p>
    <w:p>
      <w:pPr>
        <w:pStyle w:val="TextBody"/>
        <w:bidi w:val="0"/>
        <w:spacing w:before="240" w:after="283"/>
        <w:jc w:val="both"/>
        <w:rPr>
          <w:rFonts w:ascii="Times New Roman" w:hAnsi="Times New Roman"/>
          <w:sz w:val="20"/>
        </w:rPr>
      </w:pPr>
      <w:r>
        <w:rPr>
          <w:rFonts w:ascii="Times New Roman" w:hAnsi="Times New Roman"/>
          <w:b/>
          <w:color w:val="000000"/>
          <w:sz w:val="24"/>
        </w:rPr>
        <w:t>Vesting Schedule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any acceleration provisions contained in this Award Agreement, or any other written agreement authorized by the Administrator between Participant and the Company (or any Parent or Subsidiary of the Company, as applicable) governing the terms of this Award entered into after the Date of Grant, the Restricted Stock Units will be scheduled to vest according to the following vesting schedule: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As detailed in the table below, the Restricted Stock Units are divided into ten (10) vesting tranches (each a “</w:t>
      </w:r>
      <w:r>
        <w:rPr>
          <w:rFonts w:ascii="Times New Roman" w:hAnsi="Times New Roman"/>
          <w:b/>
          <w:color w:val="000000"/>
          <w:sz w:val="24"/>
        </w:rPr>
        <w:t>Tranche</w:t>
      </w:r>
      <w:r>
        <w:rPr>
          <w:rFonts w:ascii="Times New Roman" w:hAnsi="Times New Roman"/>
          <w:color w:val="000000"/>
          <w:sz w:val="20"/>
        </w:rPr>
        <w:t>”</w:t>
      </w:r>
      <w:r>
        <w:rPr>
          <w:rFonts w:ascii="Times New Roman" w:hAnsi="Times New Roman"/>
          <w:color w:val="000000"/>
          <w:sz w:val="24"/>
        </w:rPr>
        <w:t>), with each Tranche representing one tenth (1/10</w:t>
      </w:r>
      <w:r>
        <w:rPr>
          <w:rFonts w:ascii="Times New Roman" w:hAnsi="Times New Roman"/>
          <w:color w:val="000000"/>
          <w:sz w:val="16"/>
        </w:rPr>
        <w:t>th</w:t>
      </w:r>
      <w:r>
        <w:rPr>
          <w:rFonts w:ascii="Times New Roman" w:hAnsi="Times New Roman"/>
          <w:color w:val="000000"/>
          <w:sz w:val="24"/>
        </w:rPr>
        <w:t>) of the Total Number of Restricted Stock Units. The vesting of each Tranche is conditioned on the satisfaction of both the Service Requirement and attainment of the Tranche’s designated Stock Price Goal, and applies only to Restricted Stock Units that become Eligible RSUs, in each case as described below.</w:t>
      </w:r>
    </w:p>
    <w:tbl>
      <w:tblPr>
        <w:tblW w:w="4412" w:type="dxa"/>
        <w:jc w:val="left"/>
        <w:tblInd w:w="0" w:type="dxa"/>
        <w:tblLayout w:type="fixed"/>
        <w:tblCellMar>
          <w:top w:w="28" w:type="dxa"/>
          <w:left w:w="28" w:type="dxa"/>
          <w:bottom w:w="28" w:type="dxa"/>
          <w:right w:w="28" w:type="dxa"/>
        </w:tblCellMar>
      </w:tblPr>
      <w:tblGrid>
        <w:gridCol w:w="1816"/>
        <w:gridCol w:w="2596"/>
      </w:tblGrid>
      <w:tr>
        <w:trPr/>
        <w:tc>
          <w:tcPr>
            <w:tcW w:w="181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1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Vesting Tranche</w:t>
            </w:r>
          </w:p>
        </w:tc>
        <w:tc>
          <w:tcPr>
            <w:tcW w:w="25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Stock Price Threshold *</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1</w:t>
            </w:r>
          </w:p>
        </w:tc>
        <w:tc>
          <w:tcPr>
            <w:tcW w:w="25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$20.00</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2</w:t>
            </w:r>
          </w:p>
        </w:tc>
        <w:tc>
          <w:tcPr>
            <w:tcW w:w="25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$25.00</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3</w:t>
            </w:r>
          </w:p>
        </w:tc>
        <w:tc>
          <w:tcPr>
            <w:tcW w:w="25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$30.00</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4</w:t>
            </w:r>
          </w:p>
        </w:tc>
        <w:tc>
          <w:tcPr>
            <w:tcW w:w="25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$35.00</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5</w:t>
            </w:r>
          </w:p>
        </w:tc>
        <w:tc>
          <w:tcPr>
            <w:tcW w:w="25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$40.00</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6</w:t>
            </w:r>
          </w:p>
        </w:tc>
        <w:tc>
          <w:tcPr>
            <w:tcW w:w="25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$45.00</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7</w:t>
            </w:r>
          </w:p>
        </w:tc>
        <w:tc>
          <w:tcPr>
            <w:tcW w:w="25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$50.00</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8</w:t>
            </w:r>
          </w:p>
        </w:tc>
        <w:tc>
          <w:tcPr>
            <w:tcW w:w="25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$55.00</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9</w:t>
            </w:r>
          </w:p>
        </w:tc>
        <w:tc>
          <w:tcPr>
            <w:tcW w:w="25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$60.00</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10</w:t>
            </w:r>
          </w:p>
        </w:tc>
        <w:tc>
          <w:tcPr>
            <w:tcW w:w="25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$65.00</w:t>
            </w:r>
          </w:p>
        </w:tc>
      </w:tr>
    </w:tbl>
    <w:p>
      <w:pPr>
        <w:pStyle w:val="TextBody"/>
        <w:bidi w:val="0"/>
        <w:spacing w:before="120" w:after="283"/>
        <w:jc w:val="both"/>
        <w:rPr>
          <w:rFonts w:ascii="Times New Roman" w:hAnsi="Times New Roman"/>
          <w:sz w:val="20"/>
        </w:rPr>
      </w:pPr>
      <w:r>
        <w:rPr>
          <w:rFonts w:ascii="Times New Roman" w:hAnsi="Times New Roman"/>
          <w:color w:val="000000"/>
          <w:sz w:val="24"/>
        </w:rPr>
        <w:t>* These Stock Price Threshold figures will be appropriately and proportionately adjusted by the Plan Administrator in the event of any Capitalization Adjustment.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w:t>
      </w:r>
      <w:r>
        <w:rPr>
          <w:rFonts w:ascii="Times New Roman" w:hAnsi="Times New Roman"/>
          <w:b/>
          <w:color w:val="000000"/>
          <w:sz w:val="24"/>
        </w:rPr>
        <w:t>Stock Price Goal</w:t>
      </w:r>
      <w:r>
        <w:rPr>
          <w:rFonts w:ascii="Times New Roman" w:hAnsi="Times New Roman"/>
          <w:color w:val="000000"/>
          <w:sz w:val="20"/>
        </w:rPr>
        <w:t xml:space="preserve">” </w:t>
      </w:r>
      <w:r>
        <w:rPr>
          <w:rFonts w:ascii="Times New Roman" w:hAnsi="Times New Roman"/>
          <w:color w:val="000000"/>
          <w:sz w:val="24"/>
        </w:rPr>
        <w:t>for a Tranche is achieved if the closing price per share of the Company’s Common Stock equals or exceeds the Stock Price Threshold set forth in the table above (taking into account any adjustment by the Plan Administrator in response to any Capitalization Adjustment) for each of a series of sixty (60) consecutive trading days that ends on or prior to the Event Deadline Date.</w:t>
      </w:r>
    </w:p>
    <w:p>
      <w:pPr>
        <w:pStyle w:val="TextBody"/>
        <w:bidi w:val="0"/>
        <w:spacing w:before="240" w:after="283"/>
        <w:jc w:val="both"/>
        <w:rPr>
          <w:rFonts w:ascii="Times New Roman" w:hAnsi="Times New Roman"/>
          <w:sz w:val="20"/>
        </w:rPr>
      </w:pPr>
      <w:r>
        <w:rPr>
          <w:rFonts w:ascii="Times New Roman" w:hAnsi="Times New Roman"/>
          <w:color w:val="000000"/>
          <w:sz w:val="24"/>
        </w:rPr>
        <w:t>If the Stock Price Goal for a Tranche is achieved, the number of Restricted Stock Units eligible for vesting under that Tranche for a given vesting date (before application of the percentage of such Restricted Stock Units available for vesting on that date pursuant to the table below) will be equal to the product of (i) the total number of Restricted Stock Units allocated to that Tranche, mulitiplied by (ii) the VWAP Growth Factor for such vesting date (such Restricted Stock Units, the “</w:t>
      </w:r>
      <w:r>
        <w:rPr>
          <w:rFonts w:ascii="Times New Roman" w:hAnsi="Times New Roman"/>
          <w:b/>
          <w:color w:val="000000"/>
          <w:sz w:val="24"/>
        </w:rPr>
        <w:t>Eligible RSUs</w:t>
      </w:r>
      <w:r>
        <w:rPr>
          <w:rFonts w:ascii="Times New Roman" w:hAnsi="Times New Roman"/>
          <w:color w:val="000000"/>
          <w:sz w:val="20"/>
        </w:rPr>
        <w:t>”</w:t>
      </w:r>
      <w:r>
        <w:rPr>
          <w:rFonts w:ascii="Times New Roman" w:hAnsi="Times New Roman"/>
          <w:color w:val="000000"/>
          <w:sz w:val="24"/>
        </w:rPr>
        <w:t>). For this purpose the “</w:t>
      </w:r>
      <w:r>
        <w:rPr>
          <w:rFonts w:ascii="Times New Roman" w:hAnsi="Times New Roman"/>
          <w:b/>
          <w:color w:val="000000"/>
          <w:sz w:val="24"/>
        </w:rPr>
        <w:t>VWAP Growth Factor</w:t>
      </w:r>
      <w:r>
        <w:rPr>
          <w:rFonts w:ascii="Times New Roman" w:hAnsi="Times New Roman"/>
          <w:color w:val="000000"/>
          <w:sz w:val="20"/>
        </w:rPr>
        <w:t xml:space="preserve">” </w:t>
      </w:r>
      <w:r>
        <w:rPr>
          <w:rFonts w:ascii="Times New Roman" w:hAnsi="Times New Roman"/>
          <w:color w:val="000000"/>
          <w:sz w:val="24"/>
        </w:rPr>
        <w:t>for a vesting date equals the quotient of (x) the difference of (A) the 20-day VWAP for such vesting date, reduced (but not below zero) by (B) the 20-day VWAP as of the Vesting Commencement Date, divided by (y) the 20-day VWAP for such vesting date. For this purpose, the “20-day VWAP” represents the volume-weighted average closing price per share of the Company’s Common Stock, measured with respect to a given date over the consecutive, trailing 20 trading days ending on and including such date.</w:t>
      </w: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will have no right with respect to any Restricted Stock Units allocated to a Tranche for which the Stock Price Goal is not achieved on or prior to the Event Deadline Date, or any Restricted Stock Units that do not become Eligible RSUs (regardless of the extent to which the Service-Based Requirement is satisfied).</w:t>
      </w:r>
    </w:p>
    <w:p>
      <w:pPr>
        <w:pStyle w:val="TextBody"/>
        <w:bidi w:val="0"/>
        <w:spacing w:before="240" w:after="240"/>
        <w:jc w:val="both"/>
        <w:rPr>
          <w:rFonts w:ascii="Times New Roman" w:hAnsi="Times New Roman"/>
          <w:sz w:val="20"/>
        </w:rPr>
      </w:pPr>
      <w:r>
        <w:rPr>
          <w:rFonts w:ascii="Times New Roman" w:hAnsi="Times New Roman"/>
          <w:color w:val="000000"/>
          <w:sz w:val="24"/>
        </w:rPr>
        <w:t>If the Stock Price Goal for a Tranche is achieved:, the Service Requirement will be satisfied as to a portion of the Eligible RSUs for that Tranche on the first date on which that Stock Price Goal is achieved (the “</w:t>
      </w:r>
      <w:r>
        <w:rPr>
          <w:rFonts w:ascii="Times New Roman" w:hAnsi="Times New Roman"/>
          <w:b/>
          <w:color w:val="000000"/>
          <w:sz w:val="24"/>
        </w:rPr>
        <w:t>Stock Price Achievement Date</w:t>
      </w:r>
      <w:r>
        <w:rPr>
          <w:rFonts w:ascii="Times New Roman" w:hAnsi="Times New Roman"/>
          <w:color w:val="000000"/>
          <w:sz w:val="20"/>
        </w:rPr>
        <w:t>”</w:t>
      </w:r>
      <w:r>
        <w:rPr>
          <w:rFonts w:ascii="Times New Roman" w:hAnsi="Times New Roman"/>
          <w:color w:val="000000"/>
          <w:sz w:val="24"/>
        </w:rPr>
        <w:t>), and as to an additional portion of the Eligible RSUs for that Tranche on the designated anniversaries of the Stock Price Achievement Date, in each case as set forth in the table below, subject in each case to Participant remaining an Employee through the Stock Price Achievement Date and remaining a Service Provider through the applicable vesting date.</w:t>
      </w:r>
    </w:p>
    <w:tbl>
      <w:tblPr>
        <w:tblW w:w="10205" w:type="dxa"/>
        <w:jc w:val="left"/>
        <w:tblInd w:w="0" w:type="dxa"/>
        <w:tblLayout w:type="fixed"/>
        <w:tblCellMar>
          <w:top w:w="28" w:type="dxa"/>
          <w:left w:w="28" w:type="dxa"/>
          <w:bottom w:w="28" w:type="dxa"/>
          <w:right w:w="28" w:type="dxa"/>
        </w:tblCellMar>
      </w:tblPr>
      <w:tblGrid>
        <w:gridCol w:w="1431"/>
        <w:gridCol w:w="2657"/>
        <w:gridCol w:w="6117"/>
      </w:tblGrid>
      <w:tr>
        <w:trPr/>
        <w:tc>
          <w:tcPr>
            <w:tcW w:w="1431"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6117" w:type="dxa"/>
            <w:tcBorders/>
            <w:vAlign w:val="center"/>
          </w:tcPr>
          <w:p>
            <w:pPr>
              <w:pStyle w:val="TableContents"/>
              <w:bidi w:val="0"/>
              <w:spacing w:before="0" w:after="283"/>
              <w:jc w:val="left"/>
              <w:rPr>
                <w:sz w:val="4"/>
                <w:szCs w:val="4"/>
              </w:rPr>
            </w:pPr>
            <w:r>
              <w:rPr>
                <w:sz w:val="4"/>
                <w:szCs w:val="4"/>
              </w:rPr>
            </w:r>
          </w:p>
        </w:tc>
      </w:tr>
      <w:tr>
        <w:trPr/>
        <w:tc>
          <w:tcPr>
            <w:tcW w:w="14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Vesting Tranches</w:t>
            </w:r>
          </w:p>
        </w:tc>
        <w:tc>
          <w:tcPr>
            <w:tcW w:w="265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Vesting on Stock Price Achievement Date</w:t>
            </w:r>
          </w:p>
        </w:tc>
        <w:tc>
          <w:tcPr>
            <w:tcW w:w="611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40" w:after="40"/>
              <w:jc w:val="center"/>
              <w:rPr>
                <w:rFonts w:ascii="Times New Roman" w:hAnsi="Times New Roman"/>
                <w:b/>
                <w:color w:val="000000"/>
                <w:sz w:val="24"/>
              </w:rPr>
            </w:pPr>
            <w:r>
              <w:rPr>
                <w:rFonts w:ascii="Times New Roman" w:hAnsi="Times New Roman"/>
                <w:b/>
                <w:color w:val="000000"/>
                <w:sz w:val="24"/>
              </w:rPr>
              <w:t>Vesting following Stock Price Achievement Date</w:t>
            </w:r>
          </w:p>
        </w:tc>
      </w:tr>
      <w:tr>
        <w:trPr/>
        <w:tc>
          <w:tcPr>
            <w:tcW w:w="14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1, 2, 3 and 4</w:t>
            </w:r>
          </w:p>
        </w:tc>
        <w:tc>
          <w:tcPr>
            <w:tcW w:w="2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25%</w:t>
            </w:r>
          </w:p>
        </w:tc>
        <w:tc>
          <w:tcPr>
            <w:tcW w:w="61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25% on each of the six (6) month, twelve (12) month and eighteen (18) month anniversaries of the Stock Price Achievement Date</w:t>
            </w:r>
          </w:p>
        </w:tc>
      </w:tr>
      <w:tr>
        <w:trPr/>
        <w:tc>
          <w:tcPr>
            <w:tcW w:w="14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5, 6, 7 and 8</w:t>
            </w:r>
          </w:p>
        </w:tc>
        <w:tc>
          <w:tcPr>
            <w:tcW w:w="2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25%</w:t>
            </w:r>
          </w:p>
        </w:tc>
        <w:tc>
          <w:tcPr>
            <w:tcW w:w="61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25% on each of the three (3) month, six (6) month and twelve (12) month anniversaries of the Stock Price Achievement Date</w:t>
            </w:r>
          </w:p>
        </w:tc>
      </w:tr>
      <w:tr>
        <w:trPr/>
        <w:tc>
          <w:tcPr>
            <w:tcW w:w="14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9 and 10</w:t>
            </w:r>
          </w:p>
        </w:tc>
        <w:tc>
          <w:tcPr>
            <w:tcW w:w="26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33.3%</w:t>
            </w:r>
          </w:p>
        </w:tc>
        <w:tc>
          <w:tcPr>
            <w:tcW w:w="61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40" w:after="40"/>
              <w:jc w:val="center"/>
              <w:rPr>
                <w:rFonts w:ascii="Times New Roman" w:hAnsi="Times New Roman"/>
                <w:color w:val="000000"/>
                <w:sz w:val="24"/>
              </w:rPr>
            </w:pPr>
            <w:r>
              <w:rPr>
                <w:rFonts w:ascii="Times New Roman" w:hAnsi="Times New Roman"/>
                <w:color w:val="000000"/>
                <w:sz w:val="24"/>
              </w:rPr>
              <w:t>33.3% on the three (3) month anniversary and 33.4% on the six (6) month anniversary of the Stock Price Achievement Date</w:t>
            </w:r>
          </w:p>
        </w:tc>
      </w:tr>
    </w:tbl>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to the contrary herein, the total number of Eligible RSUs for a Tranche that become vested shall not exceed one hundred percent (100%) of the total number of Restricted Stock Units allocated to that Tranche.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Qualifying Termination of Employment:</w:t>
      </w:r>
    </w:p>
    <w:p>
      <w:pPr>
        <w:pStyle w:val="TextBody"/>
        <w:bidi w:val="0"/>
        <w:spacing w:before="240" w:after="283"/>
        <w:jc w:val="both"/>
        <w:rPr>
          <w:rFonts w:ascii="Times New Roman" w:hAnsi="Times New Roman"/>
          <w:sz w:val="20"/>
        </w:rPr>
      </w:pPr>
      <w:r>
        <w:rPr>
          <w:rFonts w:ascii="Times New Roman" w:hAnsi="Times New Roman"/>
          <w:color w:val="000000"/>
          <w:sz w:val="24"/>
        </w:rPr>
        <w:t>In the event that Participant becomes eligible for severance payments in connection with a termination of Participant’s employment pursuant to an offer letter or employment agreement by and between Participant and the Company (or by and among Participant, the Company and a Company subsidiary) (Participant’s “</w:t>
      </w:r>
      <w:r>
        <w:rPr>
          <w:rFonts w:ascii="Times New Roman" w:hAnsi="Times New Roman"/>
          <w:b/>
          <w:color w:val="000000"/>
          <w:sz w:val="24"/>
        </w:rPr>
        <w:t>Employment Agreement</w:t>
      </w:r>
      <w:r>
        <w:rPr>
          <w:rFonts w:ascii="Times New Roman" w:hAnsi="Times New Roman"/>
          <w:color w:val="000000"/>
          <w:sz w:val="20"/>
        </w:rPr>
        <w:t>”</w:t>
      </w:r>
      <w:r>
        <w:rPr>
          <w:rFonts w:ascii="Times New Roman" w:hAnsi="Times New Roman"/>
          <w:color w:val="000000"/>
          <w:sz w:val="24"/>
        </w:rPr>
        <w:t>) due to a termination by the Company or an affiliate without Cause (within the meaning of the Employment Agreement) or Participant’s resignation for Good Reason (within the meaning of the Employment Agreement) outside of the Change in Control Period or similar period of heighted protection designated therein, then, notwithstanding the Service Requirement as described above, subject to Participant’s satisfaction of all conditions of receipt of such severance payments under the Employment Agreement, including Participant’s entry into and non-revocation of a Separation Agreement and Release of Claims and Participant’s compliance with the Employee Intellectual Property and Non-Compete Agreement previously executed by Participant, Participant will become vested in each Tranche for which the Stock Price Goal has been achieved prior to the date of such termination, with respect to any portion of such Tranche for which the vesting date has not occurred on or prior to such termination.</w:t>
      </w:r>
    </w:p>
    <w:p>
      <w:pPr>
        <w:pStyle w:val="TextBody"/>
        <w:bidi w:val="0"/>
        <w:jc w:val="center"/>
        <w:rPr>
          <w:rFonts w:ascii="Times New Roman" w:hAnsi="Times New Roman"/>
          <w:sz w:val="20"/>
        </w:rPr>
      </w:pPr>
      <w:r>
        <w:rPr>
          <w:rFonts w:ascii="Times New Roman" w:hAnsi="Times New Roman"/>
          <w:color w:val="000000"/>
          <w:sz w:val="24"/>
        </w:rPr>
        <w:t>- 3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[Qualifying Termination of Board Service: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Participant ceases to be an Employee, but continues to be a Director following such cessation of employment, and Participant subsequently ceases to be a Director because Participant is not nominated by the Company for reelection to the Board (and not because Participant declines to stand for reelection), or the stockholders of the Company fail to reelect Participant to the Board, then, notwithstanding the Service Requirement as described above, subject to Participant’s satisfaction of all conditions of receipt of severance payments under the Employment Agreement applicable to a termination of employment by the Company without Cause, including Participant’s entry into and non-revocation of a Separation Agreement and Release of Claims and Participant’s compliance with the Employee Intellectual Property and Non-Compete Agreement previously executed by Participant, Participant will become vested in each Tranche for which the Stock Price Goal has been achieved, with respect to any portion of such Tranche for which the vesting date has not occurred on or prior to such cessation of service on the Board.]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Termination of Employment due to Death or Disability: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Participant’s employment terminates due to Participant’s death or due to a termination by the Company or an affiliate based on Participant’s Disability (within the meaning of the Employment Agreement), then, notwithstanding the Service Requirement as described above, subject to Participant’s satisfaction of all conditions of receipt of severance payments under such Employment Agreement applicable to a termination of employment by the Company without Cause, including Participant’s entry into and non-revocation of a Separation Agreement and Release of Claims (which may be executed by Participant’s representative, guardian or executor, as applicable, in the case of Participant’s incapacity or death) and Participant’s compliance with the Employee Intellectual Property and Non-Compete Agreement previously executed by Participant, Participant will become vested in each Tranche for which the Stock Price Goal has been achieved, with respect to any portion of such Tranche for which the vesting date has not occurred on or prior to such termination.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a Change in Control that occurs before achievement of the Stock Price Goal for any Tranche, (i) achievement of such Stock Price Goal will be measured using the closing price of the Common Stock for the last trading day prior to the date of consummation of such Change in Control in lieu of measurement of the closing price over a consecutive sixty (60) trading day period that would otherwise apply, (ii) any such Tranche for which the Stock Price Goal is not achieved based on this measurement will be forfeited in full, and (iii) any Tranche for which the Stock Price Goal is so met will vest in full upon Participant’s continued service through the the date of consummation of such Change in Control.</w:t>
      </w:r>
    </w:p>
    <w:p>
      <w:pPr>
        <w:pStyle w:val="TextBody"/>
        <w:bidi w:val="0"/>
        <w:jc w:val="center"/>
        <w:rPr>
          <w:rFonts w:ascii="Times New Roman" w:hAnsi="Times New Roman"/>
          <w:sz w:val="20"/>
        </w:rPr>
      </w:pPr>
      <w:r>
        <w:rPr>
          <w:rFonts w:ascii="Times New Roman" w:hAnsi="Times New Roman"/>
          <w:color w:val="000000"/>
          <w:sz w:val="24"/>
        </w:rPr>
        <w:t>- 4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By Participant’s signature and the signature of the representative of the Company below, Participant and the Company agree that this Award of Restricted Stock Units is granted under and governed by the terms and conditions of this Award Agreement, including the Terms and Conditions of Restricted Stock Unit Grant, attached hereto as </w:t>
      </w:r>
      <w:r>
        <w:rPr>
          <w:rFonts w:ascii="Times New Roman" w:hAnsi="Times New Roman"/>
          <w:b/>
          <w:color w:val="000000"/>
          <w:sz w:val="24"/>
        </w:rPr>
        <w:t>Exhibit A</w:t>
      </w:r>
      <w:r>
        <w:rPr>
          <w:rFonts w:ascii="Times New Roman" w:hAnsi="Times New Roman"/>
          <w:color w:val="000000"/>
          <w:sz w:val="24"/>
        </w:rPr>
        <w:t>, and all other exhibits, appendices and addenda attached hereto, all of which are made a part of this document. Participant has reviewed this Award Agreement in its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relating to this Award Agreement. Participant further agrees to notify the Company upon any change in Participant’s residence address indicated below.</w:t>
      </w:r>
    </w:p>
    <w:p>
      <w:pPr>
        <w:pStyle w:val="TextBody"/>
        <w:bidi w:val="0"/>
        <w:jc w:val="both"/>
        <w:rPr/>
      </w:pPr>
      <w:r>
        <w:rPr/>
        <w:t> </w:t>
      </w:r>
    </w:p>
    <w:tbl>
      <w:tblPr>
        <w:tblW w:w="4858" w:type="dxa"/>
        <w:jc w:val="left"/>
        <w:tblInd w:w="0" w:type="dxa"/>
        <w:tblLayout w:type="fixed"/>
        <w:tblCellMar>
          <w:top w:w="28" w:type="dxa"/>
          <w:left w:w="28" w:type="dxa"/>
          <w:bottom w:w="28" w:type="dxa"/>
          <w:right w:w="28" w:type="dxa"/>
        </w:tblCellMar>
      </w:tblPr>
      <w:tblGrid>
        <w:gridCol w:w="1996"/>
        <w:gridCol w:w="146"/>
        <w:gridCol w:w="271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PARTICIPANT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PALLADYNE AI CORP.</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Signature</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Residence 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9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- 5</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PALLADYNE AI CORP.</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UNIT AGREEMENT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TERMS AND CONDITIONS OF RESTRICTED STOCK UNIT GRANT</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Unless otherwise defined herein, defined terms shall have the meanings set forth in the Notice of Restricted Stock Unit Grant of this Award Agreement (the “</w:t>
      </w:r>
      <w:r>
        <w:rPr>
          <w:rFonts w:ascii="Times New Roman" w:hAnsi="Times New Roman"/>
          <w:color w:val="000000"/>
          <w:sz w:val="24"/>
        </w:rPr>
        <w:t>Notice of Grant</w:t>
      </w:r>
      <w:r>
        <w:rPr>
          <w:rFonts w:ascii="Times New Roman" w:hAnsi="Times New Roman"/>
          <w:color w:val="000000"/>
          <w:sz w:val="20"/>
        </w:rPr>
        <w:t>”</w:t>
      </w:r>
      <w:r>
        <w:rPr>
          <w:rFonts w:ascii="Times New Roman" w:hAnsi="Times New Roman"/>
          <w:b w:val="false"/>
          <w:color w:val="000000"/>
          <w:sz w:val="24"/>
        </w:rPr>
        <w:t>) or in Section 30 below.</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both"/>
        <w:rPr/>
      </w:pPr>
      <w:r>
        <w:rPr>
          <w:rFonts w:ascii="Times New Roman" w:hAnsi="Times New Roman"/>
          <w:b/>
          <w:color w:val="000000"/>
          <w:sz w:val="24"/>
        </w:rPr>
        <w:t>Grant of Restricted Stock Units</w:t>
      </w:r>
      <w:r>
        <w:rPr>
          <w:rFonts w:ascii="Times New Roman" w:hAnsi="Times New Roman"/>
          <w:color w:val="000000"/>
          <w:sz w:val="24"/>
        </w:rPr>
        <w:t>. The Company hereby grants to the individual (“</w:t>
      </w:r>
      <w:r>
        <w:rPr>
          <w:rFonts w:ascii="Times New Roman" w:hAnsi="Times New Roman"/>
          <w:b/>
          <w:color w:val="000000"/>
          <w:sz w:val="24"/>
        </w:rPr>
        <w:t>Participant</w:t>
      </w:r>
      <w:r>
        <w:rPr>
          <w:color w:val="000000"/>
        </w:rPr>
        <w:t>”</w:t>
      </w:r>
      <w:r>
        <w:rPr>
          <w:rFonts w:ascii="Times New Roman" w:hAnsi="Times New Roman"/>
          <w:color w:val="000000"/>
          <w:sz w:val="24"/>
        </w:rPr>
        <w:t>) named in the Notice of Grant an award of Restricted Stock Units subject to the terms and conditions of this Award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both"/>
        <w:rPr/>
      </w:pPr>
      <w:r>
        <w:rPr>
          <w:rFonts w:ascii="Times New Roman" w:hAnsi="Times New Roman"/>
          <w:b/>
          <w:color w:val="000000"/>
          <w:sz w:val="24"/>
        </w:rPr>
        <w:t>Company’s Obligation to Pay</w:t>
      </w:r>
      <w:r>
        <w:rPr>
          <w:rFonts w:ascii="Times New Roman" w:hAnsi="Times New Roman"/>
          <w:color w:val="000000"/>
          <w:sz w:val="24"/>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pPr>
      <w:r>
        <w:rPr>
          <w:rFonts w:ascii="Times New Roman" w:hAnsi="Times New Roman"/>
          <w:b/>
          <w:color w:val="000000"/>
          <w:sz w:val="24"/>
        </w:rPr>
        <w:t>Vesting Schedule</w:t>
      </w:r>
      <w:r>
        <w:rPr>
          <w:rFonts w:ascii="Times New Roman" w:hAnsi="Times New Roman"/>
          <w:color w:val="000000"/>
          <w:sz w:val="24"/>
        </w:rPr>
        <w:t>. Except as provided in Section 4 and subject to Sections 5 and 11, the Restricted Stock Units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both"/>
        <w:rPr/>
      </w:pPr>
      <w:r>
        <w:rPr>
          <w:rFonts w:ascii="Times New Roman" w:hAnsi="Times New Roman"/>
          <w:b/>
          <w:color w:val="000000"/>
          <w:sz w:val="24"/>
        </w:rPr>
        <w:t>Payment after Vesting</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4"/>
        </w:rPr>
        <w:t>General Rule</w:t>
      </w:r>
      <w:r>
        <w:rPr>
          <w:rFonts w:ascii="Times New Roman" w:hAnsi="Times New Roman"/>
          <w:color w:val="000000"/>
          <w:sz w:val="24"/>
        </w:rPr>
        <w:t>. Subject to Section [7], any Restricted Stock Units that vest will be paid to Participant (or in 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color w:val="000000"/>
          <w:sz w:val="24"/>
        </w:rPr>
        <w:t>Discretionary Acceleration</w:t>
      </w:r>
      <w:r>
        <w:rPr>
          <w:rFonts w:ascii="Times New Roman" w:hAnsi="Times New Roman"/>
          <w:color w:val="000000"/>
          <w:sz w:val="24"/>
        </w:rPr>
        <w:t xml:space="preserve">. The Administrator, in its discretion, may accelerate the vesting of the balance, or some lesser portion of the balance, of the unvested Restricted Stock Units at any time, subject to the terms of this Award Agreement. If so accelerated, such Restricted Stock Units will be considered as having vested as of the date specified by the Administrator.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rFonts w:ascii="Times New Roman" w:hAnsi="Times New Roman"/>
          <w:b/>
          <w:color w:val="000000"/>
          <w:sz w:val="24"/>
        </w:rPr>
        <w:t>Section 409A</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 </w:t>
      </w:r>
      <w:bookmarkStart w:id="26" w:name="ole_link32"/>
      <w:bookmarkEnd w:id="2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 </w:t>
      </w:r>
      <w:bookmarkStart w:id="27" w:name="ole_link5"/>
      <w:bookmarkEnd w:id="2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 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both"/>
        <w:rPr/>
      </w:pPr>
      <w:r>
        <w:rPr>
          <w:rFonts w:ascii="Times New Roman" w:hAnsi="Times New Roman"/>
          <w:b/>
          <w:color w:val="000000"/>
          <w:sz w:val="24"/>
        </w:rPr>
        <w:t>Forfeiture Upon Termination as a Service Provider</w:t>
      </w:r>
      <w:r>
        <w:rPr>
          <w:rFonts w:ascii="Times New Roman" w:hAnsi="Times New Roman"/>
          <w:color w:val="000000"/>
          <w:sz w:val="24"/>
        </w:rPr>
        <w:t>. Unless specifically provided otherwise in this Award Agreement or other written agreement authorized by the 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0" w:after="283"/>
        <w:jc w:val="both"/>
        <w:rPr/>
      </w:pPr>
      <w:r>
        <w:rPr>
          <w:rFonts w:ascii="Times New Roman" w:hAnsi="Times New Roman"/>
          <w:b/>
          <w:color w:val="000000"/>
          <w:sz w:val="24"/>
        </w:rPr>
        <w:t>Death of Participant</w:t>
      </w:r>
      <w:r>
        <w:rPr>
          <w:rFonts w:ascii="Times New Roman" w:hAnsi="Times New Roman"/>
          <w:color w:val="000000"/>
          <w:sz w:val="24"/>
        </w:rPr>
        <w:t xml:space="preserve">. Any distribution or delivery to be made to Participant under this Award Agreement, if Participant is then deceased, will be made to Participant’s designated beneficiary, or if no beneficiary survives Participant, the administrator or executor of Participant’s </w:t>
      </w: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Tax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color w:val="000000"/>
          <w:sz w:val="24"/>
        </w:rPr>
        <w:t>Responsibility for Taxes</w:t>
      </w:r>
      <w:r>
        <w:rPr>
          <w:rFonts w:ascii="Times New Roman" w:hAnsi="Times New Roman"/>
          <w:color w:val="000000"/>
          <w:sz w:val="24"/>
        </w:rPr>
        <w:t>. Participant acknowledges that, regardless of any action taken by the Company or, if different, Participant’s employer or any Parent or Subsidiary of the Company to which Participant is providing services (together, the “</w:t>
      </w:r>
      <w:r>
        <w:rPr>
          <w:rFonts w:ascii="Times New Roman" w:hAnsi="Times New Roman"/>
          <w:b/>
          <w:color w:val="000000"/>
          <w:sz w:val="24"/>
        </w:rPr>
        <w:t>Service Recipients</w:t>
      </w:r>
      <w:r>
        <w:rPr>
          <w:color w:val="000000"/>
        </w:rPr>
        <w:t>”</w:t>
      </w:r>
      <w:r>
        <w:rPr>
          <w:rFonts w:ascii="Times New Roman" w:hAnsi="Times New Roman"/>
          <w:color w:val="000000"/>
          <w:sz w:val="24"/>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the Award of Restricted Stock Unit and legally applicable to Participant, (ii) Participant’s and, to the extent required by any Service Recipient, the Service Recipient’s fringe benefit tax liability, if any, associated with the grant, vesting, or settlement of the Restricted Stock Units, or the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hAnsi="Times New Roman"/>
          <w:b/>
          <w:color w:val="000000"/>
          <w:sz w:val="24"/>
        </w:rPr>
        <w:t>Tax Obligations</w:t>
      </w:r>
      <w:r>
        <w:rPr>
          <w:color w:val="000000"/>
        </w:rPr>
        <w:t>”</w:t>
      </w:r>
      <w:r>
        <w:rPr>
          <w:rFonts w:ascii="Times New Roman" w:hAnsi="Times New Roman"/>
          <w:color w:val="000000"/>
          <w:sz w:val="24"/>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(as defined below) in more than one jurisdiction. If Participant fails to make satisfactory arrangements for the payment of any required Withholding Obligations hereunder at the time of the applicable taxable event, Participant acknowledges and agrees that the Company may refuse to issue or deliver the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color w:val="000000"/>
          <w:sz w:val="24"/>
        </w:rPr>
        <w:t>Tax Withholding</w:t>
      </w:r>
      <w:r>
        <w:rPr>
          <w:rFonts w:ascii="Times New Roman" w:hAnsi="Times New Roman"/>
          <w:color w:val="000000"/>
          <w:sz w:val="24"/>
        </w:rPr>
        <w:t>. Notwithstanding any contrary provision of this Award Agreement, no certificate representing the Shares to be settled hereunder may be issued, unless and until satisfactory arrangements (as determined by the Administrator) will have been made by Participant with respect to the payment of all Tax Obligations required to be withheld (the “</w:t>
      </w:r>
      <w:r>
        <w:rPr>
          <w:rFonts w:ascii="Times New Roman" w:hAnsi="Times New Roman"/>
          <w:b/>
          <w:color w:val="000000"/>
          <w:sz w:val="24"/>
        </w:rPr>
        <w:t>Withholding Obligations</w:t>
      </w:r>
      <w:r>
        <w:rPr>
          <w:color w:val="000000"/>
        </w:rPr>
        <w:t>”</w:t>
      </w:r>
      <w:r>
        <w:rPr>
          <w:rFonts w:ascii="Times New Roman" w:hAnsi="Times New Roman"/>
          <w:color w:val="000000"/>
          <w:sz w:val="24"/>
        </w:rPr>
        <w:t xml:space="preserve">). When Restricted Stock Units are vested and settled,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applicable Service Recipient(s) will withhold the amount required to be withheld for the payment of Withholding Obligations. The Administrator, in its sole discretion and pursuant to such procedures as it may specify from time to time, may permit Participant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w:t>
      </w:r>
    </w:p>
    <w:p>
      <w:pPr>
        <w:pStyle w:val="TextBody"/>
        <w:bidi w:val="0"/>
        <w:jc w:val="center"/>
        <w:rPr>
          <w:rFonts w:ascii="Times New Roman" w:hAnsi="Times New Roman"/>
          <w:sz w:val="20"/>
        </w:rPr>
      </w:pPr>
      <w:r>
        <w:rPr>
          <w:rFonts w:ascii="Times New Roman" w:hAnsi="Times New Roman"/>
          <w:color w:val="000000"/>
          <w:sz w:val="24"/>
        </w:rPr>
        <w:t>- 3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Obligations (or such greater amount as Participant may elect if permitted by the Administrator, if such greater amount would not result in adverse financial accounting consequences) (“</w:t>
      </w:r>
      <w:r>
        <w:rPr>
          <w:rFonts w:ascii="Times New Roman" w:hAnsi="Times New Roman"/>
          <w:b/>
          <w:color w:val="000000"/>
          <w:sz w:val="24"/>
        </w:rPr>
        <w:t>Net Share Withholding</w:t>
      </w:r>
      <w:r>
        <w:rPr>
          <w:color w:val="000000"/>
        </w:rPr>
        <w:t>”</w:t>
      </w:r>
      <w:r>
        <w:rPr>
          <w:rFonts w:ascii="Times New Roman" w:hAnsi="Times New Roman"/>
          <w:color w:val="000000"/>
          <w:sz w:val="24"/>
        </w:rPr>
        <w:t>), (iii) withholding the amount of such Withholding Obligations from Participant’s wages or other cash compensation paid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hAnsi="Times New Roman"/>
          <w:b/>
          <w:color w:val="000000"/>
          <w:sz w:val="24"/>
        </w:rPr>
        <w:t>Sell to Cover</w:t>
      </w:r>
      <w:r>
        <w:rPr>
          <w:color w:val="000000"/>
        </w:rPr>
        <w:t>”</w:t>
      </w:r>
      <w:r>
        <w:rPr>
          <w:rFonts w:ascii="Times New Roman" w:hAnsi="Times New Roman"/>
          <w:color w:val="000000"/>
          <w:sz w:val="24"/>
        </w:rPr>
        <w:t>),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color w:val="000000"/>
          <w:sz w:val="24"/>
        </w:rPr>
        <w:t>Tax Consequences</w:t>
      </w:r>
      <w:r>
        <w:rPr>
          <w:rFonts w:ascii="Times New Roman" w:hAnsi="Times New Roman"/>
          <w:color w:val="000000"/>
          <w:sz w:val="24"/>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b/>
          <w:color w:val="000000"/>
          <w:sz w:val="24"/>
        </w:rPr>
        <w:t>Company’s Obligation to Deliver Shares</w:t>
      </w:r>
      <w:r>
        <w:rPr>
          <w:rFonts w:ascii="Times New Roman" w:hAnsi="Times New Roman"/>
          <w:color w:val="000000"/>
          <w:sz w:val="24"/>
        </w:rPr>
        <w:t>. For clarification purposes, in no event will the 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delivered at the time they are due.</w:t>
      </w:r>
    </w:p>
    <w:p>
      <w:pPr>
        <w:pStyle w:val="TextBody"/>
        <w:bidi w:val="0"/>
        <w:jc w:val="center"/>
        <w:rPr>
          <w:rFonts w:ascii="Times New Roman" w:hAnsi="Times New Roman"/>
          <w:sz w:val="20"/>
        </w:rPr>
      </w:pPr>
      <w:r>
        <w:rPr>
          <w:rFonts w:ascii="Times New Roman" w:hAnsi="Times New Roman"/>
          <w:color w:val="000000"/>
          <w:sz w:val="24"/>
        </w:rPr>
        <w:t>- 4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40" w:after="283"/>
        <w:jc w:val="both"/>
        <w:rPr/>
      </w:pPr>
      <w:r>
        <w:rPr>
          <w:rFonts w:ascii="Times New Roman" w:hAnsi="Times New Roman"/>
          <w:b/>
          <w:color w:val="000000"/>
          <w:sz w:val="24"/>
        </w:rPr>
        <w:t>Rights as Stockholder</w:t>
      </w:r>
      <w:r>
        <w:rPr>
          <w:rFonts w:ascii="Times New Roman" w:hAnsi="Times New Roman"/>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0" w:after="283"/>
        <w:jc w:val="both"/>
        <w:rPr/>
      </w:pPr>
      <w:r>
        <w:rPr>
          <w:rFonts w:ascii="Times New Roman" w:hAnsi="Times New Roman"/>
          <w:b/>
          <w:color w:val="000000"/>
          <w:sz w:val="24"/>
        </w:rPr>
        <w:t>Administration</w:t>
      </w:r>
      <w:r>
        <w:rPr>
          <w:rFonts w:ascii="Times New Roman" w:hAnsi="Times New Roman"/>
          <w:color w:val="000000"/>
          <w:sz w:val="24"/>
        </w:rPr>
        <w:t>. Subject to the provisions of this Award Agreement, the Administrator will have the authority, in its discretion: (i) to construe and interpret the terms of this Award Agreement; (ii) to prescribe, amend and rescind rules and regulations relating to the Award as the Administrator may deem necessary or advisable; (iii) to amend or terminate this Award Agreement (provided that no amendment or termination of the Award Agreement will materially impair the rights of Participant unless mutually agreed otherwise between the Participant and the Administrator, which agreement must be in writing and signed by the Participant and the Company); (iv) to allow Participant to satisfy withholding tax obligations with respect to the Award in a manner prescribed in Section 6; (v) to authorize any person to execute on behalf of the Company any instrument required to effect the grant of the Award; and (vi) to make all other determinations deemed necessary or advisable for administering the Award. The Administrator’s decisions, determinations and interpretations will be final and binding on Participant and any other holder of the Award and will be given the maximum deference permitted by Applicable Laws.</w:t>
      </w:r>
      <w:r>
        <w:rPr>
          <w:color w:val="000000"/>
        </w:rPr>
        <w:t xml:space="preserv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240" w:after="283"/>
        <w:jc w:val="both"/>
        <w:rPr/>
      </w:pPr>
      <w:r>
        <w:rPr>
          <w:rFonts w:ascii="Times New Roman" w:hAnsi="Times New Roman"/>
          <w:b/>
          <w:color w:val="000000"/>
          <w:sz w:val="24"/>
        </w:rPr>
        <w:t>Leaves of Absence/Transfer Between Locations</w:t>
      </w:r>
      <w:r>
        <w:rPr>
          <w:rFonts w:ascii="Times New Roman" w:hAnsi="Times New Roman"/>
          <w:color w:val="000000"/>
          <w:sz w:val="24"/>
        </w:rPr>
        <w:t>. Unless the Administrator provides otherwise or as otherwise required by Applicable Laws, vesting of the Award of Restricted Stock Units will be suspended during any unpaid leave of absence of Participant. Participant will not cease to be an Employee in the case of (a) any leave of absence approved by the Company or (b) transfers between locations of the Company or between the Company, its Parent, or any of its Subsidiaries.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240" w:after="283"/>
        <w:jc w:val="both"/>
        <w:rPr/>
      </w:pPr>
      <w:r>
        <w:rPr>
          <w:rFonts w:ascii="Times New Roman" w:hAnsi="Times New Roman"/>
          <w:b/>
          <w:color w:val="000000"/>
          <w:sz w:val="24"/>
        </w:rPr>
        <w:t>Adjustments; Dissolution or Liquidation; Merger or Change in Control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color w:val="000000"/>
          <w:sz w:val="24"/>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Award Agreement, will adjust the number and class of shares of stock that may be delivered under the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color w:val="000000"/>
          <w:sz w:val="24"/>
        </w:rPr>
        <w:t>Dissolution or Liquidation</w:t>
      </w:r>
      <w:r>
        <w:rPr>
          <w:rFonts w:ascii="Times New Roman" w:hAnsi="Times New Roman"/>
          <w:color w:val="000000"/>
          <w:sz w:val="24"/>
        </w:rPr>
        <w:t>. In the event of the proposed dissolution or liquidation of the Company, the Administrator will notify Participant as soon as practicable prior to the effective date of such proposed transaction. To the extent it has not been previously vested, the Restricted Stock Award will terminate immediately prior to the consummation of such proposed action.</w:t>
      </w:r>
    </w:p>
    <w:p>
      <w:pPr>
        <w:pStyle w:val="TextBody"/>
        <w:bidi w:val="0"/>
        <w:jc w:val="center"/>
        <w:rPr>
          <w:rFonts w:ascii="Times New Roman" w:hAnsi="Times New Roman"/>
          <w:sz w:val="20"/>
        </w:rPr>
      </w:pPr>
      <w:r>
        <w:rPr>
          <w:rFonts w:ascii="Times New Roman" w:hAnsi="Times New Roman"/>
          <w:color w:val="000000"/>
          <w:sz w:val="24"/>
        </w:rPr>
        <w:t>- 5</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color w:val="000000"/>
          <w:sz w:val="24"/>
        </w:rPr>
        <w:t>Merger or Change in Control</w:t>
      </w:r>
      <w:r>
        <w:rPr>
          <w:rFonts w:ascii="Times New Roman" w:hAnsi="Times New Roman"/>
          <w:color w:val="000000"/>
          <w:sz w:val="24"/>
        </w:rPr>
        <w:t>. Subject to any relevant provisions in the Notice of Grant, in the event of a merger of the Company with or into another corporation or other entity or a Change in Control, the Award will be treated as the Administrator determines (subject to the provisions of the following paragraph) without Participant’s consent, including, without limitation, that (i) the Award will be assumed, or a substantially equivalent award will be substituted, by the acquiring or succeeding corporation (or an affiliate thereof) with appropriate adjustments as to the number and kind of shares; (ii) upon written notice to Participant, that the Award of Restricted Stock Units will terminate upon or immediately prior to the consummation of such merger or Change in Control; (iii) restrictions applicable to the Award of Restricted Stock Units will lapse, in whole or in part prior to or upon consummation of such merger or Change in Control, and, to the extent the Administrator determines, terminate upon or immediately prior to the effectiveness of such merger or Change in Control; (iv) the termination of the Award of Restricted Stock Units in exchange for an amount of cash and/or property, if any, equal to the amount that would have been attained upon realization of the Participant’s rights under the Award of Restricted Stock Units as of the date of the occurrence of the transaction (and, for the avoidance of doubt, if as of the date of the occurrence of the transaction the Administrator determines in good faith that no amount would have been attained upon the realization of the Participant’s rights, then such Award may be terminated by the Company without payment). In taking any of the actions permitted under this Section 10(c), the Administrator will not be obligated to treat all awards, all awards held by Participant, all awards of the same type, or all portions of awards, similarly.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successor corporation does not assume or substitute for the Award of Restricted Stock Units (or portion thereof) in such a merger or Change in Control, all restrictions on the Award of Restricted Stock Units (or portion thereof) not assumed or substituted for will lapse, in each case unless specifically provided otherwise under this Award Agreement or other written agreement authorized by the Administrator between Participant and the Company or any of its Subsidiaries or Parents, as applicable.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purposes of this Section 10(c), the Award of Restricted Stock Units will be considered assumed if, following the merger or Change in Control, the Award of Restricted Stock Units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in this Section 10(c) to the contrary, and unless otherwise provided in this Award Agreement, if the Award of Restricted Stock Units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pStyle w:val="TextBody"/>
        <w:bidi w:val="0"/>
        <w:jc w:val="center"/>
        <w:rPr>
          <w:rFonts w:ascii="Times New Roman" w:hAnsi="Times New Roman"/>
          <w:sz w:val="20"/>
        </w:rPr>
      </w:pPr>
      <w:r>
        <w:rPr>
          <w:rFonts w:ascii="Times New Roman" w:hAnsi="Times New Roman"/>
          <w:color w:val="000000"/>
          <w:sz w:val="24"/>
        </w:rPr>
        <w:t>- 6</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0" w:after="283"/>
        <w:jc w:val="both"/>
        <w:rPr/>
      </w:pPr>
      <w:r>
        <w:rPr>
          <w:rFonts w:ascii="Times New Roman" w:hAnsi="Times New Roman"/>
          <w:b/>
          <w:color w:val="000000"/>
          <w:sz w:val="24"/>
        </w:rPr>
        <w:t>No Guarantee of Continued Service</w:t>
      </w:r>
      <w:r>
        <w:rPr>
          <w:rFonts w:ascii="Times New Roman" w:hAnsi="Times New Roman"/>
          <w:color w:val="000000"/>
          <w:sz w:val="24"/>
        </w:rPr>
        <w:t>. PARTICIPANT ACKNOWLEDGES AND AGREES THAT THE VESTING OF THE RESTRICTED STOCK UNITS PURSUANT TO THE VESTING SCHEDULE HEREOF IS EARNED ONLY BY CONTINUING AS A SERVICE PROVIDER,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40" w:after="283"/>
        <w:jc w:val="both"/>
        <w:rPr/>
      </w:pPr>
      <w:r>
        <w:rPr>
          <w:rFonts w:ascii="Times New Roman" w:hAnsi="Times New Roman"/>
          <w:b/>
          <w:color w:val="000000"/>
          <w:sz w:val="24"/>
        </w:rPr>
        <w:t>Grant is Not Transferable</w:t>
      </w:r>
      <w:r>
        <w:rPr>
          <w:rFonts w:ascii="Times New Roman" w:hAnsi="Times New Roman"/>
          <w:color w:val="000000"/>
          <w:sz w:val="24"/>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240" w:after="283"/>
        <w:jc w:val="both"/>
        <w:rPr/>
      </w:pPr>
      <w:r>
        <w:rPr>
          <w:rFonts w:ascii="Times New Roman" w:hAnsi="Times New Roman"/>
          <w:b/>
          <w:color w:val="000000"/>
          <w:sz w:val="24"/>
        </w:rPr>
        <w:t>Nature of Grant</w:t>
      </w:r>
      <w:r>
        <w:rPr>
          <w:rFonts w:ascii="Times New Roman" w:hAnsi="Times New Roman"/>
          <w:color w:val="000000"/>
          <w:sz w:val="24"/>
        </w:rPr>
        <w:t>. In accepting this Award of Restricted Stock Units, Participant acknowledges, understands and agrees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grant of the Restricted Stock Units is voluntary and occasional and does not create any contractual or other right to receive future grants of Restricted Stock Units, or benefits in lieu of Restricted Stock Units, even if Restricted Stock Units have been granted in the past;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decisions with respect to future Restricted Stock Units or other grants, if any, will be at the sole discretion of the Administrator;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Participant is voluntarily participating in the Award of Restricted Stock Units;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Restricted Stock Units and the Shares subject to the Restricted Stock Units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future value of the Shares underlying the Restricted Stock Units is unknown, indeterminable and cannot be predicted with certainty; </w:t>
      </w:r>
    </w:p>
    <w:p>
      <w:pPr>
        <w:pStyle w:val="TextBody"/>
        <w:bidi w:val="0"/>
        <w:jc w:val="center"/>
        <w:rPr>
          <w:rFonts w:ascii="Times New Roman" w:hAnsi="Times New Roman"/>
          <w:sz w:val="20"/>
        </w:rPr>
      </w:pPr>
      <w:r>
        <w:rPr>
          <w:rFonts w:ascii="Times New Roman" w:hAnsi="Times New Roman"/>
          <w:color w:val="000000"/>
          <w:sz w:val="24"/>
        </w:rPr>
        <w:t>- 7</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provided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provisions apply only if Participant is providing services outside the United States: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Restricted Stock Units and the Shares subject to the Restricted Stock Units are not part of normal or expected compensation or salary for any purpose;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Restricted Stock Unit Award, Participant shall be deemed irrevocably to have agreed not to pursue such claim and agrees to execute any and all documents necessary to request dismissal or withdrawal of such claim.</w:t>
      </w:r>
    </w:p>
    <w:p>
      <w:pPr>
        <w:pStyle w:val="TextBody"/>
        <w:bidi w:val="0"/>
        <w:jc w:val="center"/>
        <w:rPr>
          <w:rFonts w:ascii="Times New Roman" w:hAnsi="Times New Roman"/>
          <w:sz w:val="20"/>
        </w:rPr>
      </w:pPr>
      <w:r>
        <w:rPr>
          <w:rFonts w:ascii="Times New Roman" w:hAnsi="Times New Roman"/>
          <w:color w:val="000000"/>
          <w:sz w:val="24"/>
        </w:rPr>
        <w:t>- 8</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240" w:after="283"/>
        <w:jc w:val="both"/>
        <w:rPr/>
      </w:pPr>
      <w:r>
        <w:rPr>
          <w:rFonts w:ascii="Times New Roman" w:hAnsi="Times New Roman"/>
          <w:b/>
          <w:color w:val="000000"/>
          <w:sz w:val="24"/>
        </w:rPr>
        <w:t>No Advice Regarding Grant</w:t>
      </w:r>
      <w:r>
        <w:rPr>
          <w:rFonts w:ascii="Times New Roman" w:hAnsi="Times New Roman"/>
          <w:color w:val="000000"/>
          <w:sz w:val="24"/>
        </w:rPr>
        <w:t>. The Company is not providing any tax, legal or financial advice, nor is the Company making any recommendations regarding Participant’s participation in the Award of Restricted Stock Units, or Participant’s acquisition or sale of the Shares underlying the Restricted Stock Units. Participant is hereby advised to consult with his or her own personal tax, legal and financial advisers regarding his or her participation in the Award of Restricted Stock Units before taking any action related to the Award of Restricted Stock Units.</w:t>
      </w:r>
    </w:p>
    <w:p>
      <w:pPr>
        <w:pStyle w:val="TextBody"/>
        <w:bidi w:val="0"/>
        <w:spacing w:before="240" w:after="240"/>
        <w:jc w:val="both"/>
        <w:rPr>
          <w:rFonts w:ascii="Times New Roman" w:hAnsi="Times New Roman"/>
          <w:b/>
          <w:i/>
          <w:color w:val="000000"/>
          <w:sz w:val="24"/>
        </w:rPr>
      </w:pPr>
      <w:r>
        <w:rPr>
          <w:rFonts w:ascii="Times New Roman" w:hAnsi="Times New Roman"/>
          <w:b/>
          <w:i/>
          <w:color w:val="000000"/>
          <w:sz w:val="24"/>
        </w:rPr>
        <w:t>16.</w:t>
      </w:r>
    </w:p>
    <w:p>
      <w:pPr>
        <w:pStyle w:val="TextBody"/>
        <w:bidi w:val="0"/>
        <w:spacing w:before="240" w:after="240"/>
        <w:jc w:val="both"/>
        <w:rPr>
          <w:rFonts w:ascii="Times New Roman" w:hAnsi="Times New Roman"/>
          <w:b/>
          <w:i/>
          <w:color w:val="000000"/>
          <w:sz w:val="24"/>
        </w:rPr>
      </w:pPr>
      <w:r>
        <w:rPr>
          <w:rFonts w:ascii="Times New Roman" w:hAnsi="Times New Roman"/>
          <w:b/>
          <w:i/>
          <w:color w:val="000000"/>
          <w:sz w:val="24"/>
        </w:rPr>
        <w:t>Data Privacy.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Award of Restricted Stock Units.</w:t>
      </w:r>
    </w:p>
    <w:p>
      <w:pPr>
        <w:pStyle w:val="TextBody"/>
        <w:bidi w:val="0"/>
        <w:spacing w:before="0" w:after="240"/>
        <w:jc w:val="both"/>
        <w:rPr>
          <w:rFonts w:ascii="Times New Roman" w:hAnsi="Times New Roman"/>
          <w:sz w:val="20"/>
        </w:rPr>
      </w:pPr>
      <w:r>
        <w:rPr>
          <w:rFonts w:ascii="Times New Roman" w:hAnsi="Times New Roman"/>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Award of Restricted Stock Units.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i/>
          <w:color w:val="000000"/>
          <w:sz w:val="24"/>
        </w:rPr>
        <w:t>Participant understands that Data may be transferred to a stock plan service provider, as may be selected by the Company in the future, assisting the Company with the implementation, administration and management of the Award of Restricted Stock Units.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Award of Restricted Stock Units to receive, possess, use, retain and transfer the Data, in electronic or other form, for the sole purpose of implementing, administering and managing his or her participation in the Award of Restricted Stock Units. Participant understands that Data will be held only as long as is necessary to implement, administer and manage Participant’s participation in the Award of Restricted Stock Units.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Award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- 9</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Restricted Stock Units. For more information on the consequences of Participant’s refusal to consent or withdrawal of consent, Participant understands that he or she may contact his or her local human resources representative.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240" w:after="283"/>
        <w:jc w:val="both"/>
        <w:rPr/>
      </w:pPr>
      <w:r>
        <w:rPr>
          <w:rFonts w:ascii="Times New Roman" w:hAnsi="Times New Roman"/>
          <w:b/>
          <w:color w:val="000000"/>
          <w:sz w:val="24"/>
        </w:rPr>
        <w:t>Address for Notices</w:t>
      </w:r>
      <w:r>
        <w:rPr>
          <w:rFonts w:ascii="Times New Roman" w:hAnsi="Times New Roman"/>
          <w:color w:val="000000"/>
          <w:sz w:val="24"/>
        </w:rPr>
        <w:t>. Any notice to be given to the Company under the terms of this Award Agreement will be addressed to the Company at Palladyne AI Corp., 650 South 500 West, Suite 150, Salt Lake City, Utah, 84101, or at such other address as the Company may hereafter designate in writing.</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240" w:after="283"/>
        <w:jc w:val="both"/>
        <w:rPr/>
      </w:pPr>
      <w:r>
        <w:rPr>
          <w:rFonts w:ascii="Times New Roman" w:hAnsi="Times New Roman"/>
          <w:b/>
          <w:color w:val="000000"/>
          <w:sz w:val="24"/>
        </w:rPr>
        <w:t>Successors and Assigns</w:t>
      </w:r>
      <w:r>
        <w:rPr>
          <w:rFonts w:ascii="Times New Roman" w:hAnsi="Times New Roman"/>
          <w:color w:val="000000"/>
          <w:sz w:val="24"/>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Participant’s heirs, executors, administrators, successors and assigns. The rights and obligations of Participant under this Award Agreement may be assigned only with the prior written consent of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240" w:after="283"/>
        <w:jc w:val="both"/>
        <w:rPr/>
      </w:pPr>
      <w:r>
        <w:rPr>
          <w:rFonts w:ascii="Times New Roman" w:hAnsi="Times New Roman"/>
          <w:b/>
          <w:color w:val="000000"/>
          <w:sz w:val="24"/>
        </w:rPr>
        <w:t>Additional Conditions to Issuance of Stock</w:t>
      </w:r>
      <w:r>
        <w:rPr>
          <w:rFonts w:ascii="Times New Roman" w:hAnsi="Times New Roman"/>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240" w:after="283"/>
        <w:jc w:val="both"/>
        <w:rPr/>
      </w:pPr>
      <w:r>
        <w:rPr>
          <w:rFonts w:ascii="Times New Roman" w:hAnsi="Times New Roman"/>
          <w:b/>
          <w:color w:val="000000"/>
          <w:sz w:val="24"/>
        </w:rPr>
        <w:t>Language</w:t>
      </w:r>
      <w:r>
        <w:rPr>
          <w:rFonts w:ascii="Times New Roman" w:hAnsi="Times New Roman"/>
          <w:color w:val="000000"/>
          <w:sz w:val="24"/>
        </w:rPr>
        <w:t>. If Participant has received this Award Agreement or any other related document translated into a language other than English and if the meaning of the translated version is different than the English version, the English version will control.</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240" w:after="283"/>
        <w:jc w:val="both"/>
        <w:rPr/>
      </w:pPr>
      <w:r>
        <w:rPr>
          <w:rFonts w:ascii="Times New Roman" w:hAnsi="Times New Roman"/>
          <w:b/>
          <w:color w:val="000000"/>
          <w:sz w:val="24"/>
        </w:rPr>
        <w:t>Interpretation</w:t>
      </w:r>
      <w:r>
        <w:rPr>
          <w:rFonts w:ascii="Times New Roman" w:hAnsi="Times New Roman"/>
          <w:color w:val="000000"/>
          <w:sz w:val="24"/>
        </w:rPr>
        <w:t>. The Administrator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this Award Agreement.</w:t>
      </w:r>
    </w:p>
    <w:p>
      <w:pPr>
        <w:pStyle w:val="TextBody"/>
        <w:bidi w:val="0"/>
        <w:jc w:val="center"/>
        <w:rPr>
          <w:rFonts w:ascii="Times New Roman" w:hAnsi="Times New Roman"/>
          <w:sz w:val="20"/>
        </w:rPr>
      </w:pPr>
      <w:r>
        <w:rPr>
          <w:rFonts w:ascii="Times New Roman" w:hAnsi="Times New Roman"/>
          <w:color w:val="000000"/>
          <w:sz w:val="24"/>
        </w:rPr>
        <w:t>- 10</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240" w:after="283"/>
        <w:jc w:val="both"/>
        <w:rPr/>
      </w:pPr>
      <w:r>
        <w:rPr>
          <w:rFonts w:ascii="Times New Roman" w:hAnsi="Times New Roman"/>
          <w:b/>
          <w:color w:val="000000"/>
          <w:sz w:val="24"/>
        </w:rPr>
        <w:t>Electronic Delivery and Acceptance</w:t>
      </w:r>
      <w:r>
        <w:rPr>
          <w:rFonts w:ascii="Times New Roman" w:hAnsi="Times New Roman"/>
          <w:color w:val="000000"/>
          <w:sz w:val="24"/>
        </w:rPr>
        <w:t>. The Company may, in its sole discretion, decide to deliver any documents related to the Award of Restricted Stock Units or any future Restricted Stock Units by electronic means or require Participant to participate in the Award by electronic means. Participant hereby consents to receive such documents by electronic delivery and agrees to participate in the Award through any on-line or electronic system established and maintained by the Company or a third party designated by the Company.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240" w:after="283"/>
        <w:jc w:val="both"/>
        <w:rPr/>
      </w:pPr>
      <w:r>
        <w:rPr>
          <w:rFonts w:ascii="Times New Roman" w:hAnsi="Times New Roman"/>
          <w:b/>
          <w:color w:val="000000"/>
          <w:sz w:val="24"/>
        </w:rPr>
        <w:t>Captions</w:t>
      </w:r>
      <w:r>
        <w:rPr>
          <w:rFonts w:ascii="Times New Roman" w:hAnsi="Times New Roman"/>
          <w:color w:val="000000"/>
          <w:sz w:val="24"/>
        </w:rPr>
        <w:t>. Captions provided herein are for convenience only and are not to serve as a basis for interpretation or construction of this Award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240" w:after="283"/>
        <w:jc w:val="both"/>
        <w:rPr/>
      </w:pPr>
      <w:r>
        <w:rPr>
          <w:rFonts w:ascii="Times New Roman" w:hAnsi="Times New Roman"/>
          <w:b/>
          <w:color w:val="000000"/>
          <w:sz w:val="24"/>
        </w:rPr>
        <w:t>Country Addendum</w:t>
      </w:r>
      <w:r>
        <w:rPr>
          <w:rFonts w:ascii="Times New Roman" w:hAnsi="Times New Roman"/>
          <w:color w:val="000000"/>
          <w:sz w:val="24"/>
        </w:rPr>
        <w:t>. Notwithstanding any provisions in this Award Agreement, the Award of Restricted Stock Units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hAnsi="Times New Roman"/>
          <w:b/>
          <w:color w:val="000000"/>
          <w:sz w:val="24"/>
        </w:rPr>
        <w:t>Country Addendum</w:t>
      </w:r>
      <w:r>
        <w:rPr>
          <w:color w:val="000000"/>
        </w:rPr>
        <w:t>”</w:t>
      </w:r>
      <w:r>
        <w:rPr>
          <w:rFonts w:ascii="Times New Roman" w:hAnsi="Times New Roman"/>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240" w:after="283"/>
        <w:jc w:val="both"/>
        <w:rPr/>
      </w:pPr>
      <w:r>
        <w:rPr>
          <w:rFonts w:ascii="Times New Roman" w:hAnsi="Times New Roman"/>
          <w:b/>
          <w:color w:val="000000"/>
          <w:sz w:val="24"/>
        </w:rPr>
        <w:t>Modifications to the Award Agreement</w:t>
      </w:r>
      <w:r>
        <w:rPr>
          <w:rFonts w:ascii="Times New Roman" w:hAnsi="Times New Roman"/>
          <w:color w:val="000000"/>
          <w:sz w:val="24"/>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26.</w:t>
      </w:r>
    </w:p>
    <w:p>
      <w:pPr>
        <w:pStyle w:val="TextBody"/>
        <w:bidi w:val="0"/>
        <w:spacing w:before="240" w:after="283"/>
        <w:jc w:val="both"/>
        <w:rPr/>
      </w:pPr>
      <w:r>
        <w:rPr>
          <w:rFonts w:ascii="Times New Roman" w:hAnsi="Times New Roman"/>
          <w:b/>
          <w:color w:val="000000"/>
          <w:sz w:val="24"/>
        </w:rPr>
        <w:t>No Waiver</w:t>
      </w:r>
      <w:r>
        <w:rPr>
          <w:rFonts w:ascii="Times New Roman" w:hAnsi="Times New Roman"/>
          <w:color w:val="000000"/>
          <w:sz w:val="24"/>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27.</w:t>
      </w:r>
    </w:p>
    <w:p>
      <w:pPr>
        <w:pStyle w:val="TextBody"/>
        <w:bidi w:val="0"/>
        <w:spacing w:before="240" w:after="283"/>
        <w:jc w:val="both"/>
        <w:rPr/>
      </w:pPr>
      <w:r>
        <w:rPr>
          <w:rFonts w:ascii="Times New Roman" w:hAnsi="Times New Roman"/>
          <w:b/>
          <w:color w:val="000000"/>
          <w:sz w:val="24"/>
        </w:rPr>
        <w:t>Governing Law; Severability</w:t>
      </w:r>
      <w:r>
        <w:rPr>
          <w:rFonts w:ascii="Times New Roman" w:hAnsi="Times New Roman"/>
          <w:color w:val="000000"/>
          <w:sz w:val="24"/>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28.</w:t>
      </w:r>
    </w:p>
    <w:p>
      <w:pPr>
        <w:pStyle w:val="TextBody"/>
        <w:bidi w:val="0"/>
        <w:spacing w:before="240" w:after="283"/>
        <w:jc w:val="both"/>
        <w:rPr/>
      </w:pPr>
      <w:r>
        <w:rPr>
          <w:rFonts w:ascii="Times New Roman" w:hAnsi="Times New Roman"/>
          <w:b/>
          <w:color w:val="000000"/>
          <w:sz w:val="24"/>
        </w:rPr>
        <w:t>Entire Agreement</w:t>
      </w:r>
      <w:r>
        <w:rPr>
          <w:rFonts w:ascii="Times New Roman" w:hAnsi="Times New Roman"/>
          <w:color w:val="000000"/>
          <w:sz w:val="24"/>
        </w:rPr>
        <w:t>. This Award Agreement (including the exhibits, appendices, and addenda attached to the Notice of Grant) constitutes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pStyle w:val="TextBody"/>
        <w:bidi w:val="0"/>
        <w:jc w:val="center"/>
        <w:rPr>
          <w:rFonts w:ascii="Times New Roman" w:hAnsi="Times New Roman"/>
          <w:sz w:val="20"/>
        </w:rPr>
      </w:pPr>
      <w:r>
        <w:rPr>
          <w:rFonts w:ascii="Times New Roman" w:hAnsi="Times New Roman"/>
          <w:color w:val="000000"/>
          <w:sz w:val="24"/>
        </w:rPr>
        <w:t>- 11</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29.</w:t>
      </w:r>
    </w:p>
    <w:p>
      <w:pPr>
        <w:pStyle w:val="TextBody"/>
        <w:bidi w:val="0"/>
        <w:spacing w:before="240" w:after="283"/>
        <w:jc w:val="both"/>
        <w:rPr/>
      </w:pPr>
      <w:r>
        <w:rPr>
          <w:rFonts w:ascii="Times New Roman" w:hAnsi="Times New Roman"/>
          <w:b/>
          <w:color w:val="000000"/>
          <w:sz w:val="24"/>
        </w:rPr>
        <w:t>Clawback</w:t>
      </w:r>
      <w:r>
        <w:rPr>
          <w:rFonts w:ascii="Times New Roman" w:hAnsi="Times New Roman"/>
          <w:color w:val="000000"/>
          <w:sz w:val="24"/>
        </w:rPr>
        <w:t>. The Shares Restricted Stock (including any proceeds, gains or other economic benefit received by the Participant from a sale of such Shares) will be subject to any compensation recovery or clawback policy implemented by the Company before the date of this Agreement or any such policy implemented by the Company after the date of the Agreement in order to comply with the requirements of Applicable Laws.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30.</w:t>
      </w:r>
    </w:p>
    <w:p>
      <w:pPr>
        <w:pStyle w:val="TextBody"/>
        <w:bidi w:val="0"/>
        <w:spacing w:before="240" w:after="283"/>
        <w:jc w:val="both"/>
        <w:rPr/>
      </w:pPr>
      <w:r>
        <w:rPr>
          <w:rFonts w:ascii="Times New Roman" w:hAnsi="Times New Roman"/>
          <w:b/>
          <w:color w:val="000000"/>
          <w:sz w:val="24"/>
        </w:rPr>
        <w:t>Definitions</w:t>
      </w:r>
      <w:r>
        <w:rPr>
          <w:rFonts w:ascii="Times New Roman" w:hAnsi="Times New Roman"/>
          <w:color w:val="000000"/>
          <w:sz w:val="24"/>
        </w:rPr>
        <w:t>. As used herein, the following definitions shall apply: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pPr>
      <w:r>
        <w:rPr>
          <w:color w:val="000000"/>
        </w:rPr>
        <w:t>“</w:t>
      </w:r>
      <w:r>
        <w:rPr>
          <w:rFonts w:ascii="Times New Roman" w:hAnsi="Times New Roman"/>
          <w:b/>
          <w:color w:val="000000"/>
          <w:sz w:val="24"/>
        </w:rPr>
        <w:t>Administrator</w:t>
      </w:r>
      <w:r>
        <w:rPr>
          <w:color w:val="000000"/>
        </w:rPr>
        <w:t xml:space="preserve">” </w:t>
      </w:r>
      <w:r>
        <w:rPr>
          <w:rFonts w:ascii="Times New Roman" w:hAnsi="Times New Roman"/>
          <w:color w:val="000000"/>
          <w:sz w:val="24"/>
        </w:rPr>
        <w:t>means the Board or any of its Committees as will be administering the Award, in accordance with Section 3 of the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color w:val="000000"/>
        </w:rPr>
        <w:t>“</w:t>
      </w:r>
      <w:r>
        <w:rPr>
          <w:rFonts w:ascii="Times New Roman" w:hAnsi="Times New Roman"/>
          <w:b/>
          <w:color w:val="000000"/>
          <w:sz w:val="24"/>
        </w:rPr>
        <w:t>Applicable Laws</w:t>
      </w:r>
      <w:r>
        <w:rPr>
          <w:color w:val="000000"/>
        </w:rPr>
        <w:t xml:space="preserve">” </w:t>
      </w:r>
      <w:r>
        <w:rPr>
          <w:rFonts w:ascii="Times New Roman" w:hAnsi="Times New Roman"/>
          <w:color w:val="000000"/>
          <w:sz w:val="24"/>
        </w:rPr>
        <w:t>means the legal and regulatory requirements relating to the administration of equity-based awards, including the related issuance of shares of Common Stock, including under U.S. federal and state corporate laws, U.S. federal and state securities laws, the Code, any stock exchange or quotation system on which the Common Stock is listed or quoted and the applicable laws of any non-U.S. country or jurisdiction where the Award has been granted.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pPr>
      <w:r>
        <w:rPr>
          <w:color w:val="000000"/>
        </w:rPr>
        <w:t>“</w:t>
      </w:r>
      <w:r>
        <w:rPr>
          <w:rFonts w:ascii="Times New Roman" w:hAnsi="Times New Roman"/>
          <w:b/>
          <w:color w:val="000000"/>
          <w:sz w:val="24"/>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pPr>
      <w:r>
        <w:rPr>
          <w:color w:val="000000"/>
        </w:rPr>
        <w:t>“</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pPr>
      <w:r>
        <w:rPr>
          <w:rFonts w:ascii="Times New Roman" w:hAnsi="Times New Roman"/>
          <w:b/>
          <w:color w:val="000000"/>
          <w:sz w:val="24"/>
        </w:rPr>
        <w:t>Change in Ownership of the Company</w:t>
      </w:r>
      <w:r>
        <w:rPr>
          <w:rFonts w:ascii="Times New Roman" w:hAnsi="Times New Roman"/>
          <w:color w:val="000000"/>
          <w:sz w:val="24"/>
        </w:rPr>
        <w:t>. A change in the ownership of the Company</w:t>
      </w:r>
      <w:r>
        <w:rPr>
          <w:color w:val="00000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b/>
          <w:color w:val="000000"/>
          <w:sz w:val="24"/>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pPr>
      <w:r>
        <w:rPr>
          <w:rFonts w:ascii="Times New Roman" w:hAnsi="Times New Roman"/>
          <w:b/>
          <w:color w:val="000000"/>
          <w:sz w:val="24"/>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jc w:val="center"/>
        <w:rPr>
          <w:rFonts w:ascii="Times New Roman" w:hAnsi="Times New Roman"/>
          <w:sz w:val="20"/>
        </w:rPr>
      </w:pPr>
      <w:r>
        <w:rPr>
          <w:rFonts w:ascii="Times New Roman" w:hAnsi="Times New Roman"/>
          <w:color w:val="000000"/>
          <w:sz w:val="24"/>
        </w:rPr>
        <w:t>- 12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left"/>
        <w:rPr/>
      </w:pPr>
      <w:r>
        <w:rPr>
          <w:rFonts w:ascii="Times New Roman" w:hAnsi="Times New Roman"/>
          <w:b/>
          <w:color w:val="000000"/>
          <w:sz w:val="24"/>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(iii)(C)(3).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30(d),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pPr>
      <w:r>
        <w:rPr>
          <w:color w:val="000000"/>
        </w:rPr>
        <w:t>“</w:t>
      </w:r>
      <w:r>
        <w:rPr>
          <w:rFonts w:ascii="Times New Roman" w:hAnsi="Times New Roman"/>
          <w:b/>
          <w:color w:val="000000"/>
          <w:sz w:val="24"/>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pPr>
      <w:r>
        <w:rPr>
          <w:color w:val="000000"/>
        </w:rPr>
        <w:t>“</w:t>
      </w:r>
      <w:r>
        <w:rPr>
          <w:rFonts w:ascii="Times New Roman" w:hAnsi="Times New Roman"/>
          <w:b/>
          <w:color w:val="000000"/>
          <w:sz w:val="24"/>
        </w:rPr>
        <w:t>Committee</w:t>
      </w:r>
      <w:r>
        <w:rPr>
          <w:color w:val="000000"/>
        </w:rPr>
        <w:t xml:space="preserve">” </w:t>
      </w:r>
      <w:r>
        <w:rPr>
          <w:rFonts w:ascii="Times New Roman" w:hAnsi="Times New Roman"/>
          <w:color w:val="000000"/>
          <w:sz w:val="24"/>
        </w:rPr>
        <w:t>means a committee of Directors or of other individuals satisfying Applicable Laws appointed by the Board, or a duly authorized committee of the Board.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left"/>
        <w:rPr/>
      </w:pPr>
      <w:r>
        <w:rPr>
          <w:color w:val="000000"/>
        </w:rPr>
        <w:t>“</w:t>
      </w:r>
      <w:r>
        <w:rPr>
          <w:rFonts w:ascii="Times New Roman" w:hAnsi="Times New Roman"/>
          <w:b/>
          <w:color w:val="000000"/>
          <w:sz w:val="24"/>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left"/>
        <w:rPr/>
      </w:pPr>
      <w:r>
        <w:rPr>
          <w:color w:val="000000"/>
        </w:rPr>
        <w:t>“</w:t>
      </w:r>
      <w:r>
        <w:rPr>
          <w:rFonts w:ascii="Times New Roman" w:hAnsi="Times New Roman"/>
          <w:b/>
          <w:color w:val="000000"/>
          <w:sz w:val="24"/>
        </w:rPr>
        <w:t>Company</w:t>
      </w:r>
      <w:r>
        <w:rPr>
          <w:color w:val="000000"/>
        </w:rPr>
        <w:t xml:space="preserve">” </w:t>
      </w:r>
      <w:r>
        <w:rPr>
          <w:rFonts w:ascii="Times New Roman" w:hAnsi="Times New Roman"/>
          <w:color w:val="000000"/>
          <w:sz w:val="24"/>
        </w:rPr>
        <w:t>means Palladyne AI Corp., a Delaware corporation, or any successor thereto.</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pPr>
      <w:r>
        <w:rPr>
          <w:color w:val="000000"/>
        </w:rPr>
        <w:t>“</w:t>
      </w:r>
      <w:r>
        <w:rPr>
          <w:rFonts w:ascii="Times New Roman" w:hAnsi="Times New Roman"/>
          <w:b/>
          <w:color w:val="000000"/>
          <w:sz w:val="24"/>
        </w:rPr>
        <w:t>Consultant</w:t>
      </w:r>
      <w:r>
        <w:rPr>
          <w:color w:val="000000"/>
        </w:rPr>
        <w:t xml:space="preserve">” </w:t>
      </w:r>
      <w:r>
        <w:rPr>
          <w:rFonts w:ascii="Times New Roman" w:hAnsi="Times New Roman"/>
          <w:color w:val="000000"/>
          <w:sz w:val="24"/>
        </w:rPr>
        <w:t xml:space="preserve">means any natural person, including an advisor, engaged by the Company or any of its Parent or Subsidiaries to render bona fide services to such entity, provided the services (a) are not in connection with the offer or sale of securities in a capital-raising transaction, </w:t>
      </w:r>
    </w:p>
    <w:p>
      <w:pPr>
        <w:pStyle w:val="TextBody"/>
        <w:bidi w:val="0"/>
        <w:jc w:val="center"/>
        <w:rPr>
          <w:rFonts w:ascii="Times New Roman" w:hAnsi="Times New Roman"/>
          <w:sz w:val="20"/>
        </w:rPr>
      </w:pPr>
      <w:r>
        <w:rPr>
          <w:rFonts w:ascii="Times New Roman" w:hAnsi="Times New Roman"/>
          <w:color w:val="000000"/>
          <w:sz w:val="24"/>
        </w:rPr>
        <w:t>- 13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left"/>
        <w:rPr/>
      </w:pPr>
      <w:r>
        <w:rPr>
          <w:color w:val="000000"/>
        </w:rPr>
        <w:t>“</w:t>
      </w:r>
      <w:r>
        <w:rPr>
          <w:rFonts w:ascii="Times New Roman" w:hAnsi="Times New Roman"/>
          <w:b/>
          <w:color w:val="000000"/>
          <w:sz w:val="24"/>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left"/>
        <w:rPr/>
      </w:pPr>
      <w:r>
        <w:rPr>
          <w:color w:val="000000"/>
        </w:rPr>
        <w:t>“</w:t>
      </w:r>
      <w:r>
        <w:rPr>
          <w:rFonts w:ascii="Times New Roman" w:hAnsi="Times New Roman"/>
          <w:b/>
          <w:color w:val="000000"/>
          <w:sz w:val="24"/>
        </w:rPr>
        <w:t>Disability</w:t>
      </w:r>
      <w:r>
        <w:rPr>
          <w:color w:val="000000"/>
        </w:rPr>
        <w:t xml:space="preserve">” </w:t>
      </w:r>
      <w:r>
        <w:rPr>
          <w:rFonts w:ascii="Times New Roman" w:hAnsi="Times New Roman"/>
          <w:color w:val="000000"/>
          <w:sz w:val="24"/>
        </w:rPr>
        <w:t xml:space="preserve">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left"/>
        <w:rPr/>
      </w:pPr>
      <w:r>
        <w:rPr>
          <w:color w:val="000000"/>
        </w:rPr>
        <w:t>“</w:t>
      </w:r>
      <w:r>
        <w:rPr>
          <w:rFonts w:ascii="Times New Roman" w:hAnsi="Times New Roman"/>
          <w:b/>
          <w:color w:val="000000"/>
          <w:sz w:val="24"/>
        </w:rPr>
        <w:t>Employee</w:t>
      </w:r>
      <w:r>
        <w:rPr>
          <w:color w:val="000000"/>
        </w:rPr>
        <w:t xml:space="preserve">” </w:t>
      </w:r>
      <w:r>
        <w:rPr>
          <w:rFonts w:ascii="Times New Roman" w:hAnsi="Times New Roman"/>
          <w:color w:val="000000"/>
          <w:sz w:val="24"/>
        </w:rPr>
        <w:t>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left"/>
        <w:rPr/>
      </w:pPr>
      <w:r>
        <w:rPr>
          <w:color w:val="000000"/>
        </w:rPr>
        <w:t>“</w:t>
      </w:r>
      <w:r>
        <w:rPr>
          <w:rFonts w:ascii="Times New Roman" w:hAnsi="Times New Roman"/>
          <w:b/>
          <w:color w:val="000000"/>
          <w:sz w:val="24"/>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left"/>
        <w:rPr/>
      </w:pPr>
      <w:r>
        <w:rPr>
          <w:color w:val="000000"/>
        </w:rPr>
        <w:t>“</w:t>
      </w:r>
      <w:r>
        <w:rPr>
          <w:rFonts w:ascii="Times New Roman" w:hAnsi="Times New Roman"/>
          <w:b/>
          <w:color w:val="000000"/>
          <w:sz w:val="24"/>
        </w:rPr>
        <w:t>Officer</w:t>
      </w:r>
      <w:r>
        <w:rPr>
          <w:color w:val="000000"/>
        </w:rPr>
        <w:t xml:space="preserve">” </w:t>
      </w:r>
      <w:r>
        <w:rPr>
          <w:rFonts w:ascii="Times New Roman" w:hAnsi="Times New Roman"/>
          <w:color w:val="000000"/>
          <w:sz w:val="24"/>
        </w:rPr>
        <w:t>means a person who is an officer of the Company within the meaning of Section 16 of the Exchange Act and the rules and regulations promulgated thereunder.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pPr>
      <w:r>
        <w:rPr>
          <w:color w:val="000000"/>
        </w:rPr>
        <w:t>“</w:t>
      </w:r>
      <w:r>
        <w:rPr>
          <w:rFonts w:ascii="Times New Roman" w:hAnsi="Times New Roman"/>
          <w:b/>
          <w:color w:val="000000"/>
          <w:sz w:val="24"/>
        </w:rPr>
        <w:t>Parent</w:t>
      </w:r>
      <w:r>
        <w:rPr>
          <w:color w:val="000000"/>
        </w:rPr>
        <w:t xml:space="preserve">” </w:t>
      </w:r>
      <w:r>
        <w:rPr>
          <w:rFonts w:ascii="Times New Roman" w:hAnsi="Times New Roman"/>
          <w:color w:val="000000"/>
          <w:sz w:val="24"/>
        </w:rPr>
        <w:t>means a “parent corporation,” whether now or hereafter existing, as defined in Code Section 424(e).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w:t>
      </w:r>
    </w:p>
    <w:p>
      <w:pPr>
        <w:pStyle w:val="TextBody"/>
        <w:bidi w:val="0"/>
        <w:spacing w:before="240" w:after="283"/>
        <w:jc w:val="left"/>
        <w:rPr/>
      </w:pPr>
      <w:r>
        <w:rPr>
          <w:color w:val="000000"/>
        </w:rPr>
        <w:t>“</w:t>
      </w:r>
      <w:r>
        <w:rPr>
          <w:rFonts w:ascii="Times New Roman" w:hAnsi="Times New Roman"/>
          <w:b/>
          <w:color w:val="000000"/>
          <w:sz w:val="24"/>
        </w:rPr>
        <w:t>Restricted Stock</w:t>
      </w:r>
      <w:r>
        <w:rPr>
          <w:color w:val="000000"/>
        </w:rPr>
        <w:t xml:space="preserve">” </w:t>
      </w:r>
      <w:r>
        <w:rPr>
          <w:rFonts w:ascii="Times New Roman" w:hAnsi="Times New Roman"/>
          <w:color w:val="000000"/>
          <w:sz w:val="24"/>
        </w:rPr>
        <w:t>the Shares granted pursuant to this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(q)</w:t>
      </w:r>
    </w:p>
    <w:p>
      <w:pPr>
        <w:pStyle w:val="TextBody"/>
        <w:bidi w:val="0"/>
        <w:spacing w:before="240" w:after="283"/>
        <w:jc w:val="left"/>
        <w:rPr/>
      </w:pPr>
      <w:r>
        <w:rPr>
          <w:color w:val="000000"/>
        </w:rPr>
        <w:t>“</w:t>
      </w:r>
      <w:r>
        <w:rPr>
          <w:rFonts w:ascii="Times New Roman" w:hAnsi="Times New Roman"/>
          <w:b/>
          <w:color w:val="000000"/>
          <w:sz w:val="24"/>
        </w:rPr>
        <w:t>Section 409A</w:t>
      </w:r>
      <w:r>
        <w:rPr>
          <w:color w:val="00000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w:t>
      </w:r>
    </w:p>
    <w:p>
      <w:pPr>
        <w:pStyle w:val="TextBody"/>
        <w:bidi w:val="0"/>
        <w:spacing w:before="240" w:after="283"/>
        <w:jc w:val="left"/>
        <w:rPr/>
      </w:pPr>
      <w:r>
        <w:rPr>
          <w:color w:val="000000"/>
        </w:rPr>
        <w:t>“</w:t>
      </w:r>
      <w:r>
        <w:rPr>
          <w:rFonts w:ascii="Times New Roman" w:hAnsi="Times New Roman"/>
          <w:b/>
          <w:color w:val="000000"/>
          <w:sz w:val="24"/>
        </w:rPr>
        <w:t>Securities Act</w:t>
      </w:r>
      <w:r>
        <w:rPr>
          <w:color w:val="000000"/>
        </w:rPr>
        <w:t xml:space="preserve">” </w:t>
      </w:r>
      <w:r>
        <w:rPr>
          <w:rFonts w:ascii="Times New Roman" w:hAnsi="Times New Roman"/>
          <w:color w:val="000000"/>
          <w:sz w:val="24"/>
        </w:rPr>
        <w:t xml:space="preserve">means the U.S. Securities Act of 1933, as amended, including the rules and regulations promulgated thereunder.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w:t>
      </w:r>
    </w:p>
    <w:p>
      <w:pPr>
        <w:pStyle w:val="TextBody"/>
        <w:bidi w:val="0"/>
        <w:spacing w:before="240" w:after="283"/>
        <w:jc w:val="left"/>
        <w:rPr/>
      </w:pPr>
      <w:r>
        <w:rPr>
          <w:color w:val="000000"/>
        </w:rPr>
        <w:t>“</w:t>
      </w:r>
      <w:r>
        <w:rPr>
          <w:rFonts w:ascii="Times New Roman" w:hAnsi="Times New Roman"/>
          <w:b/>
          <w:color w:val="000000"/>
          <w:sz w:val="24"/>
        </w:rPr>
        <w:t>Service Provider</w:t>
      </w:r>
      <w:r>
        <w:rPr>
          <w:color w:val="000000"/>
        </w:rPr>
        <w:t xml:space="preserve">” </w:t>
      </w:r>
      <w:r>
        <w:rPr>
          <w:rFonts w:ascii="Times New Roman" w:hAnsi="Times New Roman"/>
          <w:color w:val="000000"/>
          <w:sz w:val="24"/>
        </w:rPr>
        <w:t>means an Employee, Director or Consultant.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w:t>
      </w:r>
    </w:p>
    <w:p>
      <w:pPr>
        <w:pStyle w:val="TextBody"/>
        <w:bidi w:val="0"/>
        <w:spacing w:before="240" w:after="283"/>
        <w:jc w:val="left"/>
        <w:rPr/>
      </w:pPr>
      <w:r>
        <w:rPr>
          <w:color w:val="000000"/>
        </w:rPr>
        <w:t>“</w:t>
      </w:r>
      <w:r>
        <w:rPr>
          <w:rFonts w:ascii="Times New Roman" w:hAnsi="Times New Roman"/>
          <w:b/>
          <w:color w:val="000000"/>
          <w:sz w:val="24"/>
        </w:rPr>
        <w:t>Share</w:t>
      </w:r>
      <w:r>
        <w:rPr>
          <w:color w:val="000000"/>
        </w:rPr>
        <w:t xml:space="preserve">” </w:t>
      </w:r>
      <w:r>
        <w:rPr>
          <w:rFonts w:ascii="Times New Roman" w:hAnsi="Times New Roman"/>
          <w:color w:val="000000"/>
          <w:sz w:val="24"/>
        </w:rPr>
        <w:t>means a share of the Common Stock, as adjusted in accordance with Section 10 of this Award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w:t>
      </w:r>
    </w:p>
    <w:p>
      <w:pPr>
        <w:pStyle w:val="TextBody"/>
        <w:bidi w:val="0"/>
        <w:spacing w:before="240" w:after="283"/>
        <w:jc w:val="left"/>
        <w:rPr/>
      </w:pPr>
      <w:r>
        <w:rPr>
          <w:color w:val="000000"/>
        </w:rPr>
        <w:t>“</w:t>
      </w:r>
      <w:r>
        <w:rPr>
          <w:rFonts w:ascii="Times New Roman" w:hAnsi="Times New Roman"/>
          <w:b/>
          <w:color w:val="000000"/>
          <w:sz w:val="24"/>
        </w:rPr>
        <w:t>Subsidiary</w:t>
      </w:r>
      <w:r>
        <w:rPr>
          <w:color w:val="000000"/>
        </w:rPr>
        <w:t xml:space="preserve">” </w:t>
      </w:r>
      <w:r>
        <w:rPr>
          <w:rFonts w:ascii="Times New Roman" w:hAnsi="Times New Roman"/>
          <w:color w:val="000000"/>
          <w:sz w:val="24"/>
        </w:rPr>
        <w:t>means a “subsidiary corporation,” whether now or hereafter existing, as defined in Code Section 424(f).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left"/>
        <w:rPr/>
      </w:pPr>
      <w:r>
        <w:rPr>
          <w:color w:val="000000"/>
        </w:rPr>
        <w:t>“</w:t>
      </w:r>
      <w:r>
        <w:rPr>
          <w:rFonts w:ascii="Times New Roman" w:hAnsi="Times New Roman"/>
          <w:b/>
          <w:color w:val="000000"/>
          <w:sz w:val="24"/>
        </w:rPr>
        <w:t>U.S. Treasury Regulations</w:t>
      </w:r>
      <w:r>
        <w:rPr>
          <w:color w:val="000000"/>
        </w:rPr>
        <w:t xml:space="preserve">” </w:t>
      </w:r>
      <w:r>
        <w:rPr>
          <w:rFonts w:ascii="Times New Roman" w:hAnsi="Times New Roman"/>
          <w:color w:val="000000"/>
          <w:sz w:val="24"/>
        </w:rPr>
        <w:t>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rFonts w:ascii="Times New Roman" w:hAnsi="Times New Roman"/>
          <w:sz w:val="20"/>
        </w:rPr>
      </w:pPr>
      <w:r>
        <w:rPr>
          <w:rFonts w:ascii="Times New Roman" w:hAnsi="Times New Roman"/>
          <w:color w:val="000000"/>
          <w:sz w:val="24"/>
        </w:rPr>
        <w:t>- 14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APPENDIX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PALLADYNE AI CORP.</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COUNTRY ADDENDUM TO RESTRICTED STOCK UNIT AGREEMENT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capitalized terms used in this Country Addendum to Restricted Stock Unit Agreement (the “</w:t>
      </w:r>
      <w:r>
        <w:rPr>
          <w:rFonts w:ascii="Times New Roman" w:hAnsi="Times New Roman"/>
          <w:b/>
          <w:color w:val="000000"/>
          <w:sz w:val="24"/>
        </w:rPr>
        <w:t>Country Addendum</w:t>
      </w:r>
      <w:r>
        <w:rPr>
          <w:rFonts w:ascii="Times New Roman" w:hAnsi="Times New Roman"/>
          <w:color w:val="000000"/>
          <w:sz w:val="20"/>
        </w:rPr>
        <w:t>”</w:t>
      </w:r>
      <w:r>
        <w:rPr>
          <w:rFonts w:ascii="Times New Roman" w:hAnsi="Times New Roman"/>
          <w:color w:val="000000"/>
          <w:sz w:val="24"/>
        </w:rPr>
        <w:t>) will be ascribed the same defined meanings as set forth in the Restricted Stock Unit Agreement of which this Country Addendum forms a part (or other written agreement as specified in the Restricted Stock Unit Agreement).</w:t>
      </w:r>
    </w:p>
    <w:p>
      <w:pPr>
        <w:pStyle w:val="TextBody"/>
        <w:bidi w:val="0"/>
        <w:spacing w:before="240" w:after="283"/>
        <w:jc w:val="center"/>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Country Addendum includes additional terms and conditions that govern the Award of Restricted Stock Units granted to a Participant to the extent Participant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Award of Restricted Stock Units is granted, the Company, in its discretion, will determine to what extent the terms and conditions contained herein will apply to Participant.</w:t>
      </w:r>
    </w:p>
    <w:p>
      <w:pPr>
        <w:pStyle w:val="TextBody"/>
        <w:bidi w:val="0"/>
        <w:spacing w:before="240" w:after="283"/>
        <w:jc w:val="center"/>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rPr>
        <w:t>This Country Addendum also may include information regarding exchange controls and certain other issues of which Participant should be aware with respect to Participant’s participation in the Award of Restricted Stock Units. The information is based on the securities, exchange control and other Applicable Laws in effect in the respective countries as of [DATE]. Such Applicable Laws often are complex and change frequently. As a result, the Company strongly recommends that Participant not rely on the information in this Country Addendum as the only source of information relating to the consequences of Participant’s participation in the Award of Restricted Stock Units because the information may be out of date at the time Participant vests in or receives or sells the Shares covered by the Restricted Stock Units.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Finally, if Participant is a citizen or resident of a country other than the one in which Participant currently is residing and/or working, transfers residence and/or employment to another country after the grant of the Restricted Stock Units, or is considered a resident of another country for local law purposes, the information in this Country Addendum may not apply to Participant in the same manner.</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pdyn-ex31_1.htm"/>
      <w:bookmarkStart w:id="29" w:name="kspdyn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Benjamin G. Wolff,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Palladyne AI Corp.;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Benjamin G. Wolff</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Benjamin G. Wolff</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pdyn-ex31_2.htm"/>
      <w:bookmarkStart w:id="31" w:name="kspdyn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Trevor Thatcher,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Palladyne AI Corp.;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Trevor Thatcher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Trevor Thatcher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pdyn-ex32_1.htm"/>
      <w:bookmarkStart w:id="33" w:name="kspdyn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Palladyne AI Corp. (the “Company”) on Form 10-Q for the period ending June 30, 2026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as applicable,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Benjamin G. Wolff</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Benjamin G. Wolff</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pdyn-ex32_2.htm"/>
      <w:bookmarkStart w:id="35" w:name="kspdyn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Palladyne AI Corp. (the “Company”) on Form 10-Q for the period ending June 30, 2026 as filed with the Securities and Exchange Commission on the date hereof (the “Report”), I certify, pursuant to 18 U.S.C. § 1350, as adopted pursuant to § 906 of the Sarbanes-Oxley Act of 2002, that, to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as applicable,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1846"/>
        <w:gridCol w:w="109"/>
        <w:gridCol w:w="406"/>
        <w:gridCol w:w="39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Trevor Thatcher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Trevor Thatcher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681/000156459021049662/strc-ex31_83.htm" TargetMode="External"/><Relationship Id="rId3" Type="http://schemas.openxmlformats.org/officeDocument/2006/relationships/hyperlink" Target="https://www.sec.gov/Archives/edgar/data/1826681/000095017023028943/strc-ex3_1.htm" TargetMode="External"/><Relationship Id="rId4" Type="http://schemas.openxmlformats.org/officeDocument/2006/relationships/hyperlink" Target="https://www.sec.gov/Archives/edgar/data/1826681/000095017024032876/strc-ex3_1.htm" TargetMode="External"/><Relationship Id="rId5" Type="http://schemas.openxmlformats.org/officeDocument/2006/relationships/hyperlink" Target="https://www.sec.gov/Archives/edgar/data/1826681/000095017024032876/strc-ex3_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70282</Words>
  <Characters>386148</Characters>
  <CharactersWithSpaces>456723</CharactersWithSpaces>
  <Paragraphs>6614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