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534035</wp:posOffset>
            </wp:positionH>
            <wp:positionV relativeFrom="page">
              <wp:posOffset>706120</wp:posOffset>
            </wp:positionV>
            <wp:extent cx="68065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723265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80" w:right="1600" w:hanging="3659"/>
        <w:spacing w:after="0" w:line="375"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001-39897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Palladyne AI Corp.</w:t>
      </w:r>
    </w:p>
    <w:p>
      <w:pPr>
        <w:sectPr>
          <w:pgSz w:w="11900" w:h="16838" w:orient="portrait"/>
          <w:cols w:equalWidth="0" w:num="1">
            <w:col w:w="11240"/>
          </w:cols>
          <w:pgMar w:left="320" w:top="1159" w:right="339" w:bottom="1440" w:gutter="0" w:footer="0" w:header="0"/>
        </w:sectPr>
      </w:pPr>
    </w:p>
    <w:p>
      <w:pPr>
        <w:spacing w:after="0" w:line="4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4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650 South 500 West, Suite 150</w:t>
      </w:r>
    </w:p>
    <w:p>
      <w:pPr>
        <w:spacing w:after="0" w:line="12"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Salt Lake City, 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85-2838301</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84101</w:t>
      </w:r>
    </w:p>
    <w:p>
      <w:pPr>
        <w:spacing w:after="0" w:line="27" w:lineRule="exact"/>
        <w:rPr>
          <w:sz w:val="24"/>
          <w:szCs w:val="24"/>
          <w:color w:val="auto"/>
        </w:rPr>
      </w:pPr>
    </w:p>
    <w:p>
      <w:pPr>
        <w:sectPr>
          <w:pgSz w:w="11900" w:h="16838" w:orient="portrait"/>
          <w:cols w:equalWidth="0" w:num="2">
            <w:col w:w="7700" w:space="240"/>
            <w:col w:w="3300"/>
          </w:cols>
          <w:pgMar w:left="320" w:top="1159" w:right="339" w:bottom="1440" w:gutter="0" w:footer="0" w:header="0"/>
          <w:type w:val="continuous"/>
        </w:sectPr>
      </w:pPr>
    </w:p>
    <w:tbl>
      <w:tblPr>
        <w:tblLayout w:type="fixed"/>
        <w:tblInd w:w="0" w:type="dxa"/>
        <w:tblCellMar>
          <w:top w:w="0" w:type="dxa"/>
          <w:left w:w="0" w:type="dxa"/>
          <w:bottom w:w="0" w:type="dxa"/>
          <w:right w:w="0" w:type="dxa"/>
        </w:tblCellMar>
      </w:tblPr>
      <w:tr>
        <w:trPr>
          <w:trHeight w:val="166"/>
        </w:trPr>
        <w:tc>
          <w:tcPr>
            <w:tcW w:w="3940" w:type="dxa"/>
            <w:vAlign w:val="bottom"/>
          </w:tcPr>
          <w:p>
            <w:pPr>
              <w:ind w:left="17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380" w:type="dxa"/>
            <w:vAlign w:val="bottom"/>
          </w:tcPr>
          <w:p>
            <w:pPr>
              <w:ind w:left="128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57"/>
        </w:trPr>
        <w:tc>
          <w:tcPr>
            <w:tcW w:w="1124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(888) 927-7296</w:t>
            </w:r>
          </w:p>
        </w:tc>
        <w:tc>
          <w:tcPr>
            <w:tcW w:w="0" w:type="dxa"/>
            <w:vAlign w:val="bottom"/>
          </w:tcPr>
          <w:p>
            <w:pPr>
              <w:spacing w:after="0"/>
              <w:rPr>
                <w:sz w:val="1"/>
                <w:szCs w:val="1"/>
                <w:color w:val="auto"/>
              </w:rPr>
            </w:pPr>
          </w:p>
        </w:tc>
      </w:tr>
      <w:tr>
        <w:trPr>
          <w:trHeight w:val="135"/>
        </w:trPr>
        <w:tc>
          <w:tcPr>
            <w:tcW w:w="39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1"/>
        </w:trPr>
        <w:tc>
          <w:tcPr>
            <w:tcW w:w="3940" w:type="dxa"/>
            <w:vAlign w:val="bottom"/>
          </w:tcPr>
          <w:p>
            <w:pPr>
              <w:spacing w:after="0"/>
              <w:rPr>
                <w:sz w:val="23"/>
                <w:szCs w:val="23"/>
                <w:color w:val="auto"/>
              </w:rPr>
            </w:pPr>
          </w:p>
        </w:tc>
        <w:tc>
          <w:tcPr>
            <w:tcW w:w="7300" w:type="dxa"/>
            <w:vAlign w:val="bottom"/>
            <w:gridSpan w:val="7"/>
          </w:tcPr>
          <w:p>
            <w:pPr>
              <w:ind w:left="1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463"/>
        </w:trPr>
        <w:tc>
          <w:tcPr>
            <w:tcW w:w="3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94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10"/>
        </w:trPr>
        <w:tc>
          <w:tcPr>
            <w:tcW w:w="3940" w:type="dxa"/>
            <w:vAlign w:val="bottom"/>
          </w:tcPr>
          <w:p>
            <w:pPr>
              <w:jc w:val="center"/>
              <w:ind w:left="381"/>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PDYN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383"/>
        </w:trPr>
        <w:tc>
          <w:tcPr>
            <w:tcW w:w="45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Redeemable warrants, exercisable for shares of Common Stock at</w:t>
            </w:r>
          </w:p>
        </w:tc>
        <w:tc>
          <w:tcPr>
            <w:tcW w:w="20" w:type="dxa"/>
            <w:vAlign w:val="bottom"/>
          </w:tcPr>
          <w:p>
            <w:pPr>
              <w:spacing w:after="0"/>
              <w:rPr>
                <w:sz w:val="24"/>
                <w:szCs w:val="24"/>
                <w:color w:val="auto"/>
              </w:rPr>
            </w:pPr>
          </w:p>
        </w:tc>
        <w:tc>
          <w:tcPr>
            <w:tcW w:w="2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PDYNW</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r>
        <w:trPr>
          <w:trHeight w:val="102"/>
        </w:trPr>
        <w:tc>
          <w:tcPr>
            <w:tcW w:w="3940" w:type="dxa"/>
            <w:vAlign w:val="bottom"/>
            <w:vMerge w:val="restart"/>
          </w:tcPr>
          <w:p>
            <w:pPr>
              <w:jc w:val="center"/>
              <w:ind w:left="401"/>
              <w:spacing w:after="0"/>
              <w:rPr>
                <w:sz w:val="20"/>
                <w:szCs w:val="20"/>
                <w:color w:val="auto"/>
              </w:rPr>
            </w:pPr>
            <w:r>
              <w:rPr>
                <w:rFonts w:ascii="Times New Roman" w:cs="Times New Roman" w:eastAsia="Times New Roman" w:hAnsi="Times New Roman"/>
                <w:sz w:val="16"/>
                <w:szCs w:val="16"/>
                <w:color w:val="auto"/>
              </w:rPr>
              <w:t>an exercise price of $69.00 per share</w:t>
            </w: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9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81"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0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October 28, 2025 the registrant had 42,037,410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865505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9"/>
        </w:trPr>
        <w:tc>
          <w:tcPr>
            <w:tcW w:w="1160" w:type="dxa"/>
            <w:vAlign w:val="bottom"/>
            <w:gridSpan w:val="2"/>
            <w:vMerge w:val="continue"/>
          </w:tcPr>
          <w:p>
            <w:pPr>
              <w:spacing w:after="0"/>
              <w:rPr>
                <w:sz w:val="14"/>
                <w:szCs w:val="14"/>
                <w:color w:val="auto"/>
              </w:rPr>
            </w:pPr>
          </w:p>
        </w:tc>
        <w:tc>
          <w:tcPr>
            <w:tcW w:w="9300" w:type="dxa"/>
            <w:vAlign w:val="bottom"/>
            <w:gridSpan w:val="17"/>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Borders>
              <w:left w:val="single" w:sz="8" w:color="0000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tcBorders>
              <w:left w:val="single" w:sz="8" w:color="0000FF"/>
            </w:tcBorders>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vMerge w:val="continue"/>
          </w:tcPr>
          <w:p>
            <w:pPr>
              <w:spacing w:after="0"/>
              <w:rPr>
                <w:sz w:val="17"/>
                <w:szCs w:val="17"/>
                <w:color w:val="auto"/>
              </w:rPr>
            </w:pP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17"/>
                <w:szCs w:val="17"/>
                <w:color w:val="auto"/>
              </w:rPr>
            </w:pPr>
          </w:p>
        </w:tc>
        <w:tc>
          <w:tcPr>
            <w:tcW w:w="58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800" w:type="dxa"/>
            <w:vAlign w:val="bottom"/>
            <w:gridSpan w:val="14"/>
          </w:tcPr>
          <w:p>
            <w:pPr>
              <w:ind w:left="44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33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II, Item 1A Risk Factors of this report. The following is a summary of the principal risks we face:</w:t>
      </w:r>
    </w:p>
    <w:p>
      <w:pPr>
        <w:spacing w:after="0" w:line="54"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early stage company with a history of losses, and expect to incur significant losses for the foreseeable future.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yet to achieve positive operating cash flow and our ability to generate positive cash flow is uncertain.</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commercialization of our AI/ML Foundational Technology and related products may be delayed beyond our current expectations and therefore product availability to customers, customer acquisition and receipt of product revenue could be delayed.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revenues are expected to be primarily derived from the licensing of our AI/ML software products for the foreseeable future.</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issues in the development and use of our AI/ML Foundational Technology or related products, or issues in products developed by others, may result in reputational harm or liability.</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AI/ML Foundational Technology and related products are new technologies and the timing and magnitude of revenues from customers is uncertain. If we cannot successfully commercialize our AI/ML Foundational Technology and related products on our expected schedule, if our technology does not offer our potential customers the features, functionality and return on investment that they expect and/or if potential customers are not willing to pay for our software products at the license rates that we currently expect, our ability to generate material revenues will be materially impaired.</w:t>
      </w:r>
    </w:p>
    <w:p>
      <w:pPr>
        <w:spacing w:after="0" w:line="7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generate material revenues from our software products before we exhaust our financial resources, we may need to cease business operations.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attract or retain customers at sufficient rates or in sufficient numbers or at all.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previous history with our licensing sales model.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 assumptions about market demand, pricing, adoption rates and sales cycles for our software products may be inaccurate.</w:t>
      </w:r>
    </w:p>
    <w:p>
      <w:pPr>
        <w:spacing w:after="0" w:line="117"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that is subject to rapid technological change, and we expect competition to increase. Our products may not be competitive with other alternatives.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enhance our product offerings through our research and development efforts.</w:t>
      </w:r>
    </w:p>
    <w:p>
      <w:pPr>
        <w:spacing w:after="0" w:line="11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design flaws, errors, defects, glitches, bugs or malfunctions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7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"open source" software, which could negatively affect our ability to offer our AI/ML Foundational Technology and related products and subject us to possible litigation.</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 We believe that our previous inability to successfully commercialize our legacy hardware products, and our resulting financial performance, damaged our prior brand. As a result, in March 2024 we changed our name to Palladyne AI Corp. and have branded our AI/ML software products accordingly.</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378" w:hanging="378"/>
        <w:spacing w:after="0" w:line="266"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67"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effectively manage our business, we may not be able to develop, market and commercialize our software products successfully.</w:t>
      </w:r>
    </w:p>
    <w:p>
      <w:pPr>
        <w:spacing w:after="0" w:line="117" w:lineRule="exact"/>
        <w:rPr>
          <w:rFonts w:ascii="Times New Roman" w:cs="Times New Roman" w:eastAsia="Times New Roman" w:hAnsi="Times New Roman"/>
          <w:sz w:val="18"/>
          <w:szCs w:val="18"/>
          <w:color w:val="auto"/>
        </w:rPr>
      </w:pPr>
    </w:p>
    <w:p>
      <w:pPr>
        <w:ind w:left="378" w:hanging="378"/>
        <w:spacing w:after="0"/>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adequately control the costs associated with our operations in order to achieve profitability.</w:t>
      </w:r>
    </w:p>
    <w:p>
      <w:pPr>
        <w:spacing w:after="0" w:line="117"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53" w:lineRule="exact"/>
        <w:rPr>
          <w:rFonts w:ascii="Times New Roman" w:cs="Times New Roman" w:eastAsia="Times New Roman" w:hAnsi="Times New Roman"/>
          <w:sz w:val="18"/>
          <w:szCs w:val="18"/>
          <w:color w:val="auto"/>
        </w:rPr>
      </w:pPr>
    </w:p>
    <w:p>
      <w:pPr>
        <w:jc w:val="both"/>
        <w:ind w:left="378" w:right="20" w:hanging="378"/>
        <w:spacing w:after="0" w:line="266"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67"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vary significantly from period to period due to fluctuations in our operating costs, revenues, product demand and other factors.</w:t>
      </w:r>
    </w:p>
    <w:p>
      <w:pPr>
        <w:spacing w:after="0" w:line="53" w:lineRule="exact"/>
        <w:rPr>
          <w:rFonts w:ascii="Times New Roman" w:cs="Times New Roman" w:eastAsia="Times New Roman" w:hAnsi="Times New Roman"/>
          <w:sz w:val="18"/>
          <w:szCs w:val="18"/>
          <w:color w:val="auto"/>
        </w:rPr>
      </w:pPr>
    </w:p>
    <w:p>
      <w:pPr>
        <w:jc w:val="both"/>
        <w:ind w:left="378" w:right="20" w:hanging="378"/>
        <w:spacing w:after="0" w:line="266"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the services of our senior management and other key employees and, if we are unable to attract, integrate and retain a sufficient number of qualified employees, our ability to design and commercialize our AI/ML Foundational Technology and related products, operate our business and compete could be harmed.</w:t>
      </w:r>
    </w:p>
    <w:p>
      <w:pPr>
        <w:spacing w:after="0" w:line="67"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53"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been and may in the future be subject to risks associated with strategic relationships, acquisitions or transactions and may not identify or form desired strategic relationships in the future.</w:t>
      </w:r>
    </w:p>
    <w:p>
      <w:pPr>
        <w:spacing w:after="0" w:line="53" w:lineRule="exact"/>
        <w:rPr>
          <w:rFonts w:ascii="Times New Roman" w:cs="Times New Roman" w:eastAsia="Times New Roman" w:hAnsi="Times New Roman"/>
          <w:sz w:val="18"/>
          <w:szCs w:val="18"/>
          <w:color w:val="auto"/>
        </w:rPr>
      </w:pPr>
    </w:p>
    <w:p>
      <w:pPr>
        <w:jc w:val="both"/>
        <w:ind w:left="378" w:hanging="378"/>
        <w:spacing w:after="0" w:line="257" w:lineRule="auto"/>
        <w:tabs>
          <w:tab w:leader="none" w:pos="3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 delay our projected</w:t>
      </w:r>
    </w:p>
    <w:p>
      <w:pPr>
        <w:spacing w:after="0" w:line="1" w:lineRule="exact"/>
        <w:rPr>
          <w:sz w:val="20"/>
          <w:szCs w:val="20"/>
          <w:color w:val="auto"/>
        </w:rPr>
      </w:pPr>
    </w:p>
    <w:p>
      <w:pPr>
        <w:ind w:left="378"/>
        <w:spacing w:after="0"/>
        <w:rPr>
          <w:sz w:val="20"/>
          <w:szCs w:val="20"/>
          <w:color w:val="auto"/>
        </w:rPr>
      </w:pPr>
      <w:r>
        <w:rPr>
          <w:rFonts w:ascii="Times New Roman" w:cs="Times New Roman" w:eastAsia="Times New Roman" w:hAnsi="Times New Roman"/>
          <w:sz w:val="18"/>
          <w:szCs w:val="18"/>
          <w:color w:val="auto"/>
        </w:rPr>
        <w:t>revenues, increase costs and/or make our business unviable if we are unable to modify our software products to comply.</w:t>
      </w:r>
    </w:p>
    <w:p>
      <w:pPr>
        <w:spacing w:after="0" w:line="9" w:lineRule="exact"/>
        <w:rPr>
          <w:sz w:val="20"/>
          <w:szCs w:val="20"/>
          <w:color w:val="auto"/>
        </w:rPr>
      </w:pPr>
    </w:p>
    <w:p>
      <w:pPr>
        <w:ind w:left="5198"/>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473075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58"/>
          </w:cols>
          <w:pgMar w:left="702"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7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7"/>
                <w:szCs w:val="17"/>
                <w:color w:val="auto"/>
              </w:rPr>
            </w:pPr>
          </w:p>
        </w:tc>
      </w:tr>
      <w:tr>
        <w:trPr>
          <w:trHeight w:val="196"/>
        </w:trPr>
        <w:tc>
          <w:tcPr>
            <w:tcW w:w="77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16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 for credit losses of $0.3 million at December 31, 2024</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60,513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42,730</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assets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8,841</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Pr>
          <w:p>
            <w:pPr>
              <w:spacing w:after="0"/>
              <w:rPr>
                <w:sz w:val="17"/>
                <w:szCs w:val="17"/>
                <w:color w:val="auto"/>
              </w:rPr>
            </w:pPr>
          </w:p>
        </w:tc>
      </w:tr>
      <w:tr>
        <w:trPr>
          <w:trHeight w:val="23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72,929</w:t>
            </w:r>
          </w:p>
        </w:tc>
        <w:tc>
          <w:tcPr>
            <w:tcW w:w="16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shd w:val="clear" w:color="auto" w:fill="CFF0FC"/>
          </w:tcPr>
          <w:p>
            <w:pPr>
              <w:spacing w:after="0"/>
              <w:rPr>
                <w:sz w:val="20"/>
                <w:szCs w:val="20"/>
                <w:color w:val="auto"/>
              </w:rPr>
            </w:pPr>
          </w:p>
        </w:tc>
      </w:tr>
      <w:tr>
        <w:trPr>
          <w:trHeight w:val="183"/>
        </w:trPr>
        <w:tc>
          <w:tcPr>
            <w:tcW w:w="7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 (deficit)</w:t>
            </w: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100" w:type="dxa"/>
            <w:vAlign w:val="bottom"/>
            <w:tcBorders>
              <w:bottom w:val="single" w:sz="8" w:color="CFF0FC"/>
            </w:tcBorders>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4,433</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Warrant liabilities</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51,396</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9,957</w:t>
            </w:r>
          </w:p>
        </w:tc>
        <w:tc>
          <w:tcPr>
            <w:tcW w:w="100" w:type="dxa"/>
            <w:vAlign w:val="bottom"/>
            <w:shd w:val="clear" w:color="auto" w:fill="CFF0FC"/>
          </w:tcPr>
          <w:p>
            <w:pPr>
              <w:spacing w:after="0"/>
              <w:rPr>
                <w:sz w:val="17"/>
                <w:szCs w:val="17"/>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65,786</w:t>
            </w:r>
          </w:p>
        </w:tc>
        <w:tc>
          <w:tcPr>
            <w:tcW w:w="100" w:type="dxa"/>
            <w:vAlign w:val="bottom"/>
          </w:tcPr>
          <w:p>
            <w:pPr>
              <w:spacing w:after="0"/>
              <w:rPr>
                <w:sz w:val="17"/>
                <w:szCs w:val="17"/>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 (deficit):</w:t>
            </w: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Common stock, $0.0001 par value, 165,000,000 shares authorized as of September 30, 2025 and December 31,</w:t>
            </w: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2024; 42,036,294 and 33,883,894 shares issued and outstanding as of September 30, 2025 and December 31, 2024,</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respectively</w:t>
            </w: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8"/>
                <w:szCs w:val="18"/>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100" w:type="dxa"/>
            <w:vAlign w:val="bottom"/>
          </w:tcPr>
          <w:p>
            <w:pPr>
              <w:spacing w:after="0"/>
              <w:rPr>
                <w:sz w:val="17"/>
                <w:szCs w:val="17"/>
                <w:color w:val="auto"/>
              </w:rPr>
            </w:pPr>
          </w:p>
        </w:tc>
      </w:tr>
      <w:tr>
        <w:trPr>
          <w:trHeight w:val="203"/>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00" w:type="dxa"/>
            <w:vAlign w:val="bottom"/>
          </w:tcPr>
          <w:p>
            <w:pPr>
              <w:spacing w:after="0"/>
              <w:rPr>
                <w:sz w:val="17"/>
                <w:szCs w:val="17"/>
                <w:color w:val="auto"/>
              </w:rPr>
            </w:pPr>
          </w:p>
        </w:tc>
        <w:tc>
          <w:tcPr>
            <w:tcW w:w="16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(479,299)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(490,831)</w:t>
            </w:r>
          </w:p>
        </w:tc>
      </w:tr>
      <w:tr>
        <w:trPr>
          <w:trHeight w:val="20"/>
        </w:trPr>
        <w:tc>
          <w:tcPr>
            <w:tcW w:w="7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stockholders’ equity (deficit)</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51,846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(9,533)</w:t>
            </w:r>
          </w:p>
        </w:tc>
      </w:tr>
      <w:tr>
        <w:trPr>
          <w:trHeight w:val="20"/>
        </w:trPr>
        <w:tc>
          <w:tcPr>
            <w:tcW w:w="77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 and stockholders’ equity (deficit)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72,929</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56,253</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-2536825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-2519680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-1868170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5890260</wp:posOffset>
            </wp:positionH>
            <wp:positionV relativeFrom="paragraph">
              <wp:posOffset>-1486535</wp:posOffset>
            </wp:positionV>
            <wp:extent cx="9398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-1486535</wp:posOffset>
            </wp:positionV>
            <wp:extent cx="9398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 except share and per share data</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gridSpan w:val="6"/>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196"/>
        </w:trPr>
        <w:tc>
          <w:tcPr>
            <w:tcW w:w="5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Cost of revenue (exclusive of items shown separately below)</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100" w:type="dxa"/>
            <w:vAlign w:val="bottom"/>
            <w:shd w:val="clear" w:color="auto" w:fill="CFF0FC"/>
          </w:tcPr>
          <w:p>
            <w:pPr>
              <w:spacing w:after="0"/>
              <w:rPr>
                <w:sz w:val="17"/>
                <w:szCs w:val="17"/>
                <w:color w:val="auto"/>
              </w:rPr>
            </w:pP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(192)</w:t>
            </w:r>
          </w:p>
        </w:tc>
      </w:tr>
      <w:tr>
        <w:trPr>
          <w:trHeight w:val="196"/>
        </w:trPr>
        <w:tc>
          <w:tcPr>
            <w:tcW w:w="52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5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26,675</w:t>
            </w:r>
          </w:p>
        </w:tc>
        <w:tc>
          <w:tcPr>
            <w:tcW w:w="2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27,464</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(8,065)</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(7,299)</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(23,090)</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(20,439)</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Interest income, net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33,110</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(175)</w:t>
            </w:r>
          </w:p>
        </w:tc>
      </w:tr>
      <w:tr>
        <w:trPr>
          <w:trHeight w:val="203"/>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5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r>
      <w:tr>
        <w:trPr>
          <w:trHeight w:val="19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income before income tax expense</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(3,740)</w:t>
            </w:r>
          </w:p>
        </w:tc>
        <w:tc>
          <w:tcPr>
            <w:tcW w:w="24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(7,093)</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(19,645)</w:t>
            </w:r>
          </w:p>
        </w:tc>
      </w:tr>
      <w:tr>
        <w:trPr>
          <w:trHeight w:val="20"/>
        </w:trPr>
        <w:tc>
          <w:tcPr>
            <w:tcW w:w="524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5240" w:type="dxa"/>
            <w:vAlign w:val="bottom"/>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(3,740)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(7,096)</w:t>
            </w: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(19,648)</w:t>
            </w:r>
          </w:p>
        </w:tc>
      </w:tr>
      <w:tr>
        <w:trPr>
          <w:trHeight w:val="183"/>
        </w:trPr>
        <w:tc>
          <w:tcPr>
            <w:tcW w:w="5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(loss) income per share</w:t>
            </w:r>
          </w:p>
        </w:tc>
        <w:tc>
          <w:tcPr>
            <w:tcW w:w="5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(0.27)</w:t>
            </w: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r>
      <w:tr>
        <w:trPr>
          <w:trHeight w:val="203"/>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(0.27)</w:t>
            </w:r>
          </w:p>
        </w:tc>
        <w:tc>
          <w:tcPr>
            <w:tcW w:w="3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24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r>
      <w:tr>
        <w:trPr>
          <w:trHeight w:val="203"/>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shares used in computing net income (loss) per share</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5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40,486,615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37,665,540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100" w:type="dxa"/>
            <w:vAlign w:val="bottom"/>
          </w:tcPr>
          <w:p>
            <w:pPr>
              <w:spacing w:after="0"/>
              <w:rPr>
                <w:sz w:val="17"/>
                <w:szCs w:val="17"/>
                <w:color w:val="auto"/>
              </w:rPr>
            </w:pPr>
          </w:p>
        </w:tc>
      </w:tr>
      <w:tr>
        <w:trPr>
          <w:trHeight w:val="203"/>
        </w:trPr>
        <w:tc>
          <w:tcPr>
            <w:tcW w:w="5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40,486,615</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40,161,248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-1880870</wp:posOffset>
            </wp:positionV>
            <wp:extent cx="10223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-1880870</wp:posOffset>
            </wp:positionV>
            <wp:extent cx="10223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35" cy="171450"/>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-1880870</wp:posOffset>
            </wp:positionV>
            <wp:extent cx="9398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-1880870</wp:posOffset>
            </wp:positionV>
            <wp:extent cx="9398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-1070610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-1070610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-1070610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-796290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-779145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-796290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-779145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-779145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180" w:type="dxa"/>
            <w:vAlign w:val="bottom"/>
          </w:tcPr>
          <w:p>
            <w:pPr>
              <w:spacing w:after="0"/>
              <w:rPr>
                <w:sz w:val="18"/>
                <w:szCs w:val="18"/>
                <w:color w:val="auto"/>
              </w:rPr>
            </w:pPr>
          </w:p>
        </w:tc>
        <w:tc>
          <w:tcPr>
            <w:tcW w:w="3360" w:type="dxa"/>
            <w:vAlign w:val="bottom"/>
            <w:gridSpan w:val="7"/>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(3,740)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(7,096)</w:t>
            </w: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(19,648)</w:t>
            </w:r>
          </w:p>
        </w:tc>
        <w:tc>
          <w:tcPr>
            <w:tcW w:w="0" w:type="dxa"/>
            <w:vAlign w:val="bottom"/>
          </w:tcPr>
          <w:p>
            <w:pPr>
              <w:spacing w:after="0"/>
              <w:rPr>
                <w:sz w:val="1"/>
                <w:szCs w:val="1"/>
                <w:color w:val="auto"/>
              </w:rPr>
            </w:pPr>
          </w:p>
        </w:tc>
      </w:tr>
      <w:tr>
        <w:trPr>
          <w:trHeight w:val="213"/>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 in unrealized income (loss) on available-for-sale investments</w:t>
            </w:r>
          </w:p>
        </w:tc>
        <w:tc>
          <w:tcPr>
            <w:tcW w:w="6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80" w:type="dxa"/>
            <w:vAlign w:val="bottom"/>
            <w:vMerge w:val="restart"/>
          </w:tcPr>
          <w:p>
            <w:pPr>
              <w:jc w:val="right"/>
              <w:ind w:right="2219"/>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Comprehensive (loss) income</w:t>
            </w:r>
          </w:p>
        </w:tc>
        <w:tc>
          <w:tcPr>
            <w:tcW w:w="8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(3,720)</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(7,096)</w:t>
            </w:r>
          </w:p>
        </w:tc>
        <w:tc>
          <w:tcPr>
            <w:tcW w:w="3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11,540</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(19,651)</w:t>
            </w:r>
          </w:p>
        </w:tc>
        <w:tc>
          <w:tcPr>
            <w:tcW w:w="0" w:type="dxa"/>
            <w:vAlign w:val="bottom"/>
          </w:tcPr>
          <w:p>
            <w:pPr>
              <w:spacing w:after="0"/>
              <w:rPr>
                <w:sz w:val="1"/>
                <w:szCs w:val="1"/>
                <w:color w:val="auto"/>
              </w:rPr>
            </w:pPr>
          </w:p>
        </w:tc>
      </w:tr>
      <w:tr>
        <w:trPr>
          <w:trHeight w:val="20"/>
        </w:trPr>
        <w:tc>
          <w:tcPr>
            <w:tcW w:w="518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4406900</wp:posOffset>
            </wp:positionH>
            <wp:positionV relativeFrom="paragraph">
              <wp:posOffset>-312420</wp:posOffset>
            </wp:positionV>
            <wp:extent cx="102235" cy="1708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5307330</wp:posOffset>
            </wp:positionH>
            <wp:positionV relativeFrom="paragraph">
              <wp:posOffset>-312420</wp:posOffset>
            </wp:positionV>
            <wp:extent cx="102235" cy="1708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235" cy="170815"/>
                    </a:xfrm>
                    <a:prstGeom prst="rect">
                      <a:avLst/>
                    </a:prstGeom>
                    <a:noFill/>
                  </pic:spPr>
                </pic:pic>
              </a:graphicData>
            </a:graphic>
          </wp:anchor>
        </w:drawing>
        <w:drawing>
          <wp:anchor simplePos="0" relativeHeight="251657728" behindDoc="1" locked="0" layoutInCell="0" allowOverlap="1">
            <wp:simplePos x="0" y="0"/>
            <wp:positionH relativeFrom="column">
              <wp:posOffset>6189980</wp:posOffset>
            </wp:positionH>
            <wp:positionV relativeFrom="paragraph">
              <wp:posOffset>-312420</wp:posOffset>
            </wp:positionV>
            <wp:extent cx="93980" cy="1708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-312420</wp:posOffset>
            </wp:positionV>
            <wp:extent cx="93980" cy="1708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320" w:type="dxa"/>
            <w:vAlign w:val="bottom"/>
          </w:tcPr>
          <w:p>
            <w:pPr>
              <w:spacing w:after="0"/>
              <w:rPr>
                <w:sz w:val="17"/>
                <w:szCs w:val="17"/>
                <w:color w:val="auto"/>
              </w:rPr>
            </w:pPr>
          </w:p>
        </w:tc>
        <w:tc>
          <w:tcPr>
            <w:tcW w:w="2520" w:type="dxa"/>
            <w:vAlign w:val="bottom"/>
            <w:gridSpan w:val="4"/>
            <w:vMerge w:val="restart"/>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7"/>
                <w:szCs w:val="17"/>
                <w:color w:val="auto"/>
              </w:rPr>
            </w:pPr>
          </w:p>
        </w:tc>
        <w:tc>
          <w:tcPr>
            <w:tcW w:w="2520" w:type="dxa"/>
            <w:vAlign w:val="bottom"/>
            <w:tcBorders>
              <w:bottom w:val="single" w:sz="8" w:color="auto"/>
            </w:tcBorders>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80" w:type="dxa"/>
            <w:vAlign w:val="bottom"/>
          </w:tcPr>
          <w:p>
            <w:pPr>
              <w:spacing w:after="0"/>
              <w:rPr>
                <w:sz w:val="17"/>
                <w:szCs w:val="17"/>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200" w:type="dxa"/>
            <w:vAlign w:val="bottom"/>
          </w:tcPr>
          <w:p>
            <w:pPr>
              <w:spacing w:after="0"/>
              <w:rPr>
                <w:sz w:val="17"/>
                <w:szCs w:val="17"/>
                <w:color w:val="auto"/>
              </w:rPr>
            </w:pPr>
          </w:p>
        </w:tc>
        <w:tc>
          <w:tcPr>
            <w:tcW w:w="94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7"/>
                <w:szCs w:val="17"/>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25,877,865</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459,113</w:t>
            </w:r>
          </w:p>
        </w:tc>
        <w:tc>
          <w:tcPr>
            <w:tcW w:w="1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(418,214)</w:t>
            </w:r>
          </w:p>
        </w:tc>
        <w:tc>
          <w:tcPr>
            <w:tcW w:w="10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697,967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(23,260)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(7,229)</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(7,229)</w:t>
            </w:r>
          </w:p>
        </w:tc>
        <w:tc>
          <w:tcPr>
            <w:tcW w:w="0" w:type="dxa"/>
            <w:vAlign w:val="bottom"/>
          </w:tcPr>
          <w:p>
            <w:pPr>
              <w:spacing w:after="0"/>
              <w:rPr>
                <w:sz w:val="1"/>
                <w:szCs w:val="1"/>
                <w:color w:val="auto"/>
              </w:rPr>
            </w:pPr>
          </w:p>
        </w:tc>
      </w:tr>
      <w:tr>
        <w:trPr>
          <w:trHeight w:val="20"/>
        </w:trPr>
        <w:tc>
          <w:tcPr>
            <w:tcW w:w="3320" w:type="dxa"/>
            <w:vAlign w:val="bottom"/>
            <w:shd w:val="clear" w:color="auto" w:fill="CFF0F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2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2024</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26,552,572</w:t>
            </w:r>
          </w:p>
        </w:tc>
        <w:tc>
          <w:tcPr>
            <w:tcW w:w="120" w:type="dxa"/>
            <w:vAlign w:val="bottom"/>
          </w:tcPr>
          <w:p>
            <w:pPr>
              <w:spacing w:after="0"/>
              <w:rPr>
                <w:sz w:val="17"/>
                <w:szCs w:val="17"/>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459,642</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(425,443)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198,127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withholdings</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(15,200)</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8"/>
                <w:szCs w:val="18"/>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8"/>
                <w:szCs w:val="18"/>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34,195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(5,323)</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(5,323)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June 30,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26,769,694</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460,574</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(430,766)</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320" w:type="dxa"/>
            <w:vAlign w:val="bottom"/>
            <w:tcBorders>
              <w:top w:val="single" w:sz="8" w:color="CFF0FC"/>
            </w:tcBorders>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26,851</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repurchased for payment of tax</w:t>
            </w: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withholdings and other</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(8,107)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5"/>
        </w:trPr>
        <w:tc>
          <w:tcPr>
            <w:tcW w:w="33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75,527</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(7,096)</w:t>
            </w:r>
          </w:p>
        </w:tc>
        <w:tc>
          <w:tcPr>
            <w:tcW w:w="100" w:type="dxa"/>
            <w:vAlign w:val="bottom"/>
          </w:tcPr>
          <w:p>
            <w:pPr>
              <w:spacing w:after="0"/>
              <w:rPr>
                <w:sz w:val="17"/>
                <w:szCs w:val="17"/>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(7,096)</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26,863,965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461,280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(437,862)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-2159635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-2159635</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-2159635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-2159635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-2159635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-959485</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-942340</wp:posOffset>
            </wp:positionV>
            <wp:extent cx="768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-959485</wp:posOffset>
            </wp:positionV>
            <wp:extent cx="768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-942340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-959485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-942340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-959485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-942340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-959485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-942340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-24765</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00" w:type="dxa"/>
            <w:vAlign w:val="bottom"/>
          </w:tcPr>
          <w:p>
            <w:pPr>
              <w:spacing w:after="0"/>
              <w:rPr>
                <w:sz w:val="18"/>
                <w:szCs w:val="18"/>
                <w:color w:val="auto"/>
              </w:rPr>
            </w:pPr>
          </w:p>
        </w:tc>
        <w:tc>
          <w:tcPr>
            <w:tcW w:w="25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300" w:type="dxa"/>
            <w:vAlign w:val="bottom"/>
          </w:tcPr>
          <w:p>
            <w:pPr>
              <w:spacing w:after="0"/>
              <w:rPr>
                <w:sz w:val="17"/>
                <w:szCs w:val="17"/>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Class A</w:t>
            </w:r>
          </w:p>
        </w:tc>
        <w:tc>
          <w:tcPr>
            <w:tcW w:w="9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128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300" w:type="dxa"/>
            <w:vAlign w:val="bottom"/>
          </w:tcPr>
          <w:p>
            <w:pPr>
              <w:spacing w:after="0" w:line="182" w:lineRule="exact"/>
              <w:rPr>
                <w:sz w:val="20"/>
                <w:szCs w:val="20"/>
                <w:color w:val="auto"/>
              </w:rPr>
            </w:pPr>
            <w:r>
              <w:rPr>
                <w:rFonts w:ascii="Times New Roman" w:cs="Times New Roman" w:eastAsia="Times New Roman" w:hAnsi="Times New Roman"/>
                <w:sz w:val="16"/>
                <w:szCs w:val="16"/>
                <w:color w:val="auto"/>
              </w:rPr>
              <w:t>Balance at December 31, 2024</w:t>
            </w:r>
          </w:p>
        </w:tc>
        <w:tc>
          <w:tcPr>
            <w:tcW w:w="128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33,883,894</w:t>
            </w:r>
          </w:p>
        </w:tc>
        <w:tc>
          <w:tcPr>
            <w:tcW w:w="120" w:type="dxa"/>
            <w:vAlign w:val="bottom"/>
          </w:tcPr>
          <w:p>
            <w:pPr>
              <w:spacing w:after="0"/>
              <w:rPr>
                <w:sz w:val="15"/>
                <w:szCs w:val="15"/>
                <w:color w:val="auto"/>
              </w:rPr>
            </w:pPr>
          </w:p>
        </w:tc>
        <w:tc>
          <w:tcPr>
            <w:tcW w:w="200" w:type="dxa"/>
            <w:vAlign w:val="bottom"/>
          </w:tcPr>
          <w:p>
            <w:pPr>
              <w:jc w:val="right"/>
              <w:ind w:right="39"/>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3</w:t>
            </w:r>
          </w:p>
        </w:tc>
        <w:tc>
          <w:tcPr>
            <w:tcW w:w="200" w:type="dxa"/>
            <w:vAlign w:val="bottom"/>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492,815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1,335,807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35,712,516</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33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vMerge w:val="continue"/>
          </w:tcPr>
          <w:p>
            <w:pPr>
              <w:spacing w:after="0"/>
              <w:rPr>
                <w:sz w:val="14"/>
                <w:szCs w:val="14"/>
                <w:color w:val="auto"/>
              </w:rPr>
            </w:pPr>
          </w:p>
        </w:tc>
        <w:tc>
          <w:tcPr>
            <w:tcW w:w="12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88,123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44,056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15,097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1,720,422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warrants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2,790,700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-1830070</wp:posOffset>
            </wp:positionV>
            <wp:extent cx="7132320"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-1572895</wp:posOffset>
            </wp:positionV>
            <wp:extent cx="7132320"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-1315720</wp:posOffset>
            </wp:positionV>
            <wp:extent cx="713232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-767080</wp:posOffset>
            </wp:positionV>
            <wp:extent cx="713232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32320" cy="128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28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-1049655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6"/>
        </w:trPr>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2"/>
        </w:trPr>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Income (Loss)</w:t>
            </w: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9"/>
              </w:rPr>
              <w:t>Equity (Deficit)</w:t>
            </w:r>
          </w:p>
        </w:tc>
        <w:tc>
          <w:tcPr>
            <w:tcW w:w="0" w:type="dxa"/>
            <w:vAlign w:val="bottom"/>
          </w:tcPr>
          <w:p>
            <w:pPr>
              <w:spacing w:after="0"/>
              <w:rPr>
                <w:sz w:val="1"/>
                <w:szCs w:val="1"/>
                <w:color w:val="auto"/>
              </w:rPr>
            </w:pPr>
          </w:p>
        </w:tc>
      </w:tr>
      <w:tr>
        <w:trPr>
          <w:trHeight w:val="188"/>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481,289</w:t>
            </w:r>
          </w:p>
        </w:tc>
        <w:tc>
          <w:tcPr>
            <w:tcW w:w="6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(490,831)</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(9,533)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496,370</w:t>
            </w:r>
          </w:p>
        </w:tc>
        <w:tc>
          <w:tcPr>
            <w:tcW w:w="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(468,072)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1,141</w:t>
            </w: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0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9" w:lineRule="exact"/>
              <w:rPr>
                <w:sz w:val="20"/>
                <w:szCs w:val="20"/>
                <w:color w:val="auto"/>
              </w:rPr>
            </w:pPr>
            <w:r>
              <w:rPr>
                <w:rFonts w:ascii="Times New Roman" w:cs="Times New Roman" w:eastAsia="Times New Roman" w:hAnsi="Times New Roman"/>
                <w:sz w:val="16"/>
                <w:szCs w:val="16"/>
                <w:color w:val="auto"/>
              </w:rPr>
              <w:t>1,141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-1838960</wp:posOffset>
            </wp:positionV>
            <wp:extent cx="7886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-1058545</wp:posOffset>
            </wp:positionV>
            <wp:extent cx="7886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040" w:space="160"/>
            <w:col w:w="5040"/>
          </w:cols>
          <w:pgMar w:left="320" w:top="1190" w:right="339" w:bottom="1440" w:gutter="0" w:footer="0" w:header="0"/>
        </w:sectPr>
      </w:pPr>
    </w:p>
    <w:tbl>
      <w:tblPr>
        <w:tblLayout w:type="fixed"/>
        <w:tblInd w:w="0" w:type="dxa"/>
        <w:tblCellMar>
          <w:top w:w="0" w:type="dxa"/>
          <w:left w:w="0" w:type="dxa"/>
          <w:bottom w:w="0" w:type="dxa"/>
          <w:right w:w="0" w:type="dxa"/>
        </w:tblCellMar>
      </w:tblPr>
      <w:tr>
        <w:trPr>
          <w:trHeight w:val="188"/>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(7,487)</w:t>
            </w:r>
          </w:p>
        </w:tc>
        <w:tc>
          <w:tcPr>
            <w:tcW w:w="380" w:type="dxa"/>
            <w:vAlign w:val="bottom"/>
            <w:shd w:val="clear" w:color="auto" w:fill="CFF0FC"/>
          </w:tcPr>
          <w:p>
            <w:pPr>
              <w:spacing w:after="0"/>
              <w:rPr>
                <w:sz w:val="16"/>
                <w:szCs w:val="16"/>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(7,487)</w:t>
            </w:r>
          </w:p>
        </w:tc>
      </w:tr>
      <w:tr>
        <w:trPr>
          <w:trHeight w:val="20"/>
        </w:trPr>
        <w:tc>
          <w:tcPr>
            <w:tcW w:w="33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right w:val="single" w:sz="8" w:color="CFF0FC"/>
            </w:tcBorders>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30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40,370,914</w:t>
            </w:r>
          </w:p>
        </w:tc>
        <w:tc>
          <w:tcPr>
            <w:tcW w:w="120" w:type="dxa"/>
            <w:vAlign w:val="bottom"/>
          </w:tcPr>
          <w:p>
            <w:pPr>
              <w:spacing w:after="0"/>
              <w:rPr>
                <w:sz w:val="17"/>
                <w:szCs w:val="17"/>
                <w:color w:val="auto"/>
              </w:rPr>
            </w:pPr>
          </w:p>
        </w:tc>
        <w:tc>
          <w:tcPr>
            <w:tcW w:w="52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4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529,393</w:t>
            </w:r>
          </w:p>
        </w:tc>
        <w:tc>
          <w:tcPr>
            <w:tcW w:w="70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(475,559)</w:t>
            </w:r>
          </w:p>
        </w:tc>
        <w:tc>
          <w:tcPr>
            <w:tcW w:w="3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53,832</w:t>
            </w:r>
          </w:p>
        </w:tc>
        <w:tc>
          <w:tcPr>
            <w:tcW w:w="10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5"/>
                <w:szCs w:val="15"/>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100" w:type="dxa"/>
            <w:vAlign w:val="bottom"/>
            <w:shd w:val="clear" w:color="auto" w:fill="CFF0FC"/>
          </w:tcPr>
          <w:p>
            <w:pPr>
              <w:spacing w:after="0"/>
              <w:rPr>
                <w:sz w:val="15"/>
                <w:szCs w:val="15"/>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Common stock issued under equity award plans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1,579,937</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7,483</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78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net of cost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77,960</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7"/>
                <w:szCs w:val="17"/>
                <w:color w:val="auto"/>
              </w:rPr>
            </w:pPr>
          </w:p>
        </w:tc>
      </w:tr>
      <w:tr>
        <w:trPr>
          <w:trHeight w:val="203"/>
        </w:trPr>
        <w:tc>
          <w:tcPr>
            <w:tcW w:w="33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right w:val="single" w:sz="8" w:color="CFF0FC"/>
            </w:tcBorders>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FF0FC"/>
          </w:tcPr>
          <w:p>
            <w:pPr>
              <w:spacing w:after="0"/>
              <w:rPr>
                <w:sz w:val="17"/>
                <w:szCs w:val="17"/>
                <w:color w:val="auto"/>
              </w:rPr>
            </w:pPr>
          </w:p>
        </w:tc>
      </w:tr>
      <w:tr>
        <w:trPr>
          <w:trHeight w:val="203"/>
        </w:trPr>
        <w:tc>
          <w:tcPr>
            <w:tcW w:w="33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(3,740)</w:t>
            </w:r>
          </w:p>
        </w:tc>
        <w:tc>
          <w:tcPr>
            <w:tcW w:w="38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(3,740)</w:t>
            </w:r>
          </w:p>
        </w:tc>
      </w:tr>
      <w:tr>
        <w:trPr>
          <w:trHeight w:val="20"/>
        </w:trPr>
        <w:tc>
          <w:tcPr>
            <w:tcW w:w="33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42,036,294</w:t>
            </w: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531,127</w:t>
            </w:r>
          </w:p>
        </w:tc>
        <w:tc>
          <w:tcPr>
            <w:tcW w:w="70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right w:val="single" w:sz="8" w:color="CFF0FC"/>
            </w:tcBorders>
            <w:shd w:val="clear" w:color="auto" w:fill="CFF0FC"/>
          </w:tcPr>
          <w:p>
            <w:pPr>
              <w:spacing w:after="0"/>
              <w:rPr>
                <w:sz w:val="18"/>
                <w:szCs w:val="18"/>
                <w:color w:val="auto"/>
              </w:rPr>
            </w:pPr>
          </w:p>
        </w:tc>
        <w:tc>
          <w:tcPr>
            <w:tcW w:w="3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(479,299)</w:t>
            </w:r>
          </w:p>
        </w:tc>
        <w:tc>
          <w:tcPr>
            <w:tcW w:w="380" w:type="dxa"/>
            <w:vAlign w:val="bottom"/>
            <w:shd w:val="clear" w:color="auto" w:fill="CFF0FC"/>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51,846</w:t>
            </w:r>
          </w:p>
        </w:tc>
        <w:tc>
          <w:tcPr>
            <w:tcW w:w="100" w:type="dxa"/>
            <w:vAlign w:val="bottom"/>
            <w:shd w:val="clear" w:color="auto" w:fill="CFF0FC"/>
          </w:tcPr>
          <w:p>
            <w:pPr>
              <w:spacing w:after="0"/>
              <w:rPr>
                <w:sz w:val="18"/>
                <w:szCs w:val="18"/>
                <w:color w:val="auto"/>
              </w:rPr>
            </w:pPr>
          </w:p>
        </w:tc>
      </w:tr>
      <w:tr>
        <w:trPr>
          <w:trHeight w:val="20"/>
        </w:trPr>
        <w:tc>
          <w:tcPr>
            <w:tcW w:w="330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-1096645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-1096645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-1096645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-1096645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-1096645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-24765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-7620</wp:posOffset>
            </wp:positionV>
            <wp:extent cx="768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-24765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1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500" w:type="dxa"/>
            <w:vAlign w:val="bottom"/>
            <w:gridSpan w:val="7"/>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6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(19,648)</w:t>
            </w:r>
          </w:p>
        </w:tc>
      </w:tr>
      <w:tr>
        <w:trPr>
          <w:trHeight w:val="20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Adjustments to reconcile net income (loss) to net cash used in operating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612</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Change in fair value of warrant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(33,110)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Amortization of investment discount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(1,065)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Unbilled receivable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Operating lease assets &amp; other non-current assets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891</w:t>
            </w: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(1,076)</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Accrued liabilities and current operating lease liabilities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(2,420)</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(740)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(843)</w:t>
            </w:r>
          </w:p>
        </w:tc>
      </w:tr>
      <w:tr>
        <w:trPr>
          <w:trHeight w:val="196"/>
        </w:trPr>
        <w:tc>
          <w:tcPr>
            <w:tcW w:w="65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00" w:type="dxa"/>
            <w:vAlign w:val="bottom"/>
            <w:tcBorders>
              <w:top w:val="single" w:sz="8" w:color="CFF0FC"/>
              <w:bottom w:val="single" w:sz="8" w:color="CFF0FC"/>
            </w:tcBorders>
            <w:shd w:val="clear" w:color="auto" w:fill="CFF0FC"/>
          </w:tcPr>
          <w:p>
            <w:pPr>
              <w:spacing w:after="0"/>
              <w:rPr>
                <w:sz w:val="17"/>
                <w:szCs w:val="17"/>
                <w:color w:val="auto"/>
              </w:rPr>
            </w:pPr>
          </w:p>
        </w:tc>
        <w:tc>
          <w:tcPr>
            <w:tcW w:w="98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(19,132)</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(17,531)</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(217)</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marketable securities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(56,828)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Maturities of marketable securities</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37,000</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(20,305)</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15,783</w:t>
            </w:r>
          </w:p>
        </w:tc>
        <w:tc>
          <w:tcPr>
            <w:tcW w:w="100" w:type="dxa"/>
            <w:vAlign w:val="bottom"/>
          </w:tcPr>
          <w:p>
            <w:pPr>
              <w:spacing w:after="0"/>
              <w:rPr>
                <w:sz w:val="17"/>
                <w:szCs w:val="17"/>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0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7"/>
                <w:szCs w:val="17"/>
                <w:color w:val="auto"/>
              </w:rPr>
            </w:pP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 under ESPP</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the exercise of warrants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Shares repurchased for payment of tax withholdings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(84)</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obligations under capital leases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6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6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of transaction costs related to issuance of common stock</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35,610</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r>
      <w:tr>
        <w:trPr>
          <w:trHeight w:val="20"/>
        </w:trPr>
        <w:tc>
          <w:tcPr>
            <w:tcW w:w="65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(3,827)</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(1,811)</w:t>
            </w:r>
          </w:p>
        </w:tc>
      </w:tr>
      <w:tr>
        <w:trPr>
          <w:trHeight w:val="203"/>
        </w:trPr>
        <w:tc>
          <w:tcPr>
            <w:tcW w:w="65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120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31,188</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23,139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27,361</w:t>
            </w:r>
          </w:p>
        </w:tc>
        <w:tc>
          <w:tcPr>
            <w:tcW w:w="160" w:type="dxa"/>
            <w:vAlign w:val="bottom"/>
          </w:tcPr>
          <w:p>
            <w:pPr>
              <w:spacing w:after="0"/>
              <w:rPr>
                <w:sz w:val="17"/>
                <w:szCs w:val="17"/>
                <w:color w:val="auto"/>
              </w:rPr>
            </w:pP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21,328</w:t>
            </w:r>
          </w:p>
        </w:tc>
        <w:tc>
          <w:tcPr>
            <w:tcW w:w="100" w:type="dxa"/>
            <w:vAlign w:val="bottom"/>
          </w:tcPr>
          <w:p>
            <w:pPr>
              <w:spacing w:after="0"/>
              <w:rPr>
                <w:sz w:val="17"/>
                <w:szCs w:val="17"/>
                <w:color w:val="auto"/>
              </w:rPr>
            </w:pPr>
          </w:p>
        </w:tc>
      </w:tr>
      <w:tr>
        <w:trPr>
          <w:trHeight w:val="20"/>
        </w:trPr>
        <w:tc>
          <w:tcPr>
            <w:tcW w:w="65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1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180" w:type="dxa"/>
            <w:vAlign w:val="bottom"/>
            <w:gridSpan w:val="2"/>
          </w:tcPr>
          <w:p>
            <w:pPr>
              <w:jc w:val="right"/>
              <w:ind w:right="8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5890260</wp:posOffset>
            </wp:positionH>
            <wp:positionV relativeFrom="paragraph">
              <wp:posOffset>-2674620</wp:posOffset>
            </wp:positionV>
            <wp:extent cx="93980" cy="1708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-2674620</wp:posOffset>
            </wp:positionV>
            <wp:extent cx="93980" cy="1708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-2001520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-2001520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-690245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-690245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-424180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-424180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the condensed consolidated financial statements.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p>
      <w:pPr>
        <w:ind w:right="5680" w:firstLine="8"/>
        <w:spacing w:after="0" w:line="487"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 Description of the Business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full-stack, closed-loop autonomy software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without extensive programming and with minimal robot training or the latency associated with processing in the cloud.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Consolidation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have been prepared in accordance with accounting principles generally accepted in the United States ("GAAP").</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condensed consolidated financial statements as of September 30, 2025 are unaudited. The condensed consolidated balance sheet as of December 31, 2024 included herein was derived from the audited consolidated financial statements as of that date. Certain information and note disclosures normally included in annual financial statements prepared in accordance with GAAP have been condensed or omitted. As such, the information included herein should be read in conjunction with the consolidated financial statements and accompanying notes as of and for the year ended December 31, 2024 included in the Company’s Annual Report on Form 10-K filed with the SEC on February 20, 2025.</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and its wholly owned subsidiaries. All intercompany accounts and transactions have been eliminated in consolidation. The Company’s fiscal year begins on January 1 and ends on December 31.</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opinion of the Company’s management, the unaudited condensed consolidated financial statements include all adjustments necessary for fair financial statement presentation. All adjustments are of a normal recurring nature. Interim results are not necessarily indicative of the results to be expected for any subsequent quarter or for the fiscal year ending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 and Use of Estimates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the Company’s significant accounting policies and use of estimates and assumptions described in the annual consolidated financial statements for the year ended December 31, 2024 that have had a material impact on the Company’s condensed consolidated financial statements and related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cash equivalents and marketable securities were $57.1 million as of September 30, 2025, compared to $40.1 million as of December 31, 2024. The Company has incurred losses from operations and negative cash flows from operations since inception and is likely to continue to incur losses and negative cash flows from operations in the near term. As of September 30, 2025, the Company had an accumulated deficit of approximately $479.3 million and working capital of $56.0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financial statements have been prepared in accordance with GAAP and on the basis that the Company will continue as a going concern, which contemplates the realization of assets and the satisfaction of liabilities and commitments in the normal course of business. The Company’s main source of liquidity has been cash generated by equity offerings. The Company’s primary use of cash is for operations and administrative activities, including employee-related expenses and general, operating and overhead expenses. Future capital requirements will depend on many factors, including the Company’s timing and extent of development efforts, the expansion and success of sales and marketing activities, revenue growth rate, customer retention, the introduction of new and enhanced product offerings and market acceptance of the Company’s products. The Company believes it has sufficient financial resources for at least the next 12 months from the date of this report.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revenue from the sale of its products and from the delivery of goods and services arising out of its contractual arrangements to provide product development contract services that are funded by the customer. The Company recognizes revenue when promised goods or services are transferred to customers in an amount that reflects the consideration to which the Company expects to be entitled in exchange for those goods or services by following a five-step process:</w:t>
      </w:r>
    </w:p>
    <w:p>
      <w:pPr>
        <w:spacing w:after="0" w:line="178" w:lineRule="exact"/>
        <w:rPr>
          <w:sz w:val="20"/>
          <w:szCs w:val="20"/>
          <w:color w:val="auto"/>
        </w:rPr>
      </w:pPr>
    </w:p>
    <w:p>
      <w:pPr>
        <w:jc w:val="both"/>
        <w:ind w:left="1020" w:hanging="503"/>
        <w:spacing w:after="0" w:line="256"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contract with a customer: </w:t>
      </w:r>
      <w:r>
        <w:rPr>
          <w:rFonts w:ascii="Times New Roman" w:cs="Times New Roman" w:eastAsia="Times New Roman" w:hAnsi="Times New Roman"/>
          <w:sz w:val="18"/>
          <w:szCs w:val="18"/>
          <w:color w:val="auto"/>
        </w:rPr>
        <w:t>A contract with a customer exists when (a) the Company enters into an enforceable contract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 that defines each party's rights and obligations regarding the products and services to be transferred and identifies the payment terms related to these products and services, (b) the contract has commercial substance and (c) the Company determines that collection of substantially all consideration for products and services that are transferred is probable based on the customer's intent and ability to pay the promised consideration. Contract modifications may include changes in scope of work, and/or the period of completion of the project. The Company analyzes contract modifications to determine if they should be accounted for as a modification to an existing contract or a new stand-alone contract.</w:t>
      </w:r>
    </w:p>
    <w:p>
      <w:pPr>
        <w:spacing w:after="0" w:line="182" w:lineRule="exact"/>
        <w:rPr>
          <w:rFonts w:ascii="Times New Roman" w:cs="Times New Roman" w:eastAsia="Times New Roman" w:hAnsi="Times New Roman"/>
          <w:sz w:val="18"/>
          <w:szCs w:val="18"/>
          <w:i w:val="1"/>
          <w:iCs w:val="1"/>
          <w:color w:val="auto"/>
        </w:rPr>
      </w:pPr>
    </w:p>
    <w:p>
      <w:pPr>
        <w:jc w:val="both"/>
        <w:ind w:left="1020" w:hanging="503"/>
        <w:spacing w:after="0" w:line="261"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Identify the performance obligations in the contract: </w:t>
      </w:r>
      <w:r>
        <w:rPr>
          <w:rFonts w:ascii="Times New Roman" w:cs="Times New Roman" w:eastAsia="Times New Roman" w:hAnsi="Times New Roman"/>
          <w:sz w:val="18"/>
          <w:szCs w:val="18"/>
          <w:color w:val="auto"/>
        </w:rPr>
        <w:t>The Company enters into contracts that can include combinations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which are either capable of being distinct and accounted for as separate performance obligations or as one performance obligation if the majority of tasks and services form a single project or capability. Determining whether products or services are considered distinct performance obligations that should be accounted for separately may require significant judgment.</w:t>
      </w:r>
    </w:p>
    <w:p>
      <w:pPr>
        <w:spacing w:after="0" w:line="179"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Determine the transaction price: </w:t>
      </w:r>
      <w:r>
        <w:rPr>
          <w:rFonts w:ascii="Times New Roman" w:cs="Times New Roman" w:eastAsia="Times New Roman" w:hAnsi="Times New Roman"/>
          <w:sz w:val="18"/>
          <w:szCs w:val="18"/>
          <w:color w:val="auto"/>
        </w:rPr>
        <w:t>The transaction price is determined based on the consideration to which the Company will be entitled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for transferring goods or services to the customer. Such amounts are typically stated in the customer contract. However, to the extent that the Company identifies variable consideration, the Company will estimate the variable consideration at the onset of the arrangement as long as it is probable that a significant reversal in the amount of cumulative revenue recognized will not occur when the uncertainty associated with the variable consideration is subsequently resolved. The Company's current contracts do not include any significant financing components because the timing of the transfer of the underlying products and services under contract are at the customer's discretion. Additionally, the Company does not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 Taxes collected from customers and remitted to governmental authorities are not included in revenue.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4"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Allocate the transaction price to performance obligations in the contract: </w:t>
      </w:r>
      <w:r>
        <w:rPr>
          <w:rFonts w:ascii="Times New Roman" w:cs="Times New Roman" w:eastAsia="Times New Roman" w:hAnsi="Times New Roman"/>
          <w:sz w:val="18"/>
          <w:szCs w:val="18"/>
          <w:color w:val="auto"/>
        </w:rPr>
        <w:t>Once the Company has determined the transaction price,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price is allocated to each performance obligation in a manner depicting the amount of consideration to which the Company expects to be entitled in exchange for transferring the good(s) or service(s) to the customer. If applicable, the Company allocates the transaction price to each performance obligation identified in the contract on a relative standalone selling price basis. The standalone selling price represents the amount the Company would sell the good(s) or service(s) to a customer on a standalone basis. For government contracts, the Company uses expected cost plus a margin as the standalone selling price. Because the Company's contract pricing with government customers is generally based on expected cost plus a margin, the standalone selling price of the good(s) or service(s) in the Company's contracts with government customers are typically equal to the selling price stated in the contract. When we sell standard good(s) or service(s) with observable standalone sale transactions, the observable standalone sales transactions are used to determine the standalone selling price.</w:t>
      </w:r>
    </w:p>
    <w:p>
      <w:pPr>
        <w:spacing w:after="0" w:line="185" w:lineRule="exact"/>
        <w:rPr>
          <w:rFonts w:ascii="Times New Roman" w:cs="Times New Roman" w:eastAsia="Times New Roman" w:hAnsi="Times New Roman"/>
          <w:sz w:val="18"/>
          <w:szCs w:val="18"/>
          <w:i w:val="1"/>
          <w:iCs w:val="1"/>
          <w:color w:val="auto"/>
        </w:rPr>
      </w:pPr>
    </w:p>
    <w:p>
      <w:pPr>
        <w:jc w:val="both"/>
        <w:ind w:left="1020" w:hanging="503"/>
        <w:spacing w:after="0" w:line="253" w:lineRule="auto"/>
        <w:tabs>
          <w:tab w:leader="none" w:pos="1020" w:val="left"/>
        </w:tabs>
        <w:numPr>
          <w:ilvl w:val="0"/>
          <w:numId w:val="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Recognize revenue when or as the Company satisfies a performance obligation</w:t>
      </w:r>
      <w:r>
        <w:rPr>
          <w:rFonts w:ascii="Times New Roman" w:cs="Times New Roman" w:eastAsia="Times New Roman" w:hAnsi="Times New Roman"/>
          <w:sz w:val="18"/>
          <w:szCs w:val="18"/>
          <w:color w:val="auto"/>
        </w:rPr>
        <w:t>: For each performance obligation identified,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determines at contract inception whether it satisfies the performance obligation over time or at a point in time. For performance obligations satisfied over time, revenue is recognized as work progresses when the Company is entitled to the reimbursement of costs plus a reasonable profit for work performed for which the Company has no alternate use. For these performance obligations, the Company generally recognizes revenue using an input method with revenue amounts being recognized proportionately as costs are incurred relative to the total expected costs to satisfy the performance obligation. The Company believes that costs incurred as a portion of total estimated costs is an appropriate measure of progress towards satisfaction of the performance obligation since this measure reasonably depicts the progress of the work effort. Revenue for performance obligations that are not recognized over time are recognized at the point in time when control transfers to the customer (which is generally upon delivery). For performance obligations that are satisfied at a point in time, the Company evaluates the point in time when the customer can direct the use of, and obtain the benefits from, the products and services. Shipping and handling costs are recorded at the time of product shipment to the customer and are included within revenue.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 with Customers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derives its revenue from two sources. First, the Company enters into research and development agreements primarily relating to the commercialization of the Company's products. Second, the Company sells its products and related parts and repair services. Product development contract revenue includes revenue arising from different types of contractual arrangements, including cost-type contracts and fixed-price contracts. Historically, product revenue primarily consists of sales of the Company's legacy hardware products. The Company has not yet generated product revenue from its Palladyne IQ and Palladyne Pilot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Cost-type contracts </w:t>
      </w:r>
      <w:r>
        <w:rPr>
          <w:rFonts w:ascii="Times New Roman" w:cs="Times New Roman" w:eastAsia="Times New Roman" w:hAnsi="Times New Roman"/>
          <w:sz w:val="18"/>
          <w:szCs w:val="18"/>
          <w:color w:val="auto"/>
        </w:rPr>
        <w:t>– Research, development and/or testing service contracts, including cost-plus-fixed-fee and time and material contracts, relate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development of the Company's products and related technology. Cost-type contracts are generally entered into with the U.S. government. These contracts are billed at cost plus a margin as defined by the contract and the Federal Acquisition Regulation ("FAR"). The FAR establishes regulations around procurement by the government and provides guidance on the types of costs that are allowable in establishing prices for goods and services delivered under government contracts. Revenue on cost-type contracts is recognized over time as goods and services are provided.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Fixed-price contracts </w:t>
      </w:r>
      <w:r>
        <w:rPr>
          <w:rFonts w:ascii="Times New Roman" w:cs="Times New Roman" w:eastAsia="Times New Roman" w:hAnsi="Times New Roman"/>
          <w:sz w:val="18"/>
          <w:szCs w:val="18"/>
          <w:color w:val="auto"/>
        </w:rPr>
        <w:t>– Fixed-price development contracts relate primarily to the development of the Company's products and related technology. Fixed-price development contracts generally require a significant service of integrating a complex set of tasks and components into a single deliverable. Revenue on fixed-price contracts is generally recognized over time as goods and services are provided. To the extent the Company's actual costs vary from the fixed fee, we will generate more or less profit or could incur a loss. The Company will recognize losses at the contract level in earnings in the period in which they are incurred.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revenue relates to sales of the Company's commercially available products, and certain miscellaneous parts, accessories and repair services. The Company provides a limited one-year warranty on product sales. Product warranties are considered assurance-type warranties and are not considered to be separate performance obligations. Product revenue is recognized at the point in time when ownership of the goods is transferred, generally at the time of shipment to the customer. At the time product revenue is recognized, an accrual is established for estimated warranty expenses based on historical experience as well as anticipated product performance.</w:t>
      </w:r>
    </w:p>
    <w:p>
      <w:pPr>
        <w:spacing w:after="0" w:line="18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Revenue recognized for Product Development Contract Revenue and Product Revenue for the three and nine months ended September 30, 2025 and 2024, were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Pr>
          <w:p>
            <w:pPr>
              <w:spacing w:after="0"/>
              <w:rPr>
                <w:sz w:val="18"/>
                <w:szCs w:val="18"/>
                <w:color w:val="auto"/>
              </w:rPr>
            </w:pPr>
          </w:p>
        </w:tc>
        <w:tc>
          <w:tcPr>
            <w:tcW w:w="258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6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860" w:type="dxa"/>
            <w:vAlign w:val="bottom"/>
            <w:gridSpan w:val="2"/>
            <w:shd w:val="clear" w:color="auto" w:fill="CFF0FC"/>
          </w:tcPr>
          <w:p>
            <w:pPr>
              <w:ind w:left="16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52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44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6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7"/>
                <w:szCs w:val="17"/>
                <w:color w:val="auto"/>
              </w:rPr>
            </w:pPr>
          </w:p>
        </w:tc>
      </w:tr>
      <w:tr>
        <w:trPr>
          <w:trHeight w:val="216"/>
        </w:trPr>
        <w:tc>
          <w:tcPr>
            <w:tcW w:w="4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Revenue, net</w:t>
            </w:r>
          </w:p>
        </w:tc>
        <w:tc>
          <w:tcPr>
            <w:tcW w:w="1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shd w:val="clear" w:color="auto" w:fill="CFF0FC"/>
          </w:tcPr>
          <w:p>
            <w:pPr>
              <w:spacing w:after="0"/>
              <w:rPr>
                <w:sz w:val="18"/>
                <w:szCs w:val="18"/>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6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billing and cash collection results in the recognition of accounts receivable, unbilled receivables, contract assets and deferred revenue in the Company’s condensed consolidated balance sheets.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funds received in excess of revenue recognized that is contingent upon the satisfaction of performance obligations is accounted for as deferred revenue.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receivables which are amounts resulting from timing differences between revenue recognition and billing in accordance with agreed-upon contractual terms, which typically occur subsequent to revenue being recognized.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The opening and closing balances of our accounts receivable, unbilled receivables, contract assets and deferred revenue as of September 30,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Deferred</w:t>
            </w:r>
          </w:p>
        </w:tc>
      </w:tr>
      <w:tr>
        <w:trPr>
          <w:trHeight w:val="203"/>
        </w:trPr>
        <w:tc>
          <w:tcPr>
            <w:tcW w:w="4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Accounts</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Unbilled</w:t>
            </w:r>
          </w:p>
        </w:tc>
        <w:tc>
          <w:tcPr>
            <w:tcW w:w="260" w:type="dxa"/>
            <w:vAlign w:val="bottom"/>
          </w:tcPr>
          <w:p>
            <w:pPr>
              <w:spacing w:after="0"/>
              <w:rPr>
                <w:sz w:val="17"/>
                <w:szCs w:val="17"/>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Contract Assets</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w:t>
            </w:r>
          </w:p>
        </w:tc>
      </w:tr>
      <w:tr>
        <w:trPr>
          <w:trHeight w:val="218"/>
        </w:trPr>
        <w:tc>
          <w:tcPr>
            <w:tcW w:w="4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00" w:type="dxa"/>
            <w:vAlign w:val="bottom"/>
          </w:tcPr>
          <w:p>
            <w:pPr>
              <w:spacing w:after="0"/>
              <w:rPr>
                <w:sz w:val="18"/>
                <w:szCs w:val="18"/>
                <w:color w:val="auto"/>
              </w:rPr>
            </w:pPr>
          </w:p>
        </w:tc>
      </w:tr>
      <w:tr>
        <w:trPr>
          <w:trHeight w:val="19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December 31, 2024</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1,179</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4260" w:type="dxa"/>
            <w:vAlign w:val="bottom"/>
          </w:tcPr>
          <w:p>
            <w:pPr>
              <w:spacing w:after="0"/>
              <w:rPr>
                <w:sz w:val="20"/>
                <w:szCs w:val="20"/>
                <w:color w:val="auto"/>
              </w:rPr>
            </w:pPr>
            <w:r>
              <w:rPr>
                <w:rFonts w:ascii="Times New Roman" w:cs="Times New Roman" w:eastAsia="Times New Roman" w:hAnsi="Times New Roman"/>
                <w:sz w:val="16"/>
                <w:szCs w:val="16"/>
                <w:color w:val="auto"/>
              </w:rPr>
              <w:t>(Decrease)/increase, net</w:t>
            </w:r>
          </w:p>
        </w:tc>
        <w:tc>
          <w:tcPr>
            <w:tcW w:w="1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(248)</w:t>
            </w:r>
          </w:p>
        </w:tc>
      </w:tr>
      <w:tr>
        <w:trPr>
          <w:trHeight w:val="20"/>
        </w:trPr>
        <w:tc>
          <w:tcPr>
            <w:tcW w:w="4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Ending Balance as of September 30, 2025</w:t>
            </w:r>
          </w:p>
        </w:tc>
        <w:tc>
          <w:tcPr>
            <w:tcW w:w="1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1,819</w:t>
            </w: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its current contract assets and current deferred revenue within prepaid expenses and other current assets and accrued liabilities, respectively. During the three and nine months ended September 30, 2025, the Company recognized all of the deferred revenue which existed at December 31, 2024. During the three and nine months ended September 30, 2024, the Company recognized all of the deferred revenue which existed at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2025, the Company had backlog, or revenue related to remaining performance obligations, of $0.8 million. The Company expects most of this backlog to be recognized over the next 12 months. The Company’s backlog represents the expected value of exercised contracts, both funded and unfunded, less revenue recognized to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this extended transition period under the JOBS Act until such time as the Company is no longer considered to be an EGC. The adoption dates discussed below reflect this election.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2026 and will be applied on a prospective basis with the option to apply the standard retrospectively. The Company does not expect a material impact on its consolidated financial statements related to ASU 2023-09.</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impact of adopting ASU 2024-03.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w:t>
      </w:r>
    </w:p>
    <w:p>
      <w:pPr>
        <w:spacing w:after="0" w:line="200" w:lineRule="exact"/>
        <w:rPr>
          <w:sz w:val="20"/>
          <w:szCs w:val="20"/>
          <w:color w:val="auto"/>
        </w:rPr>
      </w:pPr>
    </w:p>
    <w:p>
      <w:pPr>
        <w:spacing w:after="0" w:line="2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defines fair value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fair value hierarchy defines a three-level valuation hierarchy for disclosure of fair value measurements as follows:</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Level 1—Fair value is based on observable inputs such as quoted prices for identical assets or liabilities in active markets.</w:t>
      </w:r>
    </w:p>
    <w:p>
      <w:pPr>
        <w:spacing w:after="0" w:line="225"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2—Fair value is determined using quoted prices for similar assets or liabilities in active markets or quoted prices for identical or similar assets or liabilities in markets that are not active or are directly or indirectly observable.</w:t>
      </w:r>
    </w:p>
    <w:p>
      <w:pPr>
        <w:spacing w:after="0" w:line="162" w:lineRule="exact"/>
        <w:rPr>
          <w:sz w:val="20"/>
          <w:szCs w:val="20"/>
          <w:color w:val="auto"/>
        </w:rPr>
      </w:pPr>
    </w:p>
    <w:p>
      <w:pPr>
        <w:ind w:left="1660" w:hanging="897"/>
        <w:spacing w:after="0" w:line="282" w:lineRule="auto"/>
        <w:rPr>
          <w:sz w:val="20"/>
          <w:szCs w:val="20"/>
          <w:color w:val="auto"/>
        </w:rPr>
      </w:pPr>
      <w:r>
        <w:rPr>
          <w:rFonts w:ascii="Times New Roman" w:cs="Times New Roman" w:eastAsia="Times New Roman" w:hAnsi="Times New Roman"/>
          <w:sz w:val="18"/>
          <w:szCs w:val="18"/>
          <w:color w:val="auto"/>
        </w:rPr>
        <w:t>Level 3—Fair value is determined using one or more significant inputs that are unobservable in active markets at the measurement date, such as an option pricing model, discounted cash flow or similar technique.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Financial Assets and Liabilities Measured at Fair Value on a Recurring Basis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 recurring basis, the Company measures certain of its financial assets and liabilities at fair value. The fair value of the Company’s financial assets and liabilities measured at fair value on a recurring basis was determined using the following inputs as of September 30, 2025 and December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As of September 30, 2025</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100" w:type="dxa"/>
            <w:vAlign w:val="bottom"/>
            <w:shd w:val="clear" w:color="auto" w:fill="CFF0FC"/>
          </w:tcPr>
          <w:p>
            <w:pPr>
              <w:spacing w:after="0"/>
              <w:rPr>
                <w:sz w:val="17"/>
                <w:szCs w:val="17"/>
                <w:color w:val="auto"/>
              </w:rPr>
            </w:pPr>
          </w:p>
        </w:tc>
      </w:tr>
      <w:tr>
        <w:trPr>
          <w:trHeight w:val="20"/>
        </w:trPr>
        <w:tc>
          <w:tcPr>
            <w:tcW w:w="3700" w:type="dxa"/>
            <w:vAlign w:val="bottom"/>
            <w:shd w:val="clear" w:color="auto" w:fill="CFF0FC"/>
          </w:tcPr>
          <w:p>
            <w:pPr>
              <w:spacing w:after="0" w:line="20" w:lineRule="exact"/>
              <w:rPr>
                <w:sz w:val="1"/>
                <w:szCs w:val="1"/>
                <w:color w:val="auto"/>
              </w:rPr>
            </w:pPr>
          </w:p>
        </w:tc>
        <w:tc>
          <w:tcPr>
            <w:tcW w:w="210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60" w:type="dxa"/>
            <w:vAlign w:val="bottom"/>
            <w:tcBorders>
              <w:bottom w:val="single" w:sz="8" w:color="auto"/>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tcBorders>
              <w:bottom w:val="single" w:sz="8" w:color="auto"/>
            </w:tcBorders>
            <w:shd w:val="clear" w:color="auto" w:fill="CFF0FC"/>
          </w:tcPr>
          <w:p>
            <w:pPr>
              <w:spacing w:after="0" w:line="20" w:lineRule="exact"/>
              <w:rPr>
                <w:sz w:val="1"/>
                <w:szCs w:val="1"/>
                <w:color w:val="auto"/>
              </w:rPr>
            </w:pPr>
          </w:p>
        </w:tc>
        <w:tc>
          <w:tcPr>
            <w:tcW w:w="92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10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6"/>
                <w:szCs w:val="16"/>
                <w:color w:val="auto"/>
              </w:rPr>
            </w:pP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29,785</w:t>
            </w:r>
          </w:p>
        </w:tc>
        <w:tc>
          <w:tcPr>
            <w:tcW w:w="100" w:type="dxa"/>
            <w:vAlign w:val="bottom"/>
          </w:tcPr>
          <w:p>
            <w:pPr>
              <w:spacing w:after="0"/>
              <w:rPr>
                <w:sz w:val="16"/>
                <w:szCs w:val="16"/>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100" w:type="dxa"/>
            <w:vAlign w:val="bottom"/>
          </w:tcPr>
          <w:p>
            <w:pPr>
              <w:spacing w:after="0"/>
              <w:rPr>
                <w:sz w:val="17"/>
                <w:szCs w:val="17"/>
                <w:color w:val="auto"/>
              </w:rPr>
            </w:pPr>
          </w:p>
        </w:tc>
      </w:tr>
      <w:tr>
        <w:trPr>
          <w:trHeight w:val="20"/>
        </w:trPr>
        <w:tc>
          <w:tcPr>
            <w:tcW w:w="37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3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3,041</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1,079</w:t>
            </w:r>
          </w:p>
        </w:tc>
        <w:tc>
          <w:tcPr>
            <w:tcW w:w="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46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100" w:type="dxa"/>
            <w:vAlign w:val="bottom"/>
            <w:shd w:val="clear" w:color="auto" w:fill="CFF0FC"/>
          </w:tcPr>
          <w:p>
            <w:pPr>
              <w:spacing w:after="0"/>
              <w:rPr>
                <w:sz w:val="18"/>
                <w:szCs w:val="18"/>
                <w:color w:val="auto"/>
              </w:rPr>
            </w:pPr>
          </w:p>
        </w:tc>
      </w:tr>
      <w:tr>
        <w:trPr>
          <w:trHeight w:val="20"/>
        </w:trPr>
        <w:tc>
          <w:tcPr>
            <w:tcW w:w="37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As of December 31, 2024</w:t>
            </w: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7"/>
                <w:szCs w:val="17"/>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Cash equivalents: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12,927</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12,927</w:t>
            </w:r>
          </w:p>
        </w:tc>
      </w:tr>
      <w:tr>
        <w:trPr>
          <w:trHeight w:val="203"/>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Marketable securities:</w:t>
            </w: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U.S. treasury securities</w:t>
            </w:r>
          </w:p>
        </w:tc>
        <w:tc>
          <w:tcPr>
            <w:tcW w:w="20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40" w:type="dxa"/>
            <w:vAlign w:val="bottom"/>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21,810</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37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7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Warrant liabilities</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2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4,128</w:t>
            </w:r>
          </w:p>
        </w:tc>
        <w:tc>
          <w:tcPr>
            <w:tcW w:w="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4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51,396</w:t>
            </w: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-719455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-719455</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-719455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-25400</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-8255</wp:posOffset>
            </wp:positionV>
            <wp:extent cx="7683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-25400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-8255</wp:posOffset>
            </wp:positionV>
            <wp:extent cx="7683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the Company held $29.8 million of available-for-sale debt securities with maturity dates within one year. The fair value of the Company's available-for-sale debt securities approximates their amortized cost basis. The Company considers all highly liquid investments purchased with an original maturity of three months or less to be cash equivalents. The carrying amounts of accounts receivable, unbilled receivables, accounts payable and accrued expenses approximate their fair values because of the relatively short periods until they are required to be settled.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reconciliation from the opening balances to the closing balances for Level 3 values: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5"/>
        </w:trPr>
        <w:tc>
          <w:tcPr>
            <w:tcW w:w="9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740" w:type="dxa"/>
            <w:vAlign w:val="bottom"/>
            <w:shd w:val="clear" w:color="auto" w:fill="CFF0FC"/>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35,638</w:t>
            </w:r>
          </w:p>
        </w:tc>
        <w:tc>
          <w:tcPr>
            <w:tcW w:w="100" w:type="dxa"/>
            <w:vAlign w:val="bottom"/>
            <w:shd w:val="clear" w:color="auto" w:fill="CFF0FC"/>
          </w:tcPr>
          <w:p>
            <w:pPr>
              <w:spacing w:after="0"/>
              <w:rPr>
                <w:sz w:val="17"/>
                <w:szCs w:val="17"/>
                <w:color w:val="auto"/>
              </w:rPr>
            </w:pPr>
          </w:p>
        </w:tc>
      </w:tr>
      <w:tr>
        <w:trPr>
          <w:trHeight w:val="203"/>
        </w:trPr>
        <w:tc>
          <w:tcPr>
            <w:tcW w:w="9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Decrease in fair value of warrants</w:t>
            </w:r>
          </w:p>
        </w:tc>
        <w:tc>
          <w:tcPr>
            <w:tcW w:w="740" w:type="dxa"/>
            <w:vAlign w:val="bottom"/>
          </w:tcPr>
          <w:p>
            <w:pPr>
              <w:spacing w:after="0"/>
              <w:rPr>
                <w:sz w:val="17"/>
                <w:szCs w:val="17"/>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(21,472)</w:t>
            </w:r>
          </w:p>
        </w:tc>
      </w:tr>
      <w:tr>
        <w:trPr>
          <w:trHeight w:val="203"/>
        </w:trPr>
        <w:tc>
          <w:tcPr>
            <w:tcW w:w="9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Exercise of warrants</w:t>
            </w:r>
          </w:p>
        </w:tc>
        <w:tc>
          <w:tcPr>
            <w:tcW w:w="7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(10,884)</w:t>
            </w:r>
          </w:p>
        </w:tc>
      </w:tr>
      <w:tr>
        <w:trPr>
          <w:trHeight w:val="196"/>
        </w:trPr>
        <w:tc>
          <w:tcPr>
            <w:tcW w:w="92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74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3,282</w:t>
            </w:r>
          </w:p>
        </w:tc>
        <w:tc>
          <w:tcPr>
            <w:tcW w:w="100" w:type="dxa"/>
            <w:vAlign w:val="bottom"/>
            <w:tcBorders>
              <w:top w:val="single" w:sz="8" w:color="CFF0FC"/>
            </w:tcBorders>
          </w:tcPr>
          <w:p>
            <w:pPr>
              <w:spacing w:after="0"/>
              <w:rPr>
                <w:sz w:val="17"/>
                <w:szCs w:val="17"/>
                <w:color w:val="auto"/>
              </w:rPr>
            </w:pPr>
          </w:p>
        </w:tc>
      </w:tr>
      <w:tr>
        <w:trPr>
          <w:trHeight w:val="20"/>
        </w:trPr>
        <w:tc>
          <w:tcPr>
            <w:tcW w:w="9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inventories, net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4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17"/>
                <w:szCs w:val="17"/>
                <w:color w:val="auto"/>
              </w:rPr>
            </w:pPr>
          </w:p>
        </w:tc>
      </w:tr>
      <w:tr>
        <w:trPr>
          <w:trHeight w:val="203"/>
        </w:trPr>
        <w:tc>
          <w:tcPr>
            <w:tcW w:w="3400" w:type="dxa"/>
            <w:vAlign w:val="bottom"/>
          </w:tcPr>
          <w:p>
            <w:pPr>
              <w:spacing w:after="0"/>
              <w:rPr>
                <w:sz w:val="20"/>
                <w:szCs w:val="20"/>
                <w:color w:val="auto"/>
              </w:rPr>
            </w:pPr>
            <w:r>
              <w:rPr>
                <w:rFonts w:ascii="Times New Roman" w:cs="Times New Roman" w:eastAsia="Times New Roman" w:hAnsi="Times New Roman"/>
                <w:sz w:val="16"/>
                <w:szCs w:val="16"/>
                <w:color w:val="auto"/>
              </w:rPr>
              <w:t>Finished goods, net</w:t>
            </w:r>
          </w:p>
        </w:tc>
        <w:tc>
          <w:tcPr>
            <w:tcW w:w="43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4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3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Total inventories</w:t>
            </w:r>
          </w:p>
        </w:tc>
        <w:tc>
          <w:tcPr>
            <w:tcW w:w="434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FF0FC"/>
          </w:tcPr>
          <w:p>
            <w:pPr>
              <w:spacing w:after="0"/>
              <w:rPr>
                <w:sz w:val="20"/>
                <w:szCs w:val="20"/>
                <w:color w:val="auto"/>
              </w:rPr>
            </w:pPr>
          </w:p>
        </w:tc>
      </w:tr>
      <w:tr>
        <w:trPr>
          <w:trHeight w:val="413"/>
        </w:trPr>
        <w:tc>
          <w:tcPr>
            <w:tcW w:w="3400" w:type="dxa"/>
            <w:vAlign w:val="bottom"/>
            <w:tcBorders>
              <w:top w:val="single" w:sz="8" w:color="CFF0FC"/>
            </w:tcBorders>
          </w:tcPr>
          <w:p>
            <w:pPr>
              <w:spacing w:after="0"/>
              <w:rPr>
                <w:sz w:val="24"/>
                <w:szCs w:val="24"/>
                <w:color w:val="auto"/>
              </w:rPr>
            </w:pPr>
          </w:p>
        </w:tc>
        <w:tc>
          <w:tcPr>
            <w:tcW w:w="4340" w:type="dxa"/>
            <w:vAlign w:val="bottom"/>
            <w:tcBorders>
              <w:top w:val="single" w:sz="8" w:color="CFF0FC"/>
            </w:tcBorders>
          </w:tcPr>
          <w:p>
            <w:pPr>
              <w:jc w:val="right"/>
              <w:ind w:right="1935"/>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-796290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-779145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prepaid expenses and other current assets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7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insurance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r>
      <w:tr>
        <w:trPr>
          <w:trHeight w:val="203"/>
        </w:trPr>
        <w:tc>
          <w:tcPr>
            <w:tcW w:w="77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00" w:type="dxa"/>
            <w:vAlign w:val="bottom"/>
          </w:tcPr>
          <w:p>
            <w:pPr>
              <w:spacing w:after="0"/>
              <w:rPr>
                <w:sz w:val="17"/>
                <w:szCs w:val="17"/>
                <w:color w:val="auto"/>
              </w:rPr>
            </w:pPr>
          </w:p>
        </w:tc>
      </w:tr>
      <w:tr>
        <w:trPr>
          <w:trHeight w:val="202"/>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prepaid expenses and assets</w:t>
            </w: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prepaid expenses and other current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1,275</w:t>
            </w:r>
          </w:p>
        </w:tc>
        <w:tc>
          <w:tcPr>
            <w:tcW w:w="100" w:type="dxa"/>
            <w:vAlign w:val="bottom"/>
          </w:tcPr>
          <w:p>
            <w:pPr>
              <w:spacing w:after="0"/>
              <w:rPr>
                <w:sz w:val="17"/>
                <w:szCs w:val="17"/>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-162560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property and equipment, net consist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460" w:type="dxa"/>
            <w:vAlign w:val="bottom"/>
          </w:tcPr>
          <w:p>
            <w:pPr>
              <w:spacing w:after="0"/>
              <w:rPr>
                <w:sz w:val="18"/>
                <w:szCs w:val="18"/>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Robotics and manufacturing equipment</w:t>
            </w:r>
          </w:p>
        </w:tc>
        <w:tc>
          <w:tcPr>
            <w:tcW w:w="302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Leasehold improvements</w:t>
            </w:r>
          </w:p>
        </w:tc>
        <w:tc>
          <w:tcPr>
            <w:tcW w:w="2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3,927</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Computer equipment</w:t>
            </w:r>
          </w:p>
        </w:tc>
        <w:tc>
          <w:tcPr>
            <w:tcW w:w="2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Software</w:t>
            </w:r>
          </w:p>
        </w:tc>
        <w:tc>
          <w:tcPr>
            <w:tcW w:w="2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r>
      <w:tr>
        <w:trPr>
          <w:trHeight w:val="203"/>
        </w:trPr>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and fixtures, and other fixed assets</w:t>
            </w:r>
          </w:p>
        </w:tc>
        <w:tc>
          <w:tcPr>
            <w:tcW w:w="24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951</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Construction in progress</w:t>
            </w:r>
          </w:p>
        </w:tc>
        <w:tc>
          <w:tcPr>
            <w:tcW w:w="2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460" w:type="dxa"/>
            <w:vAlign w:val="bottom"/>
            <w:shd w:val="clear" w:color="auto" w:fill="CFF0FC"/>
          </w:tcPr>
          <w:p>
            <w:pPr>
              <w:spacing w:after="0"/>
              <w:rPr>
                <w:sz w:val="17"/>
                <w:szCs w:val="17"/>
                <w:color w:val="auto"/>
              </w:rPr>
            </w:pPr>
          </w:p>
        </w:tc>
        <w:tc>
          <w:tcPr>
            <w:tcW w:w="56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7,735</w:t>
            </w:r>
          </w:p>
        </w:tc>
        <w:tc>
          <w:tcPr>
            <w:tcW w:w="280" w:type="dxa"/>
            <w:vAlign w:val="bottom"/>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7,258</w:t>
            </w:r>
          </w:p>
        </w:tc>
        <w:tc>
          <w:tcPr>
            <w:tcW w:w="10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Accumulated depreciation</w:t>
            </w:r>
          </w:p>
        </w:tc>
        <w:tc>
          <w:tcPr>
            <w:tcW w:w="2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(3,672)</w:t>
            </w:r>
          </w:p>
        </w:tc>
        <w:tc>
          <w:tcPr>
            <w:tcW w:w="10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(3,014)</w:t>
            </w:r>
          </w:p>
        </w:tc>
      </w:tr>
      <w:tr>
        <w:trPr>
          <w:trHeight w:val="20"/>
        </w:trPr>
        <w:tc>
          <w:tcPr>
            <w:tcW w:w="53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02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4,063</w:t>
            </w: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4,244</w:t>
            </w:r>
          </w:p>
        </w:tc>
        <w:tc>
          <w:tcPr>
            <w:tcW w:w="100" w:type="dxa"/>
            <w:vAlign w:val="bottom"/>
            <w:shd w:val="clear" w:color="auto" w:fill="CFF0FC"/>
          </w:tcPr>
          <w:p>
            <w:pPr>
              <w:spacing w:after="0"/>
              <w:rPr>
                <w:sz w:val="18"/>
                <w:szCs w:val="18"/>
                <w:color w:val="auto"/>
              </w:rPr>
            </w:pPr>
          </w:p>
        </w:tc>
      </w:tr>
      <w:tr>
        <w:trPr>
          <w:trHeight w:val="20"/>
        </w:trPr>
        <w:tc>
          <w:tcPr>
            <w:tcW w:w="5340" w:type="dxa"/>
            <w:vAlign w:val="bottom"/>
            <w:tcBorders>
              <w:top w:val="single" w:sz="8" w:color="CFF0FC"/>
            </w:tcBorders>
            <w:shd w:val="clear" w:color="auto" w:fill="CFF0FC"/>
          </w:tcPr>
          <w:p>
            <w:pPr>
              <w:spacing w:after="0" w:line="20" w:lineRule="exact"/>
              <w:rPr>
                <w:sz w:val="1"/>
                <w:szCs w:val="1"/>
                <w:color w:val="auto"/>
              </w:rPr>
            </w:pPr>
          </w:p>
        </w:tc>
        <w:tc>
          <w:tcPr>
            <w:tcW w:w="24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Depreciation expenses were $0.3 million and $0.2 million for the three months ended September 30, 2025 and 2024, respectively. Depreciation expenses were $0.7 million and $0.6 million for the nine months ended September 30,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accrued liabilities consist of the following:</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Pr>
          <w:p>
            <w:pPr>
              <w:spacing w:after="0"/>
              <w:rPr>
                <w:sz w:val="18"/>
                <w:szCs w:val="18"/>
                <w:color w:val="auto"/>
              </w:rPr>
            </w:pPr>
          </w:p>
        </w:tc>
      </w:tr>
      <w:tr>
        <w:trPr>
          <w:trHeight w:val="196"/>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Payroll and related costs</w:t>
            </w:r>
          </w:p>
        </w:tc>
        <w:tc>
          <w:tcPr>
            <w:tcW w:w="600" w:type="dxa"/>
            <w:vAlign w:val="bottom"/>
            <w:shd w:val="clear" w:color="auto" w:fill="CFF0FC"/>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1,811</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Legal services accrual</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7"/>
                <w:szCs w:val="17"/>
                <w:color w:val="auto"/>
              </w:rPr>
            </w:pPr>
          </w:p>
        </w:tc>
      </w:tr>
      <w:tr>
        <w:trPr>
          <w:trHeight w:val="203"/>
        </w:trPr>
        <w:tc>
          <w:tcPr>
            <w:tcW w:w="7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Deferred revenue</w:t>
            </w:r>
          </w:p>
        </w:tc>
        <w:tc>
          <w:tcPr>
            <w:tcW w:w="6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FF0FC"/>
          </w:tcPr>
          <w:p>
            <w:pPr>
              <w:spacing w:after="0"/>
              <w:rPr>
                <w:sz w:val="17"/>
                <w:szCs w:val="17"/>
                <w:color w:val="auto"/>
              </w:rPr>
            </w:pPr>
          </w:p>
        </w:tc>
      </w:tr>
      <w:tr>
        <w:trPr>
          <w:trHeight w:val="203"/>
        </w:trPr>
        <w:tc>
          <w:tcPr>
            <w:tcW w:w="7800" w:type="dxa"/>
            <w:vAlign w:val="bottom"/>
          </w:tcPr>
          <w:p>
            <w:pPr>
              <w:spacing w:after="0"/>
              <w:rPr>
                <w:sz w:val="20"/>
                <w:szCs w:val="20"/>
                <w:color w:val="auto"/>
              </w:rPr>
            </w:pPr>
            <w:r>
              <w:rPr>
                <w:rFonts w:ascii="Times New Roman" w:cs="Times New Roman" w:eastAsia="Times New Roman" w:hAnsi="Times New Roman"/>
                <w:sz w:val="16"/>
                <w:szCs w:val="16"/>
                <w:color w:val="auto"/>
              </w:rPr>
              <w:t>Other contract liabilities</w:t>
            </w:r>
          </w:p>
        </w:tc>
        <w:tc>
          <w:tcPr>
            <w:tcW w:w="6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w:t>
            </w:r>
          </w:p>
        </w:tc>
        <w:tc>
          <w:tcPr>
            <w:tcW w:w="100" w:type="dxa"/>
            <w:vAlign w:val="bottom"/>
          </w:tcPr>
          <w:p>
            <w:pPr>
              <w:spacing w:after="0"/>
              <w:rPr>
                <w:sz w:val="17"/>
                <w:szCs w:val="17"/>
                <w:color w:val="auto"/>
              </w:rPr>
            </w:pPr>
          </w:p>
        </w:tc>
      </w:tr>
      <w:tr>
        <w:trPr>
          <w:trHeight w:val="203"/>
        </w:trPr>
        <w:tc>
          <w:tcPr>
            <w:tcW w:w="7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accrued expenses and current liabilities</w:t>
            </w:r>
          </w:p>
        </w:tc>
        <w:tc>
          <w:tcPr>
            <w:tcW w:w="6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600" w:type="dxa"/>
            <w:vAlign w:val="bottom"/>
          </w:tcPr>
          <w:p>
            <w:pPr>
              <w:jc w:val="right"/>
              <w:ind w:right="43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2,919</w:t>
            </w:r>
          </w:p>
        </w:tc>
        <w:tc>
          <w:tcPr>
            <w:tcW w:w="100" w:type="dxa"/>
            <w:vAlign w:val="bottom"/>
          </w:tcPr>
          <w:p>
            <w:pPr>
              <w:spacing w:after="0"/>
              <w:rPr>
                <w:sz w:val="17"/>
                <w:szCs w:val="17"/>
                <w:color w:val="auto"/>
              </w:rPr>
            </w:pPr>
          </w:p>
        </w:tc>
      </w:tr>
      <w:tr>
        <w:trPr>
          <w:trHeight w:val="20"/>
        </w:trPr>
        <w:tc>
          <w:tcPr>
            <w:tcW w:w="78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-162560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Earn-Out Shares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24, 2021 (the "Closing Date"), Rotor Acquisition Corp. ("Rotor"), a Delaware corporation, consummated the business combination (the "Business Combination") pursuant to the terms of the Agreement and Plan of Merger, dated as of April 5, 2021 (the "Original Merger Agreement"), by and among Rotor, Rotor Merger Sub Corp., a Delaware corporation and a direct, wholly-owned subsidiary of Rotor ("Merger Sub"), and Sarcos Corp., a Utah corporation ("Old Sarcos"), and Amendment No. 1 to the Agreement and Plan of Merger, dated as of August 28, 2021 (the "Amendment" and the Original Merger Agreement, as amended, the "Merger Agreement"), by and among Rotor, Merger Sub and Old Sarcos. Pursuant to the terms of the Merger Agreement, the Business Combination between Rotor and Old Sarcos was effected through the merger of Merger Sub with and into Old Sarcos, with Old Sarcos continuing as the surviving corporation (the "Merger") and a wholly-owned subsidiary of Rotor. On the Closing Date, Rotor changed its name to Sarcos Technology and Robotics Corporation. To reflect the Company's transition from a hardware-focused company to an AI software-focused company, in March 2024 the Company changed its name from Sarcos Technology and Robotics Corporation to Palladyne AI Corp.</w:t>
      </w:r>
    </w:p>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of the Business Combination, each holder of Old Sarcos capital stock is entitled to Contingent Merger Consideration following the closing of the Business Combination in the form of earn-outs, up to an aggregate of 4,687,500 shares of Common Stock (the "Earn-Out Shares"). On September 24, 2025, the four-year anniversary of the Closing Date, 2,343,750 of the Earn-Out Shares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expired without having been released as the closing share price of a share of Common Stock of the Company did not equal or exceed $90.00 for 20 trading days in any 30 consecutive trading-day period at any time beginning on the first anniversary of the Closing Date and ending on the fourth anniversary of the Closing Date. The remaining 2,343,750 Earn-Out Shares will become payable if the closing share price of a share of Common Stock of the Company is equal to or exceeds $120.00 for 20 trading days in any 30 consecutive trading-day period at any time during the period beginning on the first anniversary of the Closing Date and ending on the fifth anniversary of the Closing Date.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Earn-Out Shares are treated as equity-linked instruments as opposed to shares outstanding, and as such are not included in shares outstanding on the Company's condensed consolidated balance sheets. As of September 30, 2025, there remained 2,343,750 Earn-Out Shares potentially issuable.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DeSPAC Warrants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20, 2021, Rotor consummated the initial public offering ("IPO") of 27,600,000 units (the "Units"), including the full exercise by the underwriters of their over-allotment option. Each Unit included one sixth of a share of Class A Common Stock and one half of one warrant (the "deSPAC Public Warrants"). Simultaneously with the closing of the IPO, Rotor consummated the sale of 7,270,000 warrants (the "deSPAC Private Placement Warrants") in a private placement to Rotor Sponsor LLC (the "Sponsor"), an affiliate of Rotor's officers and directors, and certain funds and accounts managed by two qualified institutional buyers. At the Closing Date, Old Sarcos acquired the net liabilities from Rotor, including the deSPAC Public Warrants, and the deSPAC Private Placement Warrants (together the "deSPAC Warrants"). The deSPAC Public Warrants are listed and traded under the PDYNW ticker symbol on the Nasdaq Global Market.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whole deSPAC Warrant entitles the registered holder to purchase one sixth of a share of the Company's Common Stock at a price of $11.50 per warrant, subject to adjustment as discussed below, at any time commencing on January 20, 2022, provided that the Company has an effective registration statement under the Securities Act of 1933, as amended (the "Securities Act") covering the shares of the Common Stock issuable upon exercise of the deSPAC Warrants and a current prospectus relating to them is available (or the Company permits holders to exercise their deSPAC Warrants on a cashless basis under the circumstances specified in the warrant agreement (the "deSPAC Warrant Agreement") entered into between Continental Stock Transfer &amp; Trust Company and Rotor and such shares are registered, qualified or exempt from registration under the securities laws of the state of residence of the holder. Pursuant to the deSPAC Warrant Agreement, a deSPAC Warrant holder may exercise its deSPAC Warrants only for a whole number of shares of the Company's Common Stock. The deSPAC Warrants will expire five years after the completion of the Business Combination, or September 24, 2026, at 5:00 p.m., New York City time, or earlier upon redemption or liquidation. As of September 30, 2025, there were 20,549,453 DeSPAC Warrants outstanding.</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will not be obligated to deliver any Common Stock pursuant to the exercise of a deSPAC Warrant and will have no obligation to settle such deSPAC Warrant exercise unless a registration statement under the Securities Act with respect to the shares of Common Stock underlying the deSPAC Warrants is then effective and a prospectus relating thereto is current, subject to the Company satisfying its obligations described below with respect to registration, or a valid exemption from registration is available. No deSPAC Warrant will be exercisable, and the Company will not be obligated to issue a share of Common Stock upon exercise of a deSPAC Warrant unless the share of the Company's Common Stock issuable upon such deSPAC Warrant exercise has been registered, qualified or deemed to be exempt under the securities laws of the state of residence of the registered holder of the deSPAC Warrants. If the conditions in the two immediately preceding sentences are not satisfied with respect to a deSPAC Warrant, the holder of such deSPAC Warrant will not be entitled to exercise such deSPAC Warrant and such deSPAC Warrant may have no value and expire worthless. In no event will the Company be required to net cash settle any deSPAC Warrant. In the event a registration statement is not effective for the exercised deSPAC Warrants, the purchaser in the Rotor IPO of a Unit containing such deSPAC Warrant will have paid the full purchase price for the Unit solely for the share of the Company's Common Stock underlying such Unit.</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described herein, the deSPAC Private Placement Warrants have terms and provisions that are identical to those of the deSPAC Public Warrants. If the deSPAC Private Placement Warrants are held by holders other than the initial purchasers or their permitted transferees, the deSPAC Private Placement Warrants will be redeemable by the Company in all redemption scenarios and exercisable by the holders on the same basis as the deSPAC Public Warrants. The deSPAC Private Placement Warrants will not be redeemable by the Company so long as they are held by the initial purchasers or their permitted transferees, subject to certain exceptions. The initial purchasers or their permitted transferees, have the option to exercise the deSPAC Private Placement Warrants on a cashless basis.</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the Company's Common Stock Equals or Exceeds $108.00. </w:t>
      </w:r>
      <w:r>
        <w:rPr>
          <w:rFonts w:ascii="Times New Roman" w:cs="Times New Roman" w:eastAsia="Times New Roman" w:hAnsi="Times New Roman"/>
          <w:sz w:val="18"/>
          <w:szCs w:val="18"/>
          <w:color w:val="auto"/>
        </w:rPr>
        <w:t>Once the deSPAC Warrants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become exercisable, the Company may call the deSPAC Warrants for redemption:</w:t>
      </w:r>
    </w:p>
    <w:p>
      <w:pPr>
        <w:spacing w:after="0" w:line="12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deSPAC Warrant;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7" w:name="page18"/>
    <w:bookmarkEnd w:id="17"/>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(the "30-day redemption period") to each deSPAC Warrant holder; and</w:t>
      </w:r>
    </w:p>
    <w:p>
      <w:pPr>
        <w:spacing w:after="0" w:line="198"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reported sale price of the shares of the Company's Common Stock for any 20 trading days within a 30-trading day period commencing after the deSPAC Warrants become exercisable and ending three business days before the Company sends the notice of redemption to the deSPAC Warrant holders (which is referred to as the "Reference Value") equals or exceeds $108.00 per share (as adjusted for stock splits, stock dividends, reorganizations, recapitalizations and the like).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and when the deSPAC Warrants become redeemable by the Company, the Company may exercise its redemption right even if it is unable to register or qualify the underlying securities for sale under all applicable state securities laws. However, the Company will not redeem the deSPAC Warrants unless an effective registration statement under the Securities Act covering the shares of the Company's Common Stock issuable upon exercise of the deSPAC Warrants is effective and a current prospectus relating to those shares of the Company's Common Stock is available throughout the 30-day redemption period.</w:t>
      </w:r>
    </w:p>
    <w:p>
      <w:pPr>
        <w:spacing w:after="0" w:line="18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Redemption of deSPAC Warrants When the Price per Share of Our Common Stock Equals or Exceeds $60.00. </w:t>
      </w:r>
      <w:r>
        <w:rPr>
          <w:rFonts w:ascii="Times New Roman" w:cs="Times New Roman" w:eastAsia="Times New Roman" w:hAnsi="Times New Roman"/>
          <w:sz w:val="18"/>
          <w:szCs w:val="18"/>
          <w:color w:val="auto"/>
        </w:rPr>
        <w:t>Once the deSPAC Warrants become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the Company may redeem the outstanding deSPAC Warrants (except as described herein with respect to the deSPAC Private Placement Warrants if the Company does not utilize this redemption provision):</w:t>
      </w:r>
    </w:p>
    <w:p>
      <w:pPr>
        <w:spacing w:after="0" w:line="135"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84"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$0.10 per deSPAC Warrant upon a minimum of 30 days' prior written notice of redemption; provided that holders will be able to exercise their deSPAC Warrants on a cashless basis prior to redemption and receive that number of shares determined by reference to an agreed table based on the redemption date and the "fair market value" of the Company's Common Stock;</w:t>
      </w:r>
    </w:p>
    <w:p>
      <w:pPr>
        <w:spacing w:after="0" w:line="14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Reference Value (as defined above) equals or exceeds $60.00 per share (as adjusted for stock splits, stock dividends, reorganizations, recapitalizations and the like);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Reference Value is less than $108.00 per share (as adjusted for stock splits, stock dividends, reorganizations, recapitalizations and the like) the deSPAC Private Placement Warrants must also be concurrently called for redemption on the same terms (except as described above with respect to a holder's ability to cashless exercise its deSPAC Warrants) as the outstanding deSPAC Public Warrants, as described above.</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Both the deSPAC Public Warrants and the deSPAC Private Placement Warrants are recorded as warrant liabilities on the Company's consolidated balance sheets. The Company values both the deSPAC Public and deSPAC Private Placement Warrants using the closing price of the deSPAC Public Warrants on the Nasdaq Global Market as of the reporting date. The fair value measurement for the deSPAC Public Warrants is considered a level 1 fair value measurement, and the fair value measurement for the deSPAC Private Placement Warrants is considered a level 2 fair value measurement, as the deSPAC Private Placement Warrants are substantially the same, but not identical to, the deSPAC Public Warrants.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recognized gains of $3.7 million related to the change in fair value of the deSPAC Warrants during the three months ended September 30, 2025 and had no significant change in fair value of the deSPAC Warrants during the three months ended September 30, 2024. The Company recognized gains of $11.6 million and losses of $0.2 million related to the change in fair value of the deSPAC Warrants during the nine months ended September 30, 2025 and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2024 Warrants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November 1, 2024, the Company closed a registered direct offering for an aggregate of 2,790,700 shares of its common stock at a purchase price of $2.15 per share. In a concurrent private placement, the Company agreed to issue to the same investor warrants to purchase up to 2,790,700 shares of common stock (the "2024 Private Placement Warrants"). The 2024 Private Placement Warrants have an exercise price of $2.30 per share and were exercised in May 2025, as discussed below.</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In a separate concurrent private placement, the Company's Chief Executive Officer and certain other members of the Board of Directors purchased 430,105 shares of common stock at a price of $2.20 per share, which represented the consolidated closing bid price of the Company's common stock on the Nasdaq Global Market on October 30, 2024, and warrants to purchase up to 430,105 shares of common stock, at a price of $0.125 per warrant (the "2024 Concurrent Private Placement Warrants"). The 2024 Concurrent Private Placement Warrants have an exercise price of $2.30 per share and will expire five and one-half years following the date of issue.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The Company received gross proceeds of approximately $7 million, before deducting placement agency fees and offering expenses from the registered direct offering, the 2024 Private Placement Warrants and the 2024 Concurrent Private Placement Warrants (together the "2024 Warrants").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18" w:name="page19"/>
    <w:bookmarkEnd w:id="18"/>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On May 9, 2025, 2,790,700 of the 2024 Private Placement Warrants were exercised. </w:t>
      </w:r>
      <w:r>
        <w:rPr>
          <w:rFonts w:ascii="Times New Roman" w:cs="Times New Roman" w:eastAsia="Times New Roman" w:hAnsi="Times New Roman"/>
          <w:sz w:val="18"/>
          <w:szCs w:val="18"/>
          <w:color w:val="000000"/>
        </w:rPr>
        <w:t>As of September 30, 2025, all 430,105 of the 2024 Concurrent Private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Placement Warrants were outstanding. </w:t>
      </w:r>
      <w:r>
        <w:rPr>
          <w:rFonts w:ascii="Times New Roman" w:cs="Times New Roman" w:eastAsia="Times New Roman" w:hAnsi="Times New Roman"/>
          <w:sz w:val="18"/>
          <w:szCs w:val="18"/>
          <w:color w:val="212529"/>
        </w:rPr>
        <w:t>The 2024 Warrants are recorded as warrant liabilities on the Company's consolidated balance sheet. The Company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estimated the fair value of the 2024 Warrants using the Black-Scholes valuation model, which is considered a level 3 fair value measurement. The valuation model inputs are based on </w:t>
      </w:r>
      <w:r>
        <w:rPr>
          <w:rFonts w:ascii="Times New Roman" w:cs="Times New Roman" w:eastAsia="Times New Roman" w:hAnsi="Times New Roman"/>
          <w:sz w:val="18"/>
          <w:szCs w:val="18"/>
          <w:color w:val="000000"/>
        </w:rPr>
        <w:t>assumptions related to expected volatility, expected life, risk-free interest rate and expected dividends</w:t>
      </w:r>
      <w:r>
        <w:rPr>
          <w:rFonts w:ascii="Times New Roman" w:cs="Times New Roman" w:eastAsia="Times New Roman" w:hAnsi="Times New Roman"/>
          <w:sz w:val="18"/>
          <w:szCs w:val="18"/>
          <w:color w:val="212529"/>
        </w:rPr>
        <w:t>. These estimates, especially the expected volatility, are highly judgmental and could differ materially in the future. The Company recognized gains of $0.1 million and $21.5 million related to the change in fair value of the 2024 Warrants during the three and nine months ended September 30, 2025, respectively, which are recorded as a gain on warrant liabilities within the consolidated statements of operations.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quantitative information regarding assumptions used in the valuation model to determine the fair value of the 2024 Warrants: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40" w:type="dxa"/>
            <w:vAlign w:val="bottom"/>
          </w:tcPr>
          <w:p>
            <w:pPr>
              <w:spacing w:after="0"/>
              <w:rPr>
                <w:sz w:val="18"/>
                <w:szCs w:val="18"/>
                <w:color w:val="auto"/>
              </w:rPr>
            </w:pPr>
          </w:p>
        </w:tc>
      </w:tr>
      <w:tr>
        <w:trPr>
          <w:trHeight w:val="19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price</w:t>
            </w:r>
          </w:p>
        </w:tc>
        <w:tc>
          <w:tcPr>
            <w:tcW w:w="41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40" w:type="dxa"/>
            <w:vAlign w:val="bottom"/>
            <w:shd w:val="clear" w:color="auto" w:fill="CFF0FC"/>
          </w:tcPr>
          <w:p>
            <w:pPr>
              <w:spacing w:after="0"/>
              <w:rPr>
                <w:sz w:val="17"/>
                <w:szCs w:val="17"/>
                <w:color w:val="auto"/>
              </w:rPr>
            </w:pP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Term (in years)</w:t>
            </w: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40" w:type="dxa"/>
            <w:vAlign w:val="bottom"/>
          </w:tcPr>
          <w:p>
            <w:pPr>
              <w:spacing w:after="0"/>
              <w:rPr>
                <w:sz w:val="17"/>
                <w:szCs w:val="17"/>
                <w:color w:val="auto"/>
              </w:rPr>
            </w:pP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Expected volatility</w:t>
            </w:r>
          </w:p>
        </w:tc>
        <w:tc>
          <w:tcPr>
            <w:tcW w:w="3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103.5%</w:t>
            </w:r>
          </w:p>
        </w:tc>
      </w:tr>
      <w:tr>
        <w:trPr>
          <w:trHeight w:val="203"/>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Risk-free rate</w:t>
            </w:r>
          </w:p>
        </w:tc>
        <w:tc>
          <w:tcPr>
            <w:tcW w:w="3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3.7%</w:t>
            </w:r>
          </w:p>
        </w:tc>
      </w:tr>
      <w:tr>
        <w:trPr>
          <w:trHeight w:val="20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Dividend yield</w:t>
            </w:r>
          </w:p>
        </w:tc>
        <w:tc>
          <w:tcPr>
            <w:tcW w:w="3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r>
    </w:tbl>
    <w:p>
      <w:pPr>
        <w:spacing w:after="0" w:line="194" w:lineRule="exact"/>
        <w:rPr>
          <w:sz w:val="20"/>
          <w:szCs w:val="20"/>
          <w:color w:val="auto"/>
        </w:rPr>
      </w:pPr>
    </w:p>
    <w:p>
      <w:pPr>
        <w:ind w:right="8960" w:firstLine="8"/>
        <w:spacing w:after="0" w:line="503" w:lineRule="auto"/>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 2021 Stock Plan</w:t>
      </w: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2021 Equity Incentive Plan (the "2021 Plan") provides stock options, restricted stock units ("RSUs"), restricted stock awards ("RSAs"), stock appreciation rights ("SARS") and performance awards for issuance to Company employees, officers, directors, non-employee agents and consultants. In general, outstanding awards granted under the 2021 Plan vest over one to four years and, in the case of options, are exercisable up to 10 years from the date of grant. The maximum number of shares of Common Stock that may be issued pursuant to the 2021 Plan is (a) 5.0 million shares of Common Stock of the Company plus (b) any shares of Common Stock subject to stock options and other awards that were assumed in the Business Combination and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2021 Plan pursuant to clause (b) equal to 2.1 million shares of Common Stock. As of September 30, 2025, 1.8 million shares were available to grant under the 2021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2015 Stock Plan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Old Sarcos 2015 Equity Incentive Plan (the "2015 Plan") provided stock options, RSUs, RSAs, SARS and performance awards for issuance to Old Sarcos' employees, officers, directors, non-employee agents and consultants. Outstanding awards under the 2015 Plan generally vest over three to five years and are exercisable up to 10 years from the date of grant. Unvested options are forfeited upon termination. No further awards may be made under the 2015 Plan. Any forfeited awards will be added to the 2021 Plan as described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Inducement Plan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the 2024 Inducement Equity Incentive Plan (the "Inducement Plan") with an effective date of December 15, 2024 to be used exclusively for grants of nonstatutory stock options, RSUs, RSAs, SARS and performance awards to individuals who were not previously employees or directors of the Company (or who are returning to employment following a bona fide period of non-employment), as an inducement material to the individual's entry into employment with the Company. The Inducement Plan was adopted and approved without stockholder approval pursuant to Nasdaq Listing Rule 5635(c)(4). As of September 30, 2025, 475,000 shares were available to grant under the Inducement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Employee Stock 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"ESPP") provides for the issuance of shares of Common Stock pursuant to purchase rights granted to employees over designated offering periods, by funds accumulated primarily through elective payroll deductions. Offerings under the ESPP commenced in December 2024. As of September 30, 2025, approximately 485,000 shares were available for sale under the ESPP.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Offering periods are generally six months long and begin on June 1 and December 1 of each year. The purchase price for shares of Common Stock purchased under the ESPP is calculated as 85% of the lesser of the fair market value of the Common Stock on (1) the first trading day of the applicable offering period or (2) the last trading day of the offering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stock option activity for the nine months ended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0"/>
        </w:trPr>
        <w:tc>
          <w:tcPr>
            <w:tcW w:w="35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Weighted Average</w:t>
            </w:r>
          </w:p>
        </w:tc>
        <w:tc>
          <w:tcPr>
            <w:tcW w:w="220" w:type="dxa"/>
            <w:vAlign w:val="bottom"/>
          </w:tcPr>
          <w:p>
            <w:pPr>
              <w:spacing w:after="0"/>
              <w:rPr>
                <w:sz w:val="15"/>
                <w:szCs w:val="15"/>
                <w:color w:val="auto"/>
              </w:rPr>
            </w:pPr>
          </w:p>
        </w:tc>
        <w:tc>
          <w:tcPr>
            <w:tcW w:w="1520" w:type="dxa"/>
            <w:vAlign w:val="bottom"/>
          </w:tcPr>
          <w:p>
            <w:pPr>
              <w:jc w:val="center"/>
              <w:ind w:left="1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2"/>
          </w:tcPr>
          <w:p>
            <w:pPr>
              <w:jc w:val="center"/>
              <w:ind w:right="260"/>
              <w:spacing w:after="0" w:line="181" w:lineRule="exact"/>
              <w:rPr>
                <w:sz w:val="20"/>
                <w:szCs w:val="20"/>
                <w:color w:val="auto"/>
              </w:rPr>
            </w:pPr>
            <w:r>
              <w:rPr>
                <w:rFonts w:ascii="Times New Roman" w:cs="Times New Roman" w:eastAsia="Times New Roman" w:hAnsi="Times New Roman"/>
                <w:sz w:val="16"/>
                <w:szCs w:val="16"/>
                <w:b w:val="1"/>
                <w:bCs w:val="1"/>
                <w:color w:val="auto"/>
              </w:rPr>
              <w:t>Aggregate Intrinsic</w:t>
            </w:r>
          </w:p>
        </w:tc>
      </w:tr>
      <w:tr>
        <w:trPr>
          <w:trHeight w:val="203"/>
        </w:trPr>
        <w:tc>
          <w:tcPr>
            <w:tcW w:w="35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rPr>
              <w:t>Contractual Term</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500" w:type="dxa"/>
            <w:vAlign w:val="bottom"/>
          </w:tcPr>
          <w:p>
            <w:pPr>
              <w:spacing w:after="0"/>
              <w:rPr>
                <w:sz w:val="18"/>
                <w:szCs w:val="18"/>
                <w:color w:val="auto"/>
              </w:rPr>
            </w:pPr>
          </w:p>
        </w:tc>
        <w:tc>
          <w:tcPr>
            <w:tcW w:w="17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ind w:left="21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3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Borders>
              <w:bottom w:val="single" w:sz="8" w:color="auto"/>
            </w:tcBorders>
          </w:tcPr>
          <w:p>
            <w:pPr>
              <w:jc w:val="center"/>
              <w:ind w:left="139"/>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22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r>
      <w:tr>
        <w:trPr>
          <w:trHeight w:val="19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1,396,957</w:t>
            </w:r>
          </w:p>
        </w:tc>
        <w:tc>
          <w:tcPr>
            <w:tcW w:w="16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1.88</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7.5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14,519</w:t>
            </w: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41,667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6.43</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Exercised</w:t>
            </w:r>
          </w:p>
        </w:tc>
        <w:tc>
          <w:tcPr>
            <w:tcW w:w="1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(51,539)</w:t>
            </w: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1.26</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35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Cancelled</w:t>
            </w:r>
          </w:p>
        </w:tc>
        <w:tc>
          <w:tcPr>
            <w:tcW w:w="1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(199,712)</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1.57</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2"/>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September 30,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1,187,373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2.11</w:t>
            </w:r>
          </w:p>
        </w:tc>
        <w:tc>
          <w:tcPr>
            <w:tcW w:w="22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6.7</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100" w:type="dxa"/>
            <w:vAlign w:val="bottom"/>
            <w:shd w:val="clear" w:color="auto" w:fill="CFF0FC"/>
          </w:tcPr>
          <w:p>
            <w:pPr>
              <w:spacing w:after="0"/>
              <w:rPr>
                <w:sz w:val="17"/>
                <w:szCs w:val="17"/>
                <w:color w:val="auto"/>
              </w:rPr>
            </w:pPr>
          </w:p>
        </w:tc>
      </w:tr>
      <w:tr>
        <w:trPr>
          <w:trHeight w:val="20"/>
        </w:trPr>
        <w:tc>
          <w:tcPr>
            <w:tcW w:w="3500" w:type="dxa"/>
            <w:vAlign w:val="bottom"/>
            <w:shd w:val="clear" w:color="auto" w:fill="CFF0FC"/>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Exercisable – December 31, 2024</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443,045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2.05</w:t>
            </w: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5.2</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w:t>
            </w:r>
          </w:p>
        </w:tc>
        <w:tc>
          <w:tcPr>
            <w:tcW w:w="100" w:type="dxa"/>
            <w:vAlign w:val="bottom"/>
          </w:tcPr>
          <w:p>
            <w:pPr>
              <w:spacing w:after="0"/>
              <w:rPr>
                <w:sz w:val="17"/>
                <w:szCs w:val="17"/>
                <w:color w:val="auto"/>
              </w:rPr>
            </w:pPr>
          </w:p>
        </w:tc>
      </w:tr>
      <w:tr>
        <w:trPr>
          <w:trHeight w:val="20"/>
        </w:trPr>
        <w:tc>
          <w:tcPr>
            <w:tcW w:w="35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Exercisable – September 30, 2025</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810,227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2.14</w:t>
            </w:r>
          </w:p>
        </w:tc>
        <w:tc>
          <w:tcPr>
            <w:tcW w:w="2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6.3</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FF0FC"/>
          </w:tcPr>
          <w:p>
            <w:pPr>
              <w:spacing w:after="0"/>
              <w:rPr>
                <w:sz w:val="18"/>
                <w:szCs w:val="18"/>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-299720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-299720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-299720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Repricing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17, 2024, the Company amended certain options to purchase 773,551 shares of the Company’s Common Stock. All of the options subject to the amendments had exercise prices that exceeded the value of the Company’s Common Stock on the amendment date.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One set of amendments, which were entered into with seven senior employees of the Company, applied to options to purchase an aggregate of 225,670 shares held by those seven senior employees. These amendments (1) re-started the vesting schedule of the amended options, including for options that had already vested and (2) reduced the per share exercise price of the options to $1.59 (the “New Exercise Price”), which is equal to the closing price of the Company’s Common Stock on April 17, 2024, the effective date of the amendments. No other terms of these options were modified.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other set of amendments applied to options to purchase an aggregate of 547,881 shares held by other eligible employees and service providers of the Company with an exercise price per share greater than the New Exercise Price. These amendments reduced the per share exercise price of affected options to the New Exercise Price, which is equal to the closing price of the Company’s Common Stock on April 17, 2024, the effective date of the amendments. No other terms of such options were modified.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amendments resulted in an incremental fair value of $0.2 million. Of this amount $0.1 million related to vested options and was recognized as stock-based compensation expense on the amendment date. The remaining incremental fair value will be amortized over the remaining requisite service periods of the unvested options.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RSU activity for the nine months ended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5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Restricted Stock Units Outstanding</w:t>
            </w:r>
          </w:p>
        </w:tc>
      </w:tr>
      <w:tr>
        <w:trPr>
          <w:trHeight w:val="186"/>
        </w:trPr>
        <w:tc>
          <w:tcPr>
            <w:tcW w:w="390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3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39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390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6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5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1,457,281</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5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749,598</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20" w:type="dxa"/>
            <w:vAlign w:val="bottom"/>
          </w:tcPr>
          <w:p>
            <w:pPr>
              <w:spacing w:after="0"/>
              <w:rPr>
                <w:sz w:val="17"/>
                <w:szCs w:val="17"/>
                <w:color w:val="auto"/>
              </w:rPr>
            </w:pPr>
          </w:p>
        </w:tc>
      </w:tr>
      <w:tr>
        <w:trPr>
          <w:trHeight w:val="202"/>
        </w:trPr>
        <w:tc>
          <w:tcPr>
            <w:tcW w:w="3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566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(660,875)</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shd w:val="clear" w:color="auto" w:fill="CFF0FC"/>
          </w:tcPr>
          <w:p>
            <w:pPr>
              <w:spacing w:after="0"/>
              <w:rPr>
                <w:sz w:val="17"/>
                <w:szCs w:val="17"/>
                <w:color w:val="auto"/>
              </w:rPr>
            </w:pPr>
          </w:p>
        </w:tc>
      </w:tr>
      <w:tr>
        <w:trPr>
          <w:trHeight w:val="203"/>
        </w:trPr>
        <w:tc>
          <w:tcPr>
            <w:tcW w:w="3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Cancelled</w:t>
            </w:r>
          </w:p>
        </w:tc>
        <w:tc>
          <w:tcPr>
            <w:tcW w:w="378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(167,565)</w:t>
            </w: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w:t>
            </w:r>
          </w:p>
        </w:tc>
        <w:tc>
          <w:tcPr>
            <w:tcW w:w="120" w:type="dxa"/>
            <w:vAlign w:val="bottom"/>
          </w:tcPr>
          <w:p>
            <w:pPr>
              <w:spacing w:after="0"/>
              <w:rPr>
                <w:sz w:val="17"/>
                <w:szCs w:val="17"/>
                <w:color w:val="auto"/>
              </w:rPr>
            </w:pPr>
          </w:p>
        </w:tc>
      </w:tr>
      <w:tr>
        <w:trPr>
          <w:trHeight w:val="236"/>
        </w:trPr>
        <w:tc>
          <w:tcPr>
            <w:tcW w:w="3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September 30, 2025</w:t>
            </w:r>
          </w:p>
        </w:tc>
        <w:tc>
          <w:tcPr>
            <w:tcW w:w="378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1,378,439</w:t>
            </w:r>
          </w:p>
        </w:tc>
        <w:tc>
          <w:tcPr>
            <w:tcW w:w="2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412"/>
        </w:trPr>
        <w:tc>
          <w:tcPr>
            <w:tcW w:w="3900" w:type="dxa"/>
            <w:vAlign w:val="bottom"/>
          </w:tcPr>
          <w:p>
            <w:pPr>
              <w:spacing w:after="0"/>
              <w:rPr>
                <w:sz w:val="24"/>
                <w:szCs w:val="24"/>
                <w:color w:val="auto"/>
              </w:rPr>
            </w:pPr>
          </w:p>
        </w:tc>
        <w:tc>
          <w:tcPr>
            <w:tcW w:w="3780" w:type="dxa"/>
            <w:vAlign w:val="bottom"/>
          </w:tcPr>
          <w:p>
            <w:pPr>
              <w:jc w:val="right"/>
              <w:ind w:right="1877"/>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763"/>
        </w:trPr>
        <w:tc>
          <w:tcPr>
            <w:tcW w:w="39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-779780</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-796290</wp:posOffset>
            </wp:positionV>
            <wp:extent cx="774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-779780</wp:posOffset>
            </wp:positionV>
            <wp:extent cx="774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Restricted Stock Awards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Company’s employee RSA activity for the nine months ended September 30,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 Stock Awards Outstanding</w:t>
            </w:r>
          </w:p>
        </w:tc>
      </w:tr>
      <w:tr>
        <w:trPr>
          <w:trHeight w:val="186"/>
        </w:trPr>
        <w:tc>
          <w:tcPr>
            <w:tcW w:w="49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20" w:type="dxa"/>
            <w:vAlign w:val="bottom"/>
          </w:tcPr>
          <w:p>
            <w:pPr>
              <w:spacing w:after="0"/>
              <w:rPr>
                <w:sz w:val="16"/>
                <w:szCs w:val="16"/>
                <w:color w:val="auto"/>
              </w:rPr>
            </w:pPr>
          </w:p>
        </w:tc>
      </w:tr>
      <w:tr>
        <w:trPr>
          <w:trHeight w:val="203"/>
        </w:trPr>
        <w:tc>
          <w:tcPr>
            <w:tcW w:w="49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Grant-Date Fair</w:t>
            </w:r>
          </w:p>
        </w:tc>
      </w:tr>
      <w:tr>
        <w:trPr>
          <w:trHeight w:val="203"/>
        </w:trPr>
        <w:tc>
          <w:tcPr>
            <w:tcW w:w="49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Value</w:t>
            </w:r>
          </w:p>
        </w:tc>
      </w:tr>
      <w:tr>
        <w:trPr>
          <w:trHeight w:val="215"/>
        </w:trPr>
        <w:tc>
          <w:tcPr>
            <w:tcW w:w="49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(Per share)</w:t>
            </w:r>
          </w:p>
        </w:tc>
        <w:tc>
          <w:tcPr>
            <w:tcW w:w="120" w:type="dxa"/>
            <w:vAlign w:val="bottom"/>
          </w:tcPr>
          <w:p>
            <w:pPr>
              <w:spacing w:after="0"/>
              <w:rPr>
                <w:sz w:val="18"/>
                <w:szCs w:val="18"/>
                <w:color w:val="auto"/>
              </w:rPr>
            </w:pPr>
          </w:p>
        </w:tc>
      </w:tr>
      <w:tr>
        <w:trPr>
          <w:trHeight w:val="199"/>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Outstanding – December 31, 2024</w:t>
            </w:r>
          </w:p>
        </w:tc>
        <w:tc>
          <w:tcPr>
            <w:tcW w:w="2820" w:type="dxa"/>
            <w:vAlign w:val="bottom"/>
            <w:gridSpan w:val="2"/>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203"/>
        </w:trPr>
        <w:tc>
          <w:tcPr>
            <w:tcW w:w="4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2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7"/>
                <w:szCs w:val="17"/>
                <w:color w:val="auto"/>
              </w:rPr>
            </w:pPr>
          </w:p>
        </w:tc>
      </w:tr>
      <w:tr>
        <w:trPr>
          <w:trHeight w:val="203"/>
        </w:trPr>
        <w:tc>
          <w:tcPr>
            <w:tcW w:w="49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2820" w:type="dxa"/>
            <w:vAlign w:val="bottom"/>
            <w:gridSpan w:val="2"/>
            <w:shd w:val="clear" w:color="auto" w:fill="CFF0FC"/>
          </w:tcPr>
          <w:p>
            <w:pPr>
              <w:spacing w:after="0"/>
              <w:rPr>
                <w:sz w:val="17"/>
                <w:szCs w:val="17"/>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(625,000)</w:t>
            </w:r>
          </w:p>
        </w:tc>
        <w:tc>
          <w:tcPr>
            <w:tcW w:w="100" w:type="dxa"/>
            <w:vAlign w:val="bottom"/>
            <w:shd w:val="clear" w:color="auto" w:fill="CFF0FC"/>
          </w:tcPr>
          <w:p>
            <w:pPr>
              <w:spacing w:after="0"/>
              <w:rPr>
                <w:sz w:val="17"/>
                <w:szCs w:val="17"/>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0.59</w:t>
            </w:r>
          </w:p>
        </w:tc>
        <w:tc>
          <w:tcPr>
            <w:tcW w:w="120" w:type="dxa"/>
            <w:vAlign w:val="bottom"/>
            <w:shd w:val="clear" w:color="auto" w:fill="CFF0FC"/>
          </w:tcPr>
          <w:p>
            <w:pPr>
              <w:spacing w:after="0"/>
              <w:rPr>
                <w:sz w:val="17"/>
                <w:szCs w:val="17"/>
                <w:color w:val="auto"/>
              </w:rPr>
            </w:pPr>
          </w:p>
        </w:tc>
      </w:tr>
      <w:tr>
        <w:trPr>
          <w:trHeight w:val="196"/>
        </w:trPr>
        <w:tc>
          <w:tcPr>
            <w:tcW w:w="4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Outstanding – September 30, 2025</w:t>
            </w:r>
          </w:p>
        </w:tc>
        <w:tc>
          <w:tcPr>
            <w:tcW w:w="272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Borders>
              <w:top w:val="single" w:sz="8" w:color="CFF0FC"/>
            </w:tcBorders>
          </w:tcPr>
          <w:p>
            <w:pPr>
              <w:spacing w:after="0"/>
              <w:rPr>
                <w:sz w:val="17"/>
                <w:szCs w:val="17"/>
                <w:color w:val="auto"/>
              </w:rPr>
            </w:pPr>
          </w:p>
        </w:tc>
      </w:tr>
      <w:tr>
        <w:trPr>
          <w:trHeight w:val="20"/>
        </w:trPr>
        <w:tc>
          <w:tcPr>
            <w:tcW w:w="4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-161925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recognized stock-based compensation expense in the condensed consolidated statement of operations and comprehensive loss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5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60" w:type="dxa"/>
            <w:vAlign w:val="bottom"/>
          </w:tcPr>
          <w:p>
            <w:pPr>
              <w:spacing w:after="0"/>
              <w:rPr>
                <w:sz w:val="18"/>
                <w:szCs w:val="18"/>
                <w:color w:val="auto"/>
              </w:rPr>
            </w:pPr>
          </w:p>
        </w:tc>
        <w:tc>
          <w:tcPr>
            <w:tcW w:w="2600" w:type="dxa"/>
            <w:vAlign w:val="bottom"/>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2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17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7"/>
                <w:szCs w:val="17"/>
                <w:color w:val="auto"/>
              </w:rPr>
            </w:pPr>
          </w:p>
        </w:tc>
      </w:tr>
      <w:tr>
        <w:trPr>
          <w:trHeight w:val="203"/>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00" w:type="dxa"/>
            <w:vAlign w:val="bottom"/>
            <w:shd w:val="clear" w:color="auto" w:fill="CFF0FC"/>
          </w:tcPr>
          <w:p>
            <w:pPr>
              <w:spacing w:after="0"/>
              <w:rPr>
                <w:sz w:val="17"/>
                <w:szCs w:val="17"/>
                <w:color w:val="auto"/>
              </w:rPr>
            </w:pPr>
          </w:p>
        </w:tc>
      </w:tr>
      <w:tr>
        <w:trPr>
          <w:trHeight w:val="203"/>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5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2,453</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00" w:type="dxa"/>
            <w:vAlign w:val="bottom"/>
          </w:tcPr>
          <w:p>
            <w:pPr>
              <w:spacing w:after="0"/>
              <w:rPr>
                <w:sz w:val="17"/>
                <w:szCs w:val="17"/>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76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2,227</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5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-24765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approximately $8.1 million of unrecognized stock-based compensation cost, which is expected to be recognized over a weighted average period of 2.6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Income (Loss) Per Share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the basic and diluted net loss per share attributable to common stockholders for the three and nine months ended September 30,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70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00" w:type="dxa"/>
            <w:vAlign w:val="bottom"/>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2"/>
        </w:trPr>
        <w:tc>
          <w:tcPr>
            <w:tcW w:w="45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tc>
        <w:tc>
          <w:tcPr>
            <w:tcW w:w="126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6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7"/>
                <w:szCs w:val="17"/>
                <w:color w:val="auto"/>
              </w:rPr>
            </w:pPr>
          </w:p>
        </w:tc>
      </w:tr>
      <w:tr>
        <w:trPr>
          <w:trHeight w:val="196"/>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Numerator:</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000" w:type="dxa"/>
            <w:vAlign w:val="bottom"/>
            <w:gridSpan w:val="2"/>
            <w:shd w:val="clear" w:color="auto" w:fill="CFF0FC"/>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(3,740)</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(7,096)</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(19,648)</w:t>
            </w:r>
          </w:p>
        </w:tc>
      </w:tr>
      <w:tr>
        <w:trPr>
          <w:trHeight w:val="203"/>
        </w:trPr>
        <w:tc>
          <w:tcPr>
            <w:tcW w:w="45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Denominator:</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480" w:type="dxa"/>
            <w:vAlign w:val="bottom"/>
            <w:gridSpan w:val="2"/>
            <w:shd w:val="clear" w:color="auto" w:fill="CFF0FC"/>
          </w:tcPr>
          <w:p>
            <w:pPr>
              <w:spacing w:after="0"/>
              <w:rPr>
                <w:sz w:val="17"/>
                <w:szCs w:val="17"/>
                <w:color w:val="auto"/>
              </w:rPr>
            </w:pPr>
          </w:p>
        </w:tc>
        <w:tc>
          <w:tcPr>
            <w:tcW w:w="1000" w:type="dxa"/>
            <w:vAlign w:val="bottom"/>
            <w:gridSpan w:val="2"/>
            <w:shd w:val="clear" w:color="auto" w:fill="CFF0FC"/>
          </w:tcPr>
          <w:p>
            <w:pPr>
              <w:spacing w:after="0"/>
              <w:rPr>
                <w:sz w:val="17"/>
                <w:szCs w:val="17"/>
                <w:color w:val="auto"/>
              </w:rPr>
            </w:pP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basic</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40,486,615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37,665,540</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100" w:type="dxa"/>
            <w:vAlign w:val="bottom"/>
          </w:tcPr>
          <w:p>
            <w:pPr>
              <w:spacing w:after="0"/>
              <w:rPr>
                <w:sz w:val="17"/>
                <w:szCs w:val="17"/>
                <w:color w:val="auto"/>
              </w:rPr>
            </w:pPr>
          </w:p>
        </w:tc>
      </w:tr>
      <w:tr>
        <w:trPr>
          <w:trHeight w:val="203"/>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Dilutive effect of potential common shares</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2,495,708</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40,486,615</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26,177,413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40,161,248</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26,018,708</w:t>
            </w:r>
          </w:p>
        </w:tc>
        <w:tc>
          <w:tcPr>
            <w:tcW w:w="10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3"/>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Basic net income (loss) per share</w:t>
            </w:r>
          </w:p>
        </w:tc>
        <w:tc>
          <w:tcPr>
            <w:tcW w:w="150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(0.27)</w:t>
            </w:r>
          </w:p>
        </w:tc>
        <w:tc>
          <w:tcPr>
            <w:tcW w:w="38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83"/>
        </w:trPr>
        <w:tc>
          <w:tcPr>
            <w:tcW w:w="45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 net income (loss) per share</w:t>
            </w:r>
          </w:p>
        </w:tc>
        <w:tc>
          <w:tcPr>
            <w:tcW w:w="15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(0.09)</w:t>
            </w: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(0.27)</w:t>
            </w:r>
          </w:p>
        </w:tc>
        <w:tc>
          <w:tcPr>
            <w:tcW w:w="3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(0.76)</w:t>
            </w:r>
          </w:p>
        </w:tc>
      </w:tr>
      <w:tr>
        <w:trPr>
          <w:trHeight w:val="20"/>
        </w:trPr>
        <w:tc>
          <w:tcPr>
            <w:tcW w:w="4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5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Anti-dilutive securities, excluded</w:t>
            </w:r>
          </w:p>
        </w:tc>
        <w:tc>
          <w:tcPr>
            <w:tcW w:w="1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10,277,380</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12,007,398</w:t>
            </w:r>
          </w:p>
        </w:tc>
        <w:tc>
          <w:tcPr>
            <w:tcW w:w="120" w:type="dxa"/>
            <w:vAlign w:val="bottom"/>
            <w:shd w:val="clear" w:color="auto" w:fill="CFF0FC"/>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5,842,463</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12,007,398</w:t>
            </w: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-316865</wp:posOffset>
            </wp:positionV>
            <wp:extent cx="7683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-299720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-316865</wp:posOffset>
            </wp:positionV>
            <wp:extent cx="7683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-299720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-316865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-299720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common stock, stock options, unvested stock units, unvested stock awards, purchase rights granted under the employee stock purchase plan and warrants using the treasury stock method are included when calculating diluted net income (loss) per share attributable to the Company when their effect is dilutive. Because the Company incurred a net loss for the three months ended September 30, 2025 and 2024 and the nine months ended September 30, 2024, none of the potentially dilutive common shares were included in the diluted share calculation for that period as they would have been anti-dilutive.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determine the Company’s quarterly provision for income taxes, the Company used an estimated annual effective tax rate that is based on expected annual income and statutory tax rates in the various jurisdictions in which the Company operates. Certain significant unusual or infrequently occurring items that are separately reported are separately recognized in the quarter during which they occur and can be a source of variability in the effective tax rate from quarter to quarter.</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had no significant income tax expense for the three and nine months ended September 30, 2025 and 2024. The provision for income taxes for the three and nine months ended September 30, 2025 and 2024 is based on the Company’s estimated annualized effective tax rate for the fiscal years ending December 31, 2025 and 2024, respectively. For the three and nine months ended September 30, 2025, the Company’s recognized effective tax rate differs from the U.S. federal statutory rate as the Company recorded net taxable losses during the periods with a corresponding full valuation allowance on the net deferred tax assets created from the losses.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which includes a broad range of tax reform provisions affecting businesses, including extending and modifying certain key Tax Cuts &amp; Jobs Act provisions (both domestic and international), expanding certain Inflation Reduction Act incentives while accelerating the phase-out of others. The enactment of this new bill did not have a material impact on the Company’s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been and may in the future be involved in various claims, lawsuits, investigations and other proceedings in the normal course of business. The Company accrues a liability when management believes information available prior to the issuance of its financial statements indicates it is probable a loss has been incurred as of the date of the financial statements and the amount of loss can be reasonably estimated. The Company adjusts its accruals to reflect the impact of negotiation, settlements, rulings, advice of legal counsel and other information and events pertaining to a particular case. Legal costs are expensed as incurred. The Company has not recorded any material loss contingency related to legal proceedings in the balance sheets as of September 30, 2025 and December 31,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provides or may provide indemnifications of varying scope and terms to investors, directors, officers, employees, customers or vendors with respect to certain matters, including losses arising out of the Company's breach of such agreements, services to be provided by the Company or from intellectual property infringement claims made by third parties. These indemnifications may survive termination of the underlying agreement and the maximum potential amount of future payments the Company could be required to make under these indemnification provisions may not be subject to maximum loss clauses. The maximum potential amount of future payments the Company could be required to make under these indemnification provisions is indeterminable. As of September 30, 2025 and December 31, 2024, the Company has not accrued a liability for these indemnification obligations as the likelihood of incurring a material payment obligation in connection with these indemnification obligations is either not probable or not reasonably estimable due to the unique facts and circumstances involved.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operating segment. The Company has historically derived revenues from product development contracts focused on the development of technologies included within the Company's AI/ML Foundational Technology, which the Company expects to commercialize and sell under software license arrangements. The accounting policies of the segment are the same as those described in Note 1, Basis of Presentation and Summary of Significant Accounting Policies.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Chief Executive Officer is the Chief Operating Decision Maker ("CODM"). The CODM allocates resources and makes operating decisions based on consolidated net income. The CODM does not evaluate profitability below the level of the consolidated company. Net income (loss) is used to monitor results on a budget versus actual basis. Net income (loss) is adjusted for various non-recurring and non-cash transactions such as stock compensation expenses and impairment expenses.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80" w:type="dxa"/>
            <w:vAlign w:val="bottom"/>
          </w:tcPr>
          <w:p>
            <w:pPr>
              <w:spacing w:after="0"/>
              <w:rPr>
                <w:sz w:val="18"/>
                <w:szCs w:val="18"/>
                <w:color w:val="auto"/>
              </w:rPr>
            </w:pPr>
          </w:p>
        </w:tc>
        <w:tc>
          <w:tcPr>
            <w:tcW w:w="3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3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3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Segment Revenue</w:t>
            </w:r>
          </w:p>
        </w:tc>
        <w:tc>
          <w:tcPr>
            <w:tcW w:w="110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18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spacing w:after="0" w:line="203" w:lineRule="exact"/>
              <w:rPr>
                <w:sz w:val="20"/>
                <w:szCs w:val="20"/>
                <w:color w:val="auto"/>
              </w:rPr>
            </w:pPr>
            <w:r>
              <w:rPr>
                <w:rFonts w:ascii="Times New Roman" w:cs="Times New Roman" w:eastAsia="Times New Roman" w:hAnsi="Times New Roman"/>
                <w:sz w:val="16"/>
                <w:szCs w:val="16"/>
                <w:color w:val="auto"/>
              </w:rPr>
              <w:t xml:space="preserve">Other Revenue </w:t>
            </w:r>
            <w:r>
              <w:rPr>
                <w:rFonts w:ascii="Times New Roman" w:cs="Times New Roman" w:eastAsia="Times New Roman" w:hAnsi="Times New Roman"/>
                <w:sz w:val="21"/>
                <w:szCs w:val="21"/>
                <w:color w:val="auto"/>
                <w:vertAlign w:val="superscript"/>
              </w:rPr>
              <w:t>(1)</w:t>
            </w:r>
          </w:p>
        </w:tc>
        <w:tc>
          <w:tcPr>
            <w:tcW w:w="1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100" w:type="dxa"/>
            <w:vAlign w:val="bottom"/>
          </w:tcPr>
          <w:p>
            <w:pPr>
              <w:spacing w:after="0"/>
              <w:rPr>
                <w:sz w:val="17"/>
                <w:szCs w:val="17"/>
                <w:color w:val="auto"/>
              </w:rPr>
            </w:pPr>
          </w:p>
        </w:tc>
      </w:tr>
      <w:tr>
        <w:trPr>
          <w:trHeight w:val="196"/>
        </w:trPr>
        <w:tc>
          <w:tcPr>
            <w:tcW w:w="3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110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3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top w:val="single" w:sz="8" w:color="auto"/>
              <w:bottom w:val="single" w:sz="8" w:color="auto"/>
            </w:tcBorders>
            <w:shd w:val="clear" w:color="auto" w:fill="CFF0FC"/>
          </w:tcPr>
          <w:p>
            <w:pPr>
              <w:spacing w:after="0"/>
              <w:rPr>
                <w:sz w:val="17"/>
                <w:szCs w:val="17"/>
                <w:color w:val="auto"/>
              </w:rPr>
            </w:pPr>
          </w:p>
        </w:tc>
        <w:tc>
          <w:tcPr>
            <w:tcW w:w="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spacing w:after="0"/>
              <w:rPr>
                <w:sz w:val="17"/>
                <w:szCs w:val="17"/>
                <w:color w:val="auto"/>
              </w:rPr>
            </w:pP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Less:</w:t>
            </w: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Cost of revenue</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1,851</w:t>
            </w:r>
          </w:p>
        </w:tc>
        <w:tc>
          <w:tcPr>
            <w:tcW w:w="100" w:type="dxa"/>
            <w:vAlign w:val="bottom"/>
            <w:shd w:val="clear" w:color="auto" w:fill="CFF0FC"/>
          </w:tcPr>
          <w:p>
            <w:pPr>
              <w:spacing w:after="0"/>
              <w:rPr>
                <w:sz w:val="17"/>
                <w:szCs w:val="17"/>
                <w:color w:val="auto"/>
              </w:rPr>
            </w:pPr>
          </w:p>
        </w:tc>
      </w:tr>
      <w:tr>
        <w:trPr>
          <w:trHeight w:val="202"/>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3,040</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8,845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7,752</w:t>
            </w: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3,371</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9,885</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11,292</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Sales and marketing</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3,023</w:t>
            </w:r>
          </w:p>
        </w:tc>
        <w:tc>
          <w:tcPr>
            <w:tcW w:w="100" w:type="dxa"/>
            <w:vAlign w:val="bottom"/>
          </w:tcPr>
          <w:p>
            <w:pPr>
              <w:spacing w:after="0"/>
              <w:rPr>
                <w:sz w:val="17"/>
                <w:szCs w:val="17"/>
                <w:color w:val="auto"/>
              </w:rPr>
            </w:pPr>
          </w:p>
        </w:tc>
      </w:tr>
      <w:tr>
        <w:trPr>
          <w:trHeight w:val="203"/>
        </w:trPr>
        <w:tc>
          <w:tcPr>
            <w:tcW w:w="3780" w:type="dxa"/>
            <w:vAlign w:val="bottom"/>
            <w:shd w:val="clear" w:color="auto" w:fill="CFF0FC"/>
          </w:tcPr>
          <w:p>
            <w:pPr>
              <w:ind w:left="80"/>
              <w:spacing w:after="0" w:line="203"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(2)</w:t>
            </w:r>
          </w:p>
        </w:tc>
        <w:tc>
          <w:tcPr>
            <w:tcW w:w="110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Interest income, net</w:t>
            </w:r>
          </w:p>
        </w:tc>
        <w:tc>
          <w:tcPr>
            <w:tcW w:w="110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(566)</w:t>
            </w:r>
          </w:p>
        </w:tc>
        <w:tc>
          <w:tcPr>
            <w:tcW w:w="112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(249)</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(967)</w:t>
            </w:r>
          </w:p>
        </w:tc>
      </w:tr>
      <w:tr>
        <w:trPr>
          <w:trHeight w:val="203"/>
        </w:trPr>
        <w:tc>
          <w:tcPr>
            <w:tcW w:w="37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(3,759)</w:t>
            </w:r>
          </w:p>
        </w:tc>
        <w:tc>
          <w:tcPr>
            <w:tcW w:w="112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(33,110)</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shd w:val="clear" w:color="auto" w:fill="CFF0FC"/>
          </w:tcPr>
          <w:p>
            <w:pPr>
              <w:spacing w:after="0"/>
              <w:rPr>
                <w:sz w:val="17"/>
                <w:szCs w:val="17"/>
                <w:color w:val="auto"/>
              </w:rPr>
            </w:pPr>
          </w:p>
        </w:tc>
      </w:tr>
      <w:tr>
        <w:trPr>
          <w:trHeight w:val="203"/>
        </w:trPr>
        <w:tc>
          <w:tcPr>
            <w:tcW w:w="37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income, net</w:t>
            </w:r>
          </w:p>
        </w:tc>
        <w:tc>
          <w:tcPr>
            <w:tcW w:w="1100" w:type="dxa"/>
            <w:vAlign w:val="bottom"/>
          </w:tcPr>
          <w:p>
            <w:pPr>
              <w:spacing w:after="0"/>
              <w:rPr>
                <w:sz w:val="17"/>
                <w:szCs w:val="17"/>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3"/>
        </w:trPr>
        <w:tc>
          <w:tcPr>
            <w:tcW w:w="378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Income tax expense</w:t>
            </w:r>
          </w:p>
        </w:tc>
        <w:tc>
          <w:tcPr>
            <w:tcW w:w="110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3780" w:type="dxa"/>
            <w:vAlign w:val="bottom"/>
          </w:tcPr>
          <w:p>
            <w:pPr>
              <w:spacing w:after="0"/>
              <w:rPr>
                <w:sz w:val="20"/>
                <w:szCs w:val="20"/>
                <w:color w:val="auto"/>
              </w:rPr>
            </w:pPr>
            <w:r>
              <w:rPr>
                <w:rFonts w:ascii="Times New Roman" w:cs="Times New Roman" w:eastAsia="Times New Roman" w:hAnsi="Times New Roman"/>
                <w:sz w:val="16"/>
                <w:szCs w:val="16"/>
                <w:color w:val="auto"/>
              </w:rPr>
              <w:t>Net (loss) income</w:t>
            </w:r>
          </w:p>
        </w:tc>
        <w:tc>
          <w:tcPr>
            <w:tcW w:w="110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(3,740)</w:t>
            </w:r>
          </w:p>
        </w:tc>
        <w:tc>
          <w:tcPr>
            <w:tcW w:w="1120" w:type="dxa"/>
            <w:vAlign w:val="bottom"/>
          </w:tcPr>
          <w:p>
            <w:pPr>
              <w:jc w:val="right"/>
              <w:ind w:right="959"/>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(7,096)</w:t>
            </w:r>
          </w:p>
        </w:tc>
        <w:tc>
          <w:tcPr>
            <w:tcW w:w="1140" w:type="dxa"/>
            <w:vAlign w:val="bottom"/>
            <w:gridSpan w:val="2"/>
          </w:tcPr>
          <w:p>
            <w:pPr>
              <w:jc w:val="right"/>
              <w:ind w:right="85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11,532</w:t>
            </w:r>
          </w:p>
        </w:tc>
        <w:tc>
          <w:tcPr>
            <w:tcW w:w="180" w:type="dxa"/>
            <w:vAlign w:val="bottom"/>
          </w:tcPr>
          <w:p>
            <w:pPr>
              <w:spacing w:after="0"/>
              <w:rPr>
                <w:sz w:val="17"/>
                <w:szCs w:val="17"/>
                <w:color w:val="auto"/>
              </w:rPr>
            </w:pPr>
          </w:p>
        </w:tc>
        <w:tc>
          <w:tcPr>
            <w:tcW w:w="11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(19,648)</w:t>
            </w:r>
          </w:p>
        </w:tc>
      </w:tr>
      <w:tr>
        <w:trPr>
          <w:trHeight w:val="20"/>
        </w:trPr>
        <w:tc>
          <w:tcPr>
            <w:tcW w:w="3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-1456690</wp:posOffset>
            </wp:positionV>
            <wp:extent cx="7683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-1456690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-1456690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-162560</wp:posOffset>
            </wp:positionV>
            <wp:extent cx="7683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-162560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-162560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revenue includes revenue from legacy product sales.</w:t>
      </w:r>
    </w:p>
    <w:p>
      <w:pPr>
        <w:spacing w:after="0" w:line="184"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for the three months ended September 30, 2025 includes $1.1 million of stock compensation expenses. Other for the three months ended September 30, 2024 includes $0.7 million of stock compensation expenses, partially offset by $0.2 million of restructuring gain. Other for the nine months ended September 30, 2025 includes $3.3 million of stock compensation expenses and $0.2 million of severance charges. Other for the nine months ended September 30, 2024 includes $1.1 million of cost of revenue from legacy product sales, $2.2 million of stock compensation expenses and $0.2 million of asset write-off and restructuring charges.</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September 30, 2025 and 2024, the Company had no revenue earned from customers located outside the United States.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long-lived assets are maintained in the United States. All losses are attributable to operations within the United States.</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Throughout this section, unless otherwise noted, the “Company,” “Palladyne AI Corp.,” “Palladyne,” “we,” “us,” and “our” refers to Palladyne AI Corp., and its subsidiaries, collectively. You should read the following discussion and analysis of our financial condition and results of operations in conjunction with our unaudited interim condensed consolidated financial statements and related notes thereto included elsewhere in this Quarterly Report (this “Report”) as well as our Annual Report on Form 10-K for the fiscal year ended December 31, 2024 (the “2024 Form 10-K”) and our other filings, including Current Reports on Form 8-K, that we have filed with the SEC through the date of this Report. As discussed in the Special Note Regarding Forward-Looking Statements below, in addition to historical information, the following discussion and analysis contains forward-looking statements that involve risks, uncertainties and assumptions. Our actual results may differ materially from those anticipated in these forward-looking statements as a result of certain factors, including those set forth in Part II Item 1A Risk Factors and elsewhere in this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statements in this Report constitute “forward-looking statements” within the meaning of Section 27A of the Securities Act of 1933, as amended (the “Securities Act”) and Section 21E of the Securities Exchange Act of 1934, as amended (the “Exchange Act”). These forward-looking statements relate to expectations for future financial performance, business strategies or expectations for our business. Specifically, forward-looking statements may include statements relating to:</w:t>
      </w:r>
    </w:p>
    <w:p>
      <w:pPr>
        <w:spacing w:after="0" w:line="139" w:lineRule="exact"/>
        <w:rPr>
          <w:sz w:val="20"/>
          <w:szCs w:val="20"/>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sell our full-stack, closed-loop autonomy software ("AI/ML Foundational Technology") and related products and the capabilities and functionality of our AI/ML Foundational Technology and related products</w:t>
      </w:r>
    </w:p>
    <w:p>
      <w:pPr>
        <w:spacing w:after="0" w:line="13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timeline and amount of our product revenues;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and size of the markets that we are targeting;</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software product roadmaps, including expected timing of new or enhanced product releases and target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respond to rapid technological changes;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or future businesses and technologies and the potential advantages of our products as compared to competitors;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growth and expenses;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evolving laws and regulations applicable to our business;</w:t>
      </w:r>
    </w:p>
    <w:p>
      <w:pPr>
        <w:spacing w:after="0" w:line="198"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with the necessary experience, including employees who are instrumental to our business strategy;</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projected financial and operating information and estimates of market size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government shutdown on our business and financial results;</w:t>
      </w:r>
    </w:p>
    <w:p>
      <w:pPr>
        <w:spacing w:after="0" w:line="18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health epidemics and global economic and geopolitical conditions and international conflicts on our business and the business of our customers;</w:t>
      </w:r>
    </w:p>
    <w:p>
      <w:pPr>
        <w:spacing w:after="0" w:line="12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regulations and customs, tariffs and trade barriers and the potential effects on our business and financial results;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for our software products;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capital requirements and sources and uses of cash;</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and the outcome of any litigation or regulatory proceedings;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protect our brand;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preceded by, followed by or that include the words "may," "can," "should," "will," "estimate," "plan," "project," "forecast," "intend," "expect," "anticipate," "believe," "seek," "aim," "target" or similar expressions.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forward-looking statements are based on information available as of the date of this Report and our management's current expectations, forecasts and assumptions, and involve a number of judgments, risks and uncertainties. Accordingly, forward-looking statements should not be relied upon as representing our views as of any subsequent date, and, in any event, you should not place undue reliance on these forward-looking statements.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those factors described in Part II Item 1A Risk Factors of this Report. Should one or more of these risks or uncertainties materialize, or should any of the assumptions prove incorrect, actual results may vary in material respects from those projected in these forward-looking statements. Our Risk Factors are not guarantees that no such conditions exist as of the date of this Report and should not be interpreted as an affirmative statement that such risks or conditions have not materialized, in whole or in part.</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known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is to deliver artificial intelligence software products that enable robotic and unmanned platforms, or robotic systems, in the industrial and defense sectors to perform complex tasks in arbitrary (i.e., unstructured and dynamic) human environments. Our AI/ML Foundational Technology enhances the utility and functionality of third-party stationary and mobile robotic systems by allowing these systems to quickly observe, learn, reason and act in structured and unstructured environments. Our AI/ML Foundational Technology is designed with artificial intelligence ("AI") and machine learning ("ML") technologies to enable robotic systems to perceive their environment and quickly adapt to changing circumstances by generalizing (i.e., learning) from their past experience using dynamic real-time operations "on the edge" (i.e., on the robotic system and not in the cloud) without extensive programming, training or the latency associated with processing in the cloud. We believe this "human-like" ability to learn, reason and adapt will be a key differentiator in assisting our customers to enhance productivity in dynamic or unstructured environments, where human reasoning has traditionally been required to complete the task. We designed our AI/ML Foundational Technology to be hardware agnostic, meaning that our AI/ML software products are designed so that with a minimal integration effort they will be able to function on a wide variety of industrial robots, cobots, unmanned aerial vehicles ("UAV"), unmanned ground vehicles ("UGV") and other remotely operated vehicles ("ROV").</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AI/ML Foundational Technology is the foundational technology for our two software products. The first, Palladyne IQ, has been developed for use with industrial robots and cobots, and the second, Palladyne Pilot, has been developed for use with unmanned platforms with our current focus being Class 1 UAVs. We expect to continue to advance and evolve our technology and products in response to the evolving demands of our customers in the various industries we expect to serve. Palladyne IQ and Palladyne Pilot are in the early stages of commercialization (the process of bringing the product to market, generating sales and deploying the product with customers) and they continue to undergo reliability testing, debugging, and other stabilizing improvements.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our initial customer base will be comprised of innovators and early adopters in the industrial manufacturing, defense, infrastructure maintenance, repair and surveillance, energy and aerospace and aviation industries. We believe that if we are successful in demonstrating the value of our products with these early adopters, there will be many potential customers that follow. Palladyne IQ is being offered through a term-based licensing model that would result in a recurring revenue stream, while Palladyne Pilot is offered through a device-based licensing model. We may also offer add-on functionality for an additional license fee. While we plan to charge an upfront fee for the hardware associated with Palladyne IQ, we may choose to embed the cost in the license fee in the future. Based on interaction with dozens of potential customers, we believe that the sales cycle for Palladyne IQ is likely to be between 12 and 18 months, or even longer, while the sales cycle for Palladyne Pilot is unknown. System integrators and potential customers of Palladyne IQ have indicated that recent changes in U.S. trade policy have caused some potential customers to re-evaluate their automation priorities which we believe will delay certain investment decisions in the near term but will overall create greater opportunities for Palladyne IQ deployments in the United States in the medium and long term. We expect to begin generating revenues from commercial customers in the first half of 2026.</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We have U.S. government revenue-generating contracts related to various aspects of our AI/ML Foundational Technology and our Palladyne IQ and Palladyne Pilot products. As scheduled to date, we have timely met all the development milestones associated with these contracts and recognized revenue based on work completed. Please see Part II Item 1A Risk Factors for a discussion of the risks related to these activities, in particular those discussed under "Risks Related to our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Operating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several factors that present significant opportunities for us but also pose risks and challenges, including those discussed below and in Part II Item 1A Risk Factors.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Testing and Commercial Launch of our AI/ML Software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continue commercialization efforts, internal testing and customer trials for both products through the remainder of 2025. Whether we are successful in these efforts depends on many factors, including those discussed under Part II Item 1A Risk Factors. Such risks may result in delay in achieving product revenues, which would adversely affect our financial condition and operating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of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use our cash on hand to continue to enhance our software products, conduct product development activities, pursue marketing and sales opportunities and fund operations as we seek to further commercialize and enhance and achieve revenue from our products. The amount and timing of our future funding requirements will depend on many factors, including the pace and results of our product commercialization and enhancement efforts, our ability to sell our software products and thereby recognize associated revenue, capital and human capital requirements to develop and sell products prior to receiving payments sufficient to cover our costs and our ability to lower product costs as volumes increase.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taken and continue to take numerous steps to manage our use of cash. For example, we conducted two workforce reductions during 2023 (the "2023 RIFs") which allowed us to further conserve our cash resources and manage operating expenses. The last cash payments related to the 2023 RIFs were paid during the first quarter of 2024. Additionally, during the fourth quarter of 2024 and the first three quarters of 2025 we raised approximately $61.4 million in gross proceeds from the sale of our Common Stock and warrants. For further information on our financing activities, see "</w:t>
      </w:r>
      <w:r>
        <w:rPr>
          <w:rFonts w:ascii="Times New Roman" w:cs="Times New Roman" w:eastAsia="Times New Roman" w:hAnsi="Times New Roman"/>
          <w:sz w:val="18"/>
          <w:szCs w:val="18"/>
          <w:i w:val="1"/>
          <w:iCs w:val="1"/>
          <w:color w:val="auto"/>
        </w:rPr>
        <w:t>Liquidity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Resources.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we have sufficient liquidity to operate for at least the next 12 months without the need to raise additional capital. However, we may decide to seek additional financing during that time to bolster our cash reserves and increase our ability to continue to pursue our business objectives. As a result, we intend to continue monitoring our liquidity, financial and business results and outlook and market conditions, and may be opportunistic and raise capital when we consider market conditions are good or a favorable opportunity exists. Any delays in the sales of our AI/ML software products will negatively impact our ability to generate revenue, our profitability, our cash flows, our overall operating performance and our ability to continue operations and may result in the need to raise additional capital. We will continue to carefully evaluate our use of cash and liquidity.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Demand</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Although demand for AI/ML software products has grown in recent years, the market continues to evolve. The market demand for our software is unproven, and important assumptions about the characteristics of targeted markets, pricing and sales cycles may be inaccurate. Based on interaction with dozens of potential customers, we believe that the sales cycle for Palladyne IQ is likely to be between 12 and 18 months, or even longer, while the sales cycle for Palladyne Pilot is unknown. While we believe that our products will provide significant benefits and return on investment to customers, as it is a new technology, we are dependent on customers who are willing to adopt, purchase and implement new technologies and products. Further, we have U.S. government revenue-generating contracts related to various aspects of our AI/ML Foundational Technology and our Palladyne IQ and Palladyne Pilot products and we have been affected by the current government shutdown. For example, we have experienced delays in our interactions with certain government agencies and these have affected our collection efforts, our ability to consummate new government contracts and may prevent us from maintaining or renewing certain government contracts. The duration of the shutdown could have a compounding effect, and the longer it continues, the more significant the potential adverse impact may be on our anticipated revenues for fiscal years 2025 and 2026. For additional information around the risks associated with our government contracts, see Part II Item 1A Risk Factors "</w:t>
      </w:r>
      <w:r>
        <w:rPr>
          <w:rFonts w:ascii="Times New Roman" w:cs="Times New Roman" w:eastAsia="Times New Roman" w:hAnsi="Times New Roman"/>
          <w:sz w:val="18"/>
          <w:szCs w:val="18"/>
          <w:i w:val="1"/>
          <w:iCs w:val="1"/>
          <w:color w:val="auto"/>
        </w:rPr>
        <w:t>A portion of our revenue is currently and will continue to be generated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government entities, which makes us subject to a number of uncertainties, challenges and risks." </w:t>
      </w:r>
      <w:r>
        <w:rPr>
          <w:rFonts w:ascii="Times New Roman" w:cs="Times New Roman" w:eastAsia="Times New Roman" w:hAnsi="Times New Roman"/>
          <w:sz w:val="18"/>
          <w:szCs w:val="18"/>
          <w:color w:val="auto"/>
        </w:rPr>
        <w:t>If customer demand does not develop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or we do not accurately estimate pricing, adoption rates and sales cycles for our products, our business, results of operations and financial condition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Investment and Innovation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pioneer in the robotic systems industry and benefit from lessons learned over 30-plus years and significant investment in research and development. Through our hardware development efforts over many years, including our related AI-software development efforts, we developed a significant amount of advanced technology that we are leveraging to develop our AI/ML Foundational Technology and related products. We believe our financial performance is dependent on our ability to enhance and update our products. It is important that we continually identify and respond to rapidly evolving customer requirements and competitive threats, develop and introduce innovative products, enhance our products and generate active market demand for and sell our products. If we fail to do this, our market and financial position and revenue may be adversely affected, and our investments in these technologies will not be recovered.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Geopolitical and Macro-economic Environment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Geopolitical and macro-economic factors, such as inflation, changes in United States trade policy, including tariffs, interest rates, oil prices, unemployment rates, international conflicts, such as the current wars between Russia and Ukraine and conflict in the middle east, volatility in the stock market and political or social unrest, can have significant impacts on economic activity, which in turn could affect demand for our products or our ability to cost-effectively develop and sell our products. Among other things, these and similar factors can affect our ability to hire or retain qualified personnel, our labor and materials costs, the prices we charge for our software products and the budgets of our customers and their expected return-on-investment from the purchase of a license for our software product. Many of these factors are outside of our control but can have a significant impact on our business success and operating results. If we are unable to manage our business successfully in response to any such factors, our business and results of operations would be adversely affected.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three months ended September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gridSpan w:val="4"/>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860</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(11)</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decreased slightly for the three months ended September 30, 2025 as compared to the three months ended September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increased by $0.1 million, or 13%, from $0.8 million for the three months ended September 30, 2024, to $0.9 million for the three months ended September 30, 2025. The increase was primarily due to the timing of the completion of certain milestones within our product development contracts during the current period.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product sales was minimal during the three months ended September 30,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three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4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2,582</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(151)</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8,925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8,170</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decreased slightly for three months ended September 30, 2025 as compared to the three months ended September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22%, from $2.6 million for the three months ended September 30, 2024, to $3.1 million for the three months ended September 30, 2025. Research and development costs during the three months ended September 30, 2025 increased due to labor and labor related expenses associated with product testing, debugging, stabilization and enhancements of our software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 increased by 4%, from $4.0 million for the three months ended September 30, 2024, to $4.1 million for the three months ended September 30, 2025. General and administrative expense increased primarily due to increased stock-based compensation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 decreased by 11%, from $1.3 million for the three months ended September 30, 2024, to $1.2 million for the three months ended September 30, 2025. This decrease was driven by decreased labor and labor related expense, partially offset by increased marketing program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three months ended September 30, 2025 or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three months ended September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56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2"/>
        </w:trPr>
        <w:tc>
          <w:tcPr>
            <w:tcW w:w="5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58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5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20" w:type="dxa"/>
            <w:vAlign w:val="bottom"/>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5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4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127%</w:t>
            </w:r>
          </w:p>
        </w:tc>
      </w:tr>
      <w:tr>
        <w:trPr>
          <w:trHeight w:val="203"/>
        </w:trPr>
        <w:tc>
          <w:tcPr>
            <w:tcW w:w="58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 on warrant liability</w:t>
            </w:r>
          </w:p>
        </w:tc>
        <w:tc>
          <w:tcPr>
            <w:tcW w:w="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3,802</w:t>
            </w:r>
          </w:p>
        </w:tc>
        <w:tc>
          <w:tcPr>
            <w:tcW w:w="16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(8,842)%</w:t>
            </w:r>
          </w:p>
        </w:tc>
      </w:tr>
      <w:tr>
        <w:trPr>
          <w:trHeight w:val="196"/>
        </w:trPr>
        <w:tc>
          <w:tcPr>
            <w:tcW w:w="5800" w:type="dxa"/>
            <w:vAlign w:val="bottom"/>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2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4,119</w:t>
            </w:r>
          </w:p>
        </w:tc>
        <w:tc>
          <w:tcPr>
            <w:tcW w:w="16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2,000%</w:t>
            </w:r>
          </w:p>
        </w:tc>
      </w:tr>
      <w:tr>
        <w:trPr>
          <w:trHeight w:val="20"/>
        </w:trPr>
        <w:tc>
          <w:tcPr>
            <w:tcW w:w="5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$4.1 million from $0.2 million for the three months ended September 30, 2024, to $4.3 million for the three months ended September 30, 2025. Other income increased almost entirely as a result of increased mark-to-market gains on our outstanding warrants. Additionally, interest income from our investments in marketable securities increased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three months ended September 30, 2025 and 2024, respectively. The provision for income taxes for the three months ended September 30, 2025 and 2024 is based on the Company’s estimated annualized effective tax rate for the fiscal years ending December 31, 2025 and 2024, respectively. For the three months ended September 30, 2025 and 2024, the Company’s recognized effective tax rate differs from the U.S. federal statutory rate as the Company recorded net taxable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revenue for the nine months ended September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5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5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200" w:type="dxa"/>
            <w:vAlign w:val="bottom"/>
          </w:tcPr>
          <w:p>
            <w:pPr>
              <w:spacing w:after="0"/>
              <w:rPr>
                <w:sz w:val="17"/>
                <w:szCs w:val="17"/>
                <w:color w:val="auto"/>
              </w:rPr>
            </w:pPr>
          </w:p>
        </w:tc>
      </w:tr>
      <w:tr>
        <w:trPr>
          <w:trHeight w:val="19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Product Development Contract Revenue</w:t>
            </w:r>
          </w:p>
        </w:tc>
        <w:tc>
          <w:tcPr>
            <w:tcW w:w="18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4,359</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(777)</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(18)%</w:t>
            </w:r>
          </w:p>
        </w:tc>
      </w:tr>
      <w:tr>
        <w:trPr>
          <w:trHeight w:val="20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(2,663)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2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Revenue, net</w:t>
            </w:r>
          </w:p>
        </w:tc>
        <w:tc>
          <w:tcPr>
            <w:tcW w:w="182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7,025</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(3,440)</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15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Revenue decreased by $3.4 million, or 49%, from $7.0 million for the nine months ended September 30, 2024, to $3.6 million for the nine months ended September 30, 2025, as explained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Development Contract Revenue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Product development contract revenue decreased by $0.8 million, or 18%, from $4.4 million for the nine months ended September 30, 2024, to $3.6 million for the nine months ended September 30, 2025. The decrease was primarily due to available funding and the timing of completion of certain milestones within our product development contracts during the current period. We expect future revenue from product development contracts to fluctuate due to the timing of additional development contracts signed and the completion of existing contracts. For the time being, we intend to take on only those development contracts that we believe support and contribute to our AI/ML Foundational Technology and related product development efforts. As a result, there may be fewer opportunities to replace completed contracts.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Revenue derived from product sales decreased by $2.7 million, or 100%. The decrease was due to legacy hardware product sales during the nine months ended September 30, 2024 that did not recur during the nine months ended September 30,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operating expenses for the nine months ended September 30, 2025 and 2024:</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4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7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17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9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2,934</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(1,646)</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9,141</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17%</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12,516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(865)</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1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7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w:t>
            </w:r>
          </w:p>
        </w:tc>
      </w:tr>
      <w:tr>
        <w:trPr>
          <w:trHeight w:val="203"/>
        </w:trPr>
        <w:tc>
          <w:tcPr>
            <w:tcW w:w="4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Asset write-down and restructuring</w:t>
            </w: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200" w:type="dxa"/>
            <w:vAlign w:val="bottom"/>
          </w:tcPr>
          <w:p>
            <w:pPr>
              <w:spacing w:after="0"/>
              <w:rPr>
                <w:sz w:val="17"/>
                <w:szCs w:val="17"/>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operating expenses</w:t>
            </w:r>
          </w:p>
        </w:tc>
        <w:tc>
          <w:tcPr>
            <w:tcW w:w="19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26,675</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27,464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(789)</w:t>
            </w: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 million, or 56%, from $2.9 million for the nine months ended September 30, 2024, to $1.3 million for the nine months ended September 30, 2025. Cost of revenue decreased primarily due to lower product costs, driven by the decline in product revenue, as well as decreased labor and material expenses charged to product development contracts during the nine months ended September 30, 2025 as compared to the nine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$1.3 million, or 17% from $7.8 million for the nine months ended September 30, 2024, to $9.1 million for the nine months ended September 30, 2025. Research and development costs during the nine months ended September 30, 2025 increased due to labor and labor related expenses associated with product testing, debugging, stabilization and enhancements of our software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decreased by $0.9 million, or 6%, from $13.4 million for the nine months ended September 30, 2024, to $12.5 million for the nine months ended September 30, 2025. General and administrative expense decreased primarily due to reduced labor and labor related expenses and reduced business insurance expenses, partially offset by increased stock-based compensation expenses.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 increased by $0.2 million, or 6%, from $3.5 million for the nine months ended September 30, 2024, to $3.7 million for the nine months ended September 30, 2025. This increase was driven by increased marketing program costs related to our new software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 Write-down and Restructuring</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asset write-down and restructuring costs for the nine months ended September 30, 2025 or the prior year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other income for the nine months ended September 30, 2025 and 2024, respectively:</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64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2"/>
        </w:trPr>
        <w:tc>
          <w:tcPr>
            <w:tcW w:w="4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income</w:t>
            </w:r>
          </w:p>
        </w:tc>
        <w:tc>
          <w:tcPr>
            <w:tcW w:w="18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income, net</w:t>
            </w:r>
          </w:p>
        </w:tc>
        <w:tc>
          <w:tcPr>
            <w:tcW w:w="20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4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00" w:type="dxa"/>
            <w:vAlign w:val="bottom"/>
          </w:tcPr>
          <w:p>
            <w:pPr>
              <w:spacing w:after="0"/>
              <w:rPr>
                <w:sz w:val="17"/>
                <w:szCs w:val="17"/>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r>
      <w:tr>
        <w:trPr>
          <w:trHeight w:val="203"/>
        </w:trPr>
        <w:tc>
          <w:tcPr>
            <w:tcW w:w="4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Gain (loss) on warrant liabilities</w:t>
            </w:r>
          </w:p>
        </w:tc>
        <w:tc>
          <w:tcPr>
            <w:tcW w:w="1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33,110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(175)</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33,285</w:t>
            </w:r>
          </w:p>
        </w:tc>
        <w:tc>
          <w:tcPr>
            <w:tcW w:w="2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(19,020)%</w:t>
            </w:r>
          </w:p>
        </w:tc>
      </w:tr>
      <w:tr>
        <w:trPr>
          <w:trHeight w:val="203"/>
        </w:trPr>
        <w:tc>
          <w:tcPr>
            <w:tcW w:w="40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1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w:t>
            </w:r>
          </w:p>
        </w:tc>
      </w:tr>
      <w:tr>
        <w:trPr>
          <w:trHeight w:val="20"/>
        </w:trPr>
        <w:tc>
          <w:tcPr>
            <w:tcW w:w="40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other income</w:t>
            </w:r>
          </w:p>
        </w:tc>
        <w:tc>
          <w:tcPr>
            <w:tcW w:w="20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34,622</w:t>
            </w:r>
          </w:p>
        </w:tc>
        <w:tc>
          <w:tcPr>
            <w:tcW w:w="4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4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33,828</w:t>
            </w:r>
          </w:p>
        </w:tc>
        <w:tc>
          <w:tcPr>
            <w:tcW w:w="2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4,260%</w:t>
            </w: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increased by $33.8 million from $0.8 million for the nine months ended September 30, 2024, to $34.6 million for the three months ended September 30, 2025. Other income increased almost entirely as a result of increased mark-to-market gains on our outstanding warrants. Additionally, interest income from our investments in marketable securities increased due to an increase in invested funds.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no significant income tax expense for the nine months ended September 30, 2025 and 2024, respectively. The provision for income taxes for the nine months ended September 30, 2025 and 2024 is based on the Company’s estimated annualized effective tax rate for the fiscal years ending December 31, 2025 and 2024, respectively. For the nine months ended September 30, 2025 and 2024, the Company’s recognized effective tax rate differs from the U.S. federal statutory rate as the Company recorded net taxable losses during the period with a corresponding full valuation allowance on the net deferred tax assets created from the losses.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 and Total Estimated Contract Value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Our backlog, as of September 30, 2025, was $0.8 million, $0.2 million of which was funded and $0.6 million of which was unfunded. Our backlog is equal to our remaining performance obligations under contracts or the expected value of exercised contracts, both funded and unfunded, less revenue recognized to date. Our total estimated remaining contract value, which combines backlog with estimated remaining potential contract value, including unexercised options from existing firm contracts, was $6.9 million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marketable securities were $57.1 million as of September 30, 2025, compared to $40.1 million as of December 31, 2024. We have incurred losses from operations and negative cash flows from operations since inception and are likely to continue to incur losses from operations and negative cash flows from operations in the near term. As of September 30, 2025, we had an accumulated deficit of approximately $479.3 million and working capital of $56.0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31, 2024, we announced that we raised approximately $7 million in gross proceeds from the sale of Common Stock and warrants through a registered offering and two separate private placements. In May 2025, 2,790,700 of the 2024 Warrants were exercised resulting in proceeds of $6.4 million.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November 13, 2024, we entered into an open market sale agreement (the "Sales Agreement") with Jefferies LLC to sell shares of our Common Stock from time to time through an "at-the-market" equity offering program under which Jefferies is acting as our sales agent and on November 13, 2024, we filed a prospectus supplement with the SEC in connection with the offer and sale of up to $18.0 million of shares of our Common Stock pursuant to the Sales Agreement. As of December 31, 2024, we sold all of the shares offered pursuant to this prospectus supplement consisting of a total of 3,680,543 shares of our Common Stock for gross sales proceeds of approximately $18.0 million, before deducting commission and other expenses. On December 31, 2024 we filed a prospectus supplement in connection with offering for sale an additional $30.0 million of shares pursuant to the Sales Agreement. During the nine months ended September 30, 2025, all shares under this prospectus supplement were sold, consisting of a total of 3,134,189 shares of our Common Stock under the Sales Agreement for gross sales proceeds of approximately $30.0 million, before deducting commission and other expenses. On August 6, 2025 we filed a prospectus supplement in connection with offering for sale an additional $50.0 million of shares pursuant to the Sales Agreement (the “August 2025 Prospectus Supplement”). As of September 30, 2025, no shares were sold under the August 2025 Prospectus Supplement. We believe that our cash, cash equivalents and marketable securities on hand will be sufficient to support operations, working capital and capital expenditure requirements for at least the next 12 months from the date of this Report.</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use of cash is for operations and administrative activities including employee-related expenses and general, operating and overhead expenses. While we do not have any debt, we do have a long-term lease for our facilities in Salt Lake City, Utah. Future capital requirements will depend on many factors, including the timing and extent of development efforts, the expansion and results of sales and marketing activities, the sales cycle for our products, customer acquisition and revenues, revenue growth rate, customer retention, the introduction of new and enhanced product offerings and market acceptance of our products.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taken many steps to reduce our use of cash. For example, we suspended our legacy hardware product development efforts and focused our product development efforts on our AI/ML Foundational Technology and related products, conducted the 2023 RIFs and terminated our operations in Pittsburgh, Pennsylvania. We plan to use our existing capital to further commercialize and conduct sales and marketing efforts for Palladyne IQ and Palladyne Pilot, as well as continue product testing, debugging and stabilization efforts and conduct product development efforts for the next versions of our products.</w:t>
      </w:r>
    </w:p>
    <w:p>
      <w:pPr>
        <w:spacing w:after="0" w:line="9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and timing of our future funding requirements will depend on many factors, including the pace and results of our product development efforts, our ability to commercialize our products and thereby recognize associated revenue and capital requirements to conduct marketing and sales activities prior to receiving payments sufficient to cover our costs. Any delays in the sales of our software products will negatively impact our ability to generate revenue, profitability, overall operating performance and financial condition. If we are unable to raise additional capital when desired or needed, our business, results of operations and financial condition would be materially and adversely affected.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enter into arrangements to acquire or invest in businesses, services and technologies, which may require acquisition capital as well as operational capital for these acquisitions or arrangements. We may be required to seek additional equity or debt financing to facilitate these arrangements. If additional financing is required from outside sources in connection with these arrangements, we may not be able to raise it on terms acceptable to us, or at all.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primarily use cash from equity financings to fund operations and capital expenditures and meet working capital requirements. If additional funds are required to support our working capital requirements, for acquisitions or for other purposes, we may seek to raise funds through additional debt or equity financings or from other sources. We have taken numerous steps to manage our use of cash, including conducting the 2023 RIFs and other related actions. However, we may decide to seek additional financing, and we intend to continue monitoring our liquidity, financial and business results and outlook and market conditions, and may be opportunistic and raise capital when market conditions are good or a favorable opportunity exists including under "at-the-market" equity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jc w:val="both"/>
        <w:spacing w:after="0" w:line="253" w:lineRule="auto"/>
        <w:rPr>
          <w:sz w:val="20"/>
          <w:szCs w:val="20"/>
          <w:color w:val="auto"/>
        </w:rPr>
      </w:pPr>
      <w:r>
        <w:rPr>
          <w:rFonts w:ascii="Times New Roman" w:cs="Times New Roman" w:eastAsia="Times New Roman" w:hAnsi="Times New Roman"/>
          <w:sz w:val="18"/>
          <w:szCs w:val="18"/>
          <w:color w:val="auto"/>
        </w:rPr>
        <w:t>offering programs. Any delays in the successful further commercialization and sales of our software products will negatively impact our ability to generate revenue, our profitability and our overall operating performance and result in the need to raise additional capital sooner than expected. If we raise additional funds through the issuance of equity or convertible debt securities, the percentage ownership of our equity holders could be significantly diluted and these newly issued securities may have rights, preferences or privileges senior to those of existing equity holders. If we raise additional funds by obtaining loans from third parties, the terms of those financing arrangements may include negative covenants or other restrictions on our business that could impair our operating flexibility and would also require us to incur additional interest expense. Additional financing may not be available at all or, if available, may not be available on terms favorable to us or that we find acceptable. For additional information around the risks associated with our capital needs see Part II Item 1A Risk Factors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 meet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periods presented: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740" w:type="dxa"/>
            <w:vAlign w:val="bottom"/>
            <w:gridSpan w:val="7"/>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4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19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(used in):</w:t>
            </w:r>
          </w:p>
        </w:tc>
        <w:tc>
          <w:tcPr>
            <w:tcW w:w="1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(19,132)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(17,531)</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(1,601)</w:t>
            </w: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46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cash (used in) provided by investing activities</w:t>
            </w:r>
          </w:p>
        </w:tc>
        <w:tc>
          <w:tcPr>
            <w:tcW w:w="1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(20,305)</w:t>
            </w:r>
          </w:p>
        </w:tc>
        <w:tc>
          <w:tcPr>
            <w:tcW w:w="1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15,783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(36,088)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03"/>
        </w:trPr>
        <w:tc>
          <w:tcPr>
            <w:tcW w:w="4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35,610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35,673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(56,624)%</w:t>
            </w:r>
          </w:p>
        </w:tc>
      </w:tr>
      <w:tr>
        <w:trPr>
          <w:trHeight w:val="20"/>
        </w:trPr>
        <w:tc>
          <w:tcPr>
            <w:tcW w:w="4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6"/>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1440" w:type="dxa"/>
            <w:vAlign w:val="bottom"/>
            <w:gridSpan w:val="2"/>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(3,827)</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(1,811)</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(2,016)</w:t>
            </w:r>
          </w:p>
        </w:tc>
        <w:tc>
          <w:tcPr>
            <w:tcW w:w="1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-25400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-25400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used in operating activities during the nine months ended September 30, 2025 increased by $1.6 million to $19.1 million from $17.5 million during the same period in 2024. The increase to net cash used in operating activities was primarily attributable to changes in operating assets and liabilities.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Investing Activities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cash used in investing activities during the nine months ended September 30, 2025 increased by $36.1 million as compared to the same period in 2024. The increase in cash used in investing activities is almost entirely due to $19.8 million of purchases, net of maturities, of marketable securities during the nine months ended September 30, 2025, as compared to $16.0 million of maturities of marketable securities during the nine months ended September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(Used In) Financing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cash provided by financing activities during the nine months ended September 30, 2025 increased by $35.7 million as compared to the prior year period. The increase in cash provided by financing activities is almost entirely due to the $35.5 million, after deducting transaction costs, in net proceeds from the sale of our Common Stock and exercise of warrants during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Section 102(b)(1) of the Jumpstart our Business Startups Act of 2012 (the “JOBS Act”) exempts emerging growth companies from being required to comply with new or revised financial accounting standards until private companies are required to comply with the new or revised financial accounting standards. The JOBS Act provides that a company can choose not to take advantage of the extended transition period and comply with the requirements that apply to non-emerging growth companies, and any such election to not take advantage of the extended transition period is irrevocable.</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and have elected to take advantage of the benefits of the extended transition period for new or revised financial accounting standards. We will remain an emerging growth company until the earliest of (i) the last day of the fiscal year in which the market value of Common Stock that is held by non-affiliates exceeds $700 million as of the end of that year’s second fiscal quarter,</w:t>
      </w:r>
    </w:p>
    <w:p>
      <w:pPr>
        <w:spacing w:after="0" w:line="1" w:lineRule="exact"/>
        <w:rPr>
          <w:sz w:val="20"/>
          <w:szCs w:val="20"/>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total annual gross revenue of $1.235 billion or more during such fiscal year (as indexed for inflation),</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 billion in non-convertible debt in the prior three-year period or (iv) December 31, 2026, and we expect to continue to take advantage of the benefits of the extended transition period, although we may decide to early adopt such new or revised accounting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2" w:name="page33"/>
    <w:bookmarkEnd w:id="32"/>
    <w:p>
      <w:pPr>
        <w:jc w:val="both"/>
        <w:spacing w:after="0" w:line="266" w:lineRule="auto"/>
        <w:rPr>
          <w:sz w:val="20"/>
          <w:szCs w:val="20"/>
          <w:color w:val="auto"/>
        </w:rPr>
      </w:pPr>
      <w:r>
        <w:rPr>
          <w:rFonts w:ascii="Times New Roman" w:cs="Times New Roman" w:eastAsia="Times New Roman" w:hAnsi="Times New Roman"/>
          <w:sz w:val="18"/>
          <w:szCs w:val="18"/>
          <w:color w:val="auto"/>
        </w:rPr>
        <w:t>standards to the extent permitted by such standards. This may make it difficult or impossible to compare our financial results with the financial results of another public company that is either not an emerging growth company or is an emerging growth company that has chosen not to take advantage of the extended transition period exemptions because of the potential differences in accounting standards used.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financial statements, which have been prepared in accordance with accounting principles generally accepted in the United States ("GAAP"). The preparation of these financial statements requires us to make estimates and judgments that affect the reported amounts of assets and liabilities and related disclosure of contingent assets and liabilities, revenue and expenses at the date of the financial statements. Generally, we base our estimates on historical experience and on various other assumptions in accordance with GAAP that we believe to be reasonable under the circumstances. Actual results may differ from these estimates.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Critical accounting policies and estimates are those that we consider the most important to the portrayal of our financial condition and results of operations because they require our most difficult, subjective or complex judgments, often as a result of the need to make estimates about the effect of matters that are inherently uncertain. There have been no material changes to our critical accounting policies or estimates as disclosed in our Annual Report on Form 10-K for the year ended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Summary of Significant Accounting Policies, to our unaudited interim condensed consolidated financial statements included elsewhere in this Report for recently adopted accounting pronouncements and recently issued accounting pronouncements not yet adopted as of the date of this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otherwise required under this item.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are designed with the objective of ensuring that information required to be disclosed in our reports filed under the Exchange Act, such as this Report, is recorded, processed, summarized and reported within the time period specified in the SEC rules and forms. Disclosure controls and procedures are also designed with the objective of ensuring that such information is accumulated and communicated to our management, including the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executive officer and principa</w:t>
      </w:r>
      <w:r>
        <w:rPr>
          <w:rFonts w:ascii="Arial" w:cs="Arial" w:eastAsia="Arial" w:hAnsi="Arial"/>
          <w:sz w:val="18"/>
          <w:szCs w:val="18"/>
          <w:color w:val="auto"/>
        </w:rPr>
        <w:t>l</w:t>
      </w:r>
      <w:r>
        <w:rPr>
          <w:rFonts w:ascii="Times New Roman" w:cs="Times New Roman" w:eastAsia="Times New Roman" w:hAnsi="Times New Roman"/>
          <w:sz w:val="18"/>
          <w:szCs w:val="18"/>
          <w:color w:val="auto"/>
        </w:rPr>
        <w:t xml:space="preserve"> financial officer, as appropriate to allow timely decisions regarding required disclosure. Our management evaluated, with the participation of our chief executive officer and chief financial officer (our “Certifying Officers”), the effectiveness of our disclosure controls and procedures as of the end of the fiscal quarter ended September 30, 2025, pursuant to Rule 13a-15(b) under the Exchange Act. Based upon that evaluation, our Certifying Officers concluded that our disclosure controls and procedures were effective as of September 30, 2025.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designed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the fiscal quarter ended September 30, 2025 covered by this Report that has materially affected, or is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3" w:name="page34"/>
    <w:bookmarkEnd w:id="3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From time to time, we may be subject to legal proceedings. We are not currently a party to or aware of any proceedings that we believe will have, individually or in the aggregate, a material adverse effect on our business, financial condition or results of operations.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in addition to the other information contained in this Report, including “Management’s Discussion and Analysis of Financial Condition and Results of Operations” and our unaudited condensed consolidated financial statements and related notes. If any of the events described in the following risk factors and the risks described elsewhere in this Report occurs, our business, operating results and financial condition could be materially harmed. This Report also contains forward-looking statements that involve risks and uncertainties. Our actual results could differ materially from those anticipated in the forward-looking statements as a result of factors that are described below and elsewhere in this Report or other risks that we currently deem immaterial or that may be unknown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 early stage company with a history of losses, and expect to incur significant losses for the foreseeable future.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incurred losses from operations and negative cash flows from operations since inception and are likely to continue to incur losses from operations and negative cash flows from operations in the near term. We incurred a loss from operations of $23.1 million for the nine months ended September 30, 2025, and a loss from operations of $26.9 million for the year ended December 31, 2024. As of September 30, 2025, we had an accumulated deficit of $479.3 million and working capital of $56.0 million. We expect to incur significant losses for the foreseeable future. Forecasting the timing and amounts of expected revenue and our quarterly and annual results is challenging, in particular because the sales cycle, product acceptance, product pricing and customer adoption rates of our products are uncertain. Even if we are able to successfully attract customers for commercial sales, we may not become profitable. Our potential profitability is dependent upon the successful commercialization and adoption on a large scale of our AI/ML Foundational Technology and related products and our ability to lower costs, none of which may occur. We may not be successful in achieving meaningful revenues from these products. Further, the timing, amount and growth rate of any such revenues are unknown.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likely to continue to incur losses in future periods as we:</w:t>
      </w:r>
    </w:p>
    <w:p>
      <w:pPr>
        <w:spacing w:after="0" w:line="22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and commercialize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our sales and marketing activities and develop our sales and customer service capabilities;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invest in our AI/ML Foundational Technology and related products and our cybersecurity measures, policies and controls;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our general and administrative functions and systems to support our operations and to operate as a publicly-traded company.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Because we will incur costs and expenses from these and other efforts before we receive significant product revenue, we expect to incur losses in future periods, which could be significant. In addition, we may find that these efforts are more expensive than we currently anticipate or that these efforts may result in less than expected or no additional revenue, which would further increase our losses and affect our ability to continue operations. We may have to obtain additional capital from external sources, and additional financing may not be available when needed or, if available, may not be available on terms favorable to us or to our stockholders. See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and financial projections rely on management assumptions and analyses. If these assumptions or analyses prove to be incorrect, as they often have in the past, our actual operating results may be materially different from our expected or forecasted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an early stage company, with no previous experience commercializing software products. Our projected financial and operating information reflect estimates of future performance and are based on multiple business, financial, technical and operational assumptions, including product strategy, timely hiring or retention of needed personnel, timing and successful commercialization of our products, the level of demand for our products, the size of our target markets, the performance and utilization of our products, product pricing and the nature and length of the sales cycle (which we believe to be long). However, given our limited commercial experience, many of these assumptions may prove to be incorrect. Projections and other statements about future expectations are forward-looking statements that are inherently subject to significant risks, uncertainties and contingencies, many of which are beyond our control (in addition to the information contained in these Risk Factors, see "</w:t>
      </w:r>
      <w:r>
        <w:rPr>
          <w:rFonts w:ascii="Times New Roman" w:cs="Times New Roman" w:eastAsia="Times New Roman" w:hAnsi="Times New Roman"/>
          <w:sz w:val="18"/>
          <w:szCs w:val="18"/>
          <w:i w:val="1"/>
          <w:iCs w:val="1"/>
          <w:color w:val="auto"/>
        </w:rPr>
        <w:t>Special Note Regarding Forward-Looking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yet to achieve positive operating cash flow, and our ability to generate positive cash flow is uncertain.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We had negative cash flow from operating activities of $22.6 million and $76.6 million for the years ended December 31, 2024 and 2023, respectively, and negative cash flow from operating activities of $19.1 million for the nine months ended September 30, 2025. We expect to continue to have negative cash flow from operating activities for the foreseeable future as we expect to incur research and development, sales and marketing and general and administrative expenses in our efforts to commercialize our products, increase sales and engage in continuous development work. We may not achieve positive cash flow in the near future or at all. Our business also may at times require significant amounts of working capital to support sales growth or additional product development efforts. An inability to generate positive cash flow for the near term may adversely affect our ability to raise capital for our business on reasonable terms or at all, adversely affect our ability to pursue our business objectives, diminish customer willingness to enter into transactions with us and have other adverse effects, all of which would affect our ability to continue operations. See </w:t>
      </w:r>
      <w:r>
        <w:rPr>
          <w:rFonts w:ascii="Times New Roman" w:cs="Times New Roman" w:eastAsia="Times New Roman" w:hAnsi="Times New Roman"/>
          <w:sz w:val="18"/>
          <w:szCs w:val="18"/>
          <w:i w:val="1"/>
          <w:iCs w:val="1"/>
          <w:color w:val="auto"/>
        </w:rPr>
        <w:t>"We are an early stage company with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history of losses, and expect to incur significant losses for the foreseeable future."</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previous history or experience with commercializing software products and may not be able to do so efficiently, effectively or at all. We were unsuccessful in our efforts to commercialize the hardware technologies that we and our predecessor companies developed over the past several decades.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no previous history or experience commercializing AI/ML software products and may not be able to do so efficiently or effectively or at all. Historically we were unsuccessful in our efforts to commercialize our legacy hardware products. Moreover, commercialization may be delayed due to the challenges discussed under "</w:t>
      </w:r>
      <w:r>
        <w:rPr>
          <w:rFonts w:ascii="Times New Roman" w:cs="Times New Roman" w:eastAsia="Times New Roman" w:hAnsi="Times New Roman"/>
          <w:sz w:val="18"/>
          <w:szCs w:val="18"/>
          <w:i w:val="1"/>
          <w:iCs w:val="1"/>
          <w:color w:val="auto"/>
        </w:rPr>
        <w:t>Successful commercialization of our AI/ML Foundational Technology and related products may be delayed beyond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current expectations and therefore product availability to customers, customer acquisition and receipt of software licensing revenue could be delayed.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commercialization of our software products is a complex and evolving process that involves the development of new and emerging technologies, continued investment, including in privacy, safety and security efforts and potential collaborations with other companies, developers, partners and other participants. Market acceptance of our software products is uncertain and we may need to change product features to meet customer needs. We regularly evaluate our product roadmaps and make significant changes as our understanding of the technological challenges and market landscape and our product ideas and designs evolve. We also may be unsuccessful in our research and product development efforts.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key element of our long-term business strategy involves sales, marketing, training and customer service operations, including hiring personnel with the necessary experience. Managing and maintaining these operations is expensive and time consuming, and an inability to leverage such an organization effectively or at all could inhibit potential sales and the penetration and adoption of our products. In addition, certain decisions we make regarding priorities and staffing in these areas in our efforts to responsibly manage our financial resources could have unintended negative effects on our revenue, such as by weakening the sales and marketing infrastructures or lowering the quality of customer service.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Successful commercialization of our AI/ML Foundational Technology and related products may be delayed beyond our current expectations and therefore product availability to customers, customer acquisition and receipt of product revenue could be delayed.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focused on the development and commercialization of our AI/ML Foundational Technology and related products. Product testing and customer use regularly provide feedback on how we can improve our products. If we are unable to demonstrate that our products deliver the performance, reliability, functionality and/or safety that we or our potential customers expect or quickly address discovered issues, commercial success may be delayed as we work to address the deficiencies. As a result of such delays, we may receive revenue later than expected or not at all if our potential customers decide to seek alternative solutions to our products, adversely affecting our results of operations and financial condition. If we are unable to recruit and retain employees as needed to commercialize our products, we may be unable to do so in a timely manner or at all.</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both"/>
        <w:spacing w:after="0" w:line="266" w:lineRule="auto"/>
        <w:rPr>
          <w:sz w:val="20"/>
          <w:szCs w:val="20"/>
          <w:color w:val="auto"/>
        </w:rPr>
      </w:pPr>
      <w:r>
        <w:rPr>
          <w:rFonts w:ascii="Times New Roman" w:cs="Times New Roman" w:eastAsia="Times New Roman" w:hAnsi="Times New Roman"/>
          <w:sz w:val="18"/>
          <w:szCs w:val="18"/>
          <w:color w:val="auto"/>
        </w:rPr>
        <w:t>Over recent years we experienced, and we continue to experience, these challenges, which have at times negatively impacted our product development schedules and progress. We expect these challenges to continue and, if they do and if we are unable to effectively mitigate their impact, it is likely that we will be unable to meet our currently expected timelines.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macro-economic conditions, such as changes in United States trade policy, including tariffs, inflation and high interest rates and geopolitical events such as the current wars and conflicts between Russia and Ukraine and in the Middle East, and responses thereto, have contributed to price increases and may continue to do so. If we are unable to develop and commercialize our products in a cost efficient manner, our financial results, financial condition and prospects would be materially and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anticipated revenues are expected to be primarily derived from the licensing of our AI/ML software products for the foreseeable future.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are successful in commercializing our AI/ML Foundational Technology and related products, our revenue will be concentrated in licensing those software products for the foreseeable future unless we expand our product or services offerings to other areas. We will need to continue to enhance our products, develop new capabilities and establish and grow our customer base to diversify our revenue and customers. To the extent our AI/ML Foundational Technology and related products do not meet customer expectations, or cannot be commercialized on their projected timelines and in line with cost targets, our future revenue, operating results and financial condition will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issues in the development and use of our AI/ML Foundational Technology or related products, or issues in products developed by others, may result in reputational harm or liability.</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issues in the development or use of our AI/ML Foundational Technology or related products, or issues in products developed by others may result in reputational harm or liability. As with many innovations, AI presents risks, challenges and unintended consequences that could affect its adoption, and therefore our business. AI algorithms and training methodologies may be flawed, ineffective or inadequate. AI development or deployment practices by us or others could result in incidents that impair the acceptance of AI solutions or cause harm to individuals or society. These deficiencies and other failures of AI systems could subject us to competitive harm, regulatory action, legal liability and brand or reputational harm. If we enable or offer AI solutions that are controversial because of their impact on human rights, privacy, employment or other social, economic or political issues, we may experience competitive, brand or reputational harm or legal and/or regulatory action. Further, incorporating AI gives rise to litigation risk and risk of non-compliance and unknown costs of compliance, as AI is an emerging technology for which the legal and regulatory landscape is not fully developed. See "</w:t>
      </w:r>
      <w:r>
        <w:rPr>
          <w:rFonts w:ascii="Times New Roman" w:cs="Times New Roman" w:eastAsia="Times New Roman" w:hAnsi="Times New Roman"/>
          <w:sz w:val="18"/>
          <w:szCs w:val="18"/>
          <w:i w:val="1"/>
          <w:iCs w:val="1"/>
          <w:color w:val="auto"/>
        </w:rPr>
        <w:t>Issues in the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use of AI/ML, combined with an uncertain regulatory environment, may result in reputational harm, liability or other adverse consequences to our business operations</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AI/ML Foundational Technology and related products are new technologies, and customer trials and discussions may not result in purchases.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and related products are new technologies. As of the date of this Report, we have revenue generating contracts with U.S. government customers related to various aspects of our AI/ML Foundational Technology and related products. However, while we continue to engage with numerous other potential customers, we currently have no commercial customers. Our products contain advanced software and control technologies that we have developed over many years. The design of our products is significantly influenced by feedback from potential customers and reflects the needs they express. Even if we are able to successfully incorporate that feedback into our products, customers who initially expressed an interest in our products during the design or testing phase may not purchase the software. If we cannot commercialize our AI/ML Foundational Technology and related products on our expected schedule, if our products do not offer our potential customers the features, functionality and return on investment that they expect, if potential customers are unwilling or hesitant to adopt new technologies and products such as ours and/or if potential customers are not willing to pay for our products at the rates that we currently expect, our ability to generate material revenues will be materially impaired.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Based on interaction with dozens of potential customers, we believe that the sales cycle for Palladyne IQ is likely to be between 12 and 18 months, or even longer, while the sales cycle for Palladyne Pilot is unknown. However, we have limited actual knowledge of or experience with the sales cycle of our products including the customer testing that will be required for customers to ultimately license our software products. As a result, customer testing may take longer than we anticipate, and we may not be able to provide such testing to the satisfaction of prospective customers, which could result in longer sales cycles and fewer purchases than anticipated. We may not be able to adapt our products to reflect customer feedback successfully or at all. If customers who initially express an interest in our software products and influenced their designs do not license our products, or if they adopt a competitors' technology, our business, prospects, financial condition and operating results would be adversely affected.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build and maintain our business, we must maintain confidence among customers and potential customers in our AI/ML Foundational Technology and related products, long-term financial viability and prospects. Maintaining such confidence may be particularly complicated by certain factors including those that are largely outside of our control, such as our limited commercial software experience, customer unfamiliarity with our software, any delays in development or testing, product performance, competition and uncertainty regarding the future of AI and robotics. If we do not generate sufficient licensing revenue, our business, prospects, financial condition and operating results would be materially and adversely affected. Further, if investors, analysts, rating agencies and other third parties are not confident in our AI/ML Foundational Technology and related products, our ability to commercialize our products, our financial viability or our prospects, we may not be able to raise any needed funding which would materially and adversely affect our financial condition and prospects and ability to continue operations.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target markets and the robotics industry do not continue to develop as we anticipate or if potential customers do not adopt our AI/ML Foundational Technology and related products and license our products, our sales will not grow as quickly as expected, or at all, and our business, operating results and financial condition would be harmed.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market for our AI/ML Foundational Technology and related products and applications similar to ours is relatively new and evolving. We are developing our products to respond to an increasingly global and complex business environment with rigorous regulatory standards. If organizations do not allocate their budgets as we expect or if we do not succeed in convincing potential customers to license our products, our sales will not grow as quickly as anticipated, or at all. Economic uncertainty or future deterioration in general economic conditions might also cause our customers to cut or delay their spending, and such cuts might disproportionately affect businesses like ours to the extent customers view our products as too costly or discretionary. For example, the effects of changes in U.S. trade policy, including tariffs, are unknown and may have the effect of diminishing customer willingness to enter into transactions with us. Moreover, market acceptance of our AI/ML Foundational Technology and related products is critical to our continued success. Even if the market grows as expected, if potential customers do not adopt our products, our business, operating results, financial condition and growth prospects will be materially and adversely affected. If we are not able to generate material revenues from our products before we exhaust our financial resources, we may need to cease business operations. See "</w:t>
      </w:r>
      <w:r>
        <w:rPr>
          <w:rFonts w:ascii="Times New Roman" w:cs="Times New Roman" w:eastAsia="Times New Roman" w:hAnsi="Times New Roman"/>
          <w:sz w:val="18"/>
          <w:szCs w:val="18"/>
          <w:i w:val="1"/>
          <w:iCs w:val="1"/>
          <w:color w:val="auto"/>
        </w:rPr>
        <w:t>We are an early stage company with a history of losses, and expect to incur significant losses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foreseeable future.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introduce and implement enhancements, new features or modifications to our AI/ML Foundational Technology and related products, our business would be harmed.</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introduce and implement new applications, enhancements or features, or fail to develop new applications that achieve market acceptance or that keep pace with rapid technological developments, our business, operating results, financial condition and growth prospects would be adversely affected. The success of enhancements and new applications depends on several factors, including timely completion, introduction and market acceptance.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must continue to meet the changing expectations and requirements of our customers. Any failure of our products to operate effectively with future software, such as third-party robotic operating systems and technologies or to evolve and scale to address the changing needs of our customers could reduce the demand for our products or result in customer dissatisfaction. Further, uncertainties about the timing and nature of new software or technologies, or modifications to our software or products or existing software or technologies, could increase our research and development expenses. If we are not successful in developing modifications and enhancements to our products or if we fail to introduce new applications to market in a timely fashion, our products might become less marketable, less competitive or obsolete, and consequently our revenue growth might be significantly impaired and our business, operating results and financial condition could be harmed.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attract or retain customers at sufficient rates or in sufficient numbers or at all.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no previous history or experience commercializing software products and may not be able to do so efficiently or effectively or at all. To create and grow our customer base, we must license our software to new customers, which we may not be able to do in sufficient numbers or at all. Even if we are able to attract customers, these customers may not maintain a high level of commitment to our software products. In addition, we will incur marketing, sales and other expenses, including referral fees, to attract new customers, which will offset revenue from such customers. For these and other reasons, we could fail to achieve revenue growth, which would adversely affect our results of operations, prospects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our AI/ML Foundational Technology and related products to be used with robots operating in a wide variety of environments and for a broad range of complex uses. Our success depends on our ability, and the ability of our customers, to implement our products successfully in these environments. Customer retention will also be largely dependent on the quality and effectiveness of our customer service operations, which may be handled internally by our personnel and also by third-party service providers. We expect that we will need to often assist our customers in implementing our software products. If we or our customers are unable to implement our products successfully, or are unable to do so in a timely manner, inadequate performance might result and customer perceptions of our technology, products and company might be impaired, our reputation and brand might suffer, we may face legal claims, customers might choose not to renew or expand the use of our products and we might lose opportunities for additional sales.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 previous history with our licensing sales model.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 experience with licensing software as a business model. The success of our strategy to build recurring revenue streams through software licenses depends on our ability to successfully market our products and their benefits to customers and to successfully develop a network of ongoing customers that maintain or renew their licenses, pay for upgrades, license additional functionality or expand the use of the software within their robotic systems. The likelihood of our success must be considered in light of these risks, and our license model may not prove successful.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our competitors may offer different pricing models that may be more attractive to potential customers. We may be required to adjust our sales model in response to these changes, which could adversely affect our financial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assumptions about market demand, pricing, adoption rates and sales cycles for our software products may be inaccurate.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 demand for our AI/ML software products is unproven, and important assumptions about the characteristics of targeted markets, pricing, adoption rates and sales cycles may be inaccurate. Based on interaction with dozens of potential customers, we believe that the sales cycle for Palladyne IQ is likely to be between 12 and 18 months, or even longer, while the sales cycle for Palladyne Pilot is unknown.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Given the evolving nature of the markets in which we operate, it is difficult to predict customer demand or adoption rates for our products or the future growth of the markets we target. If one or more of the targeted markets experience a shift in customer demand, whether due to new solutions that better address customer needs or otherwise, our products may not compete as effectively, if at all. If customer demand does not develop as expected, or if we do not achieve forecasted pricing, adoption rates and sales cycles for our software products, our business, results of operations and financial condition will be adversely affected, perhaps materially.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benefits of our AI/ML Foundational Technology and related products to customers and projected return on investment have not been substantiated through customer use.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AI/ML Foundational Technology and related products have not been commercially used by customers. Our products may not perform consistent with customers' expectations or consistent with other products that may be or may become available. Any failure of our products to perform as expected could harm our reputation and result in adverse publicity, lost revenue, license cancellation, harm to our brand, delays in availability, product liability claims and significant warranty and other expenses and could have a material adverse impact on our business, prospects, financial condition and operating results.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intend to target many customers that are large businesses with substantial negotiating power, exacting product standards and potentially competitive internal solutions. If we are unable to sell our software products to these customers, our prospects and results of operations will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many of our potential customers will be large businesses with substantial negotiating power relative to us and, in some instances, may have internal solutions that are competitive to our AI/ML software products. These large businesses also have significant development resources, which may allow them to acquire or develop independently, or in partnership with others, competitive technologies. Meeting the technical requirements and securing binding commitments from any of these businesses will require a substantial investment of our time and resources. We may be unable to secure customers from these or other businesses or we may be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spacing w:after="0" w:line="282" w:lineRule="auto"/>
        <w:rPr>
          <w:sz w:val="20"/>
          <w:szCs w:val="20"/>
          <w:color w:val="auto"/>
        </w:rPr>
      </w:pPr>
      <w:r>
        <w:rPr>
          <w:rFonts w:ascii="Times New Roman" w:cs="Times New Roman" w:eastAsia="Times New Roman" w:hAnsi="Times New Roman"/>
          <w:sz w:val="18"/>
          <w:szCs w:val="18"/>
          <w:color w:val="auto"/>
        </w:rPr>
        <w:t>unable to generate meaningful revenue from these potential customers. If our products are not selected by these large businesses or if these businesses develop or acquire competitive technology, it may have a material adverse effect on our business, prospects, financial condition and operating results.</w:t>
      </w:r>
    </w:p>
    <w:p>
      <w:pPr>
        <w:spacing w:after="0" w:line="158"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portion of our revenue is currently and will continue to be generated by contracts with government entities, which makes us subject to a number of uncertainties, challenges and risks.</w:t>
      </w:r>
    </w:p>
    <w:p>
      <w:pPr>
        <w:spacing w:after="0" w:line="15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Contracts with government entities are subject to a number of risks. Such relationships can be highly competitive, expensive and time-consuming, often requiring significant upfront time and expense without any assurance that these efforts will generate revenue. Factors that could impede our ability to generate revenue from government contracts include: changing political environments and shifts in government priorities; impacts and changes to government spending; and budgetary or staffing cuts, including those related to government shutdowns resulting from lapses in government appropriations. The impact of any of these factors or other factors that affect government spending could result in cancellations of our contracts or in delays or terminations of opportunities that we are currently pursuing and negatively impact our business, financial condition and results of operations. For example, due to the current government shutdown, we have experienced delays in our interactions with certain government agencies and these have affected our collection efforts and our ability to consummate new government contracts and may prevent us from maintaining or renewing certain government contracts. The duration of the shutdown could have a compounding effect, and the longer it continues, the more significant the potential adverse impact may be on our anticipated revenues for fiscal years 2025 and 2026. Further, U.S. government spending may be reduced as a result of changes in policy, and other factors affecting the U.S. government such as national security focus areas, budget deficits and the national debt. If we are successful in being awarded a government contract, such award may be subject to appeals, disputes or litigation, including bid protests by unsuccessful bidders. Government demand and payment for our solutions may be impacted by public sector budgetary cycles and funding authorizations, with funding reductions or delays adversely affecting public sector demand for our solutions. Additionally, during lapses in federal appropriations, agencies may delay new contract awards or modifications, interrupt funding or refuse to obligate additional funds, furlough personnel or reduce administrative and contracting support. Government entities may have statutory, contractual or other legal rights to terminate our contracts for convenience or default. Also, see "</w:t>
      </w:r>
      <w:r>
        <w:rPr>
          <w:rFonts w:ascii="Times New Roman" w:cs="Times New Roman" w:eastAsia="Times New Roman" w:hAnsi="Times New Roman"/>
          <w:sz w:val="18"/>
          <w:szCs w:val="18"/>
          <w:i w:val="1"/>
          <w:iCs w:val="1"/>
          <w:color w:val="auto"/>
        </w:rPr>
        <w:t>We are subject to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regulations and contractual provisions as a government contractor or subcontractor, which may pose increased risk of potential liability and expenses related thereto, which could have a material adverse effect on our business, operating results and financial condition.</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that is subject to rapid technological change, and we expect competition to increase. Our products may not be competitive with other alternatives.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AI/ML software and robotics industries are subject to rapid technological change, and we expect competition to increase in the future. Our research and development efforts may be unable to keep up with changes in technology or its alternatives and, as a result, our competitiveness may suffer. Developments in alternative technologies or solutions may materially and adversely affect our competitiveness in ways we do not currently anticipate. While we plan to upgrade and adapt our products as we or others develop new technology, any failure by us to develop new or enhanced technologies or processes, or successfully react to changes or advances in existing technologies, could delay our development and introduction of new and enhanced products, which could result in the loss of competitiveness, decreased revenue and a loss of market share to competitors. We believe our AI/ML Foundational Technology and related products will compete (both directly and indirectly) with companies such as Bright Machines, Intrinsic, Liquid AI, Mujin, Physical Intelligence, Rapid Robotics, Skild AI, Anduril and Shield AI. We believe that our competitors are seeking to solve the same or similar industry challenges as we are, but that most are focused on a particular aspect of the functionality of our AI/ML Foundational Technology rather than a fully competitive solution.</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view industrial robotics and cobot manufacturers such as ABB, Fanuc, Kawasaki, KUKA, Universal Robots and Yasakawa, large system integrators such as Honeywell, Reply and Rockwell Automation and technology companies such as NVIDIA as potential target customers and/or channel and ecosystem partners for our products, we also recognize that these companies may emerge as formidable competitors through their own internal development efforts or future technology partnerships with or acquisitions of our competitors. They may bring their robust customer relationships, channels and significant financial resources to help accelerate the market viability of one of our direct or indirect competitors.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Many of our competitors and potential competitors have products that are commercially available and/or in development. We expect some products currently in development to become commercially available in the next few years. Further, our products may not be competitive with other alternatives.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 base may change or expand as we continue to develop and commercialize software products in the future. Competitors may develop products that utilize advanced technology similar to ours (such as computer vision, AI and ML) in a more effective way, or new technologies or products that provide superior results to customers or are less expensive than our products. Our technologies and products could be rendered obsolete by such developments.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9" w:name="page40"/>
    <w:bookmarkEnd w:id="39"/>
    <w:p>
      <w:pPr>
        <w:jc w:val="both"/>
        <w:spacing w:after="0" w:line="256" w:lineRule="auto"/>
        <w:rPr>
          <w:sz w:val="20"/>
          <w:szCs w:val="20"/>
          <w:color w:val="auto"/>
        </w:rPr>
      </w:pPr>
      <w:r>
        <w:rPr>
          <w:rFonts w:ascii="Times New Roman" w:cs="Times New Roman" w:eastAsia="Times New Roman" w:hAnsi="Times New Roman"/>
          <w:sz w:val="18"/>
          <w:szCs w:val="18"/>
          <w:color w:val="auto"/>
        </w:rPr>
        <w:t>Our competitors may respond more quickly to new or emerging technologies, undertake more extensive marketing campaigns, have greater financial, marketing, manufacturing and other resources than we do, or may be more successful in attracting potential customers, employees and strategic partners. In addition, potential customers could have long-standing or contractual relationships with competitors. Potential customers may be reluctant to adopt our products, particularly if they compete with or have the potential to compete with, or diminish the need/utilization of products or technologies provided by any of our competitors with whom they may have an existing relationship. If we are not able to compete effectively, our business, prospects, financial condition and operating results will be adversely affected.</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addition, because we operate in new and evolving markets, the actions of our competitors could adversely affect our business. Adverse events such as product defects or legal claims with respect to competing or similar products could cause reputational harm to the AI/ML software or robotics markets as a whole and, accordingly,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enhance our product offerings through our research and development efforts.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expect to continue to advance and evolve our technology and products in response to the evolving demands of our customers in the various industries we expect to serve. Palladyne IQ and Palladyne Pilot are in the early stages of commercialization and we continue to undergo reliability testing, debugging, and other stabilizing improvements. We will incur significant additional product development efforts and expenses, and we may not be successful in commercializing or marketing our products at all or within our currently expected timelines or available resources. In addition, we continue to make iterative improvements to our products, as well as work to develop the next versions of our products. If we fail to adequately communicate to customers product improvements, or if customer feedback is not adequately reflected in our product improvements, customers may not be persuaded of the value of our products. If we fail to generate demand by developing products that incorporate features desired by customers, we may fail to generate revenue sufficient to achieve or maintain profitability. We have in the past experienced and may in the future experience delays in various phases of product development, including during research and development, release testing and marketing and customer education efforts. Further, delays in product development would postpone demonstrations and customer testing, which are important opportunities for customer engagement, and cause us to miss expected timelines. Such delays could cause customers to delay or forgo purchases of our products, or to purchase competitors' products. Even if we are able to successfully commercialize our products when and as anticipated, we may not produce sales in excess of the costs of development, and our products may be quickly rendered obsolete by changing customer preferences or the introduction by competitors of products embodying new technologies or features. If we are unable to successfully manage our product development and communications with customers, customers may choose to not adopt or purchase our products, which would adversely affect our business, prospects, financial condition and operating results.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and Growth</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Real or perceived design flaws, errors, defects, glitches, bugs or malfunctions (collectively,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flaws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in our AI/ML Foundational Technology and related products, failure of our software products to perform as expected, connectivity issues or user errors can result in lower than expected return on investment for customers, personal injury or property damage and significant security or safety concerns, each of which could materially and adversely affect our results of operations, financial condition or reputation.</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design, development and use of our AI/ML Foundational Technology and related products involve certain inherent risks. New software products generally suffer from flaws that are found, often as a result of customer use, and fixed over time. Real or perceived flaws in our products, connectivity issues, unanticipated or unintended use of our products, user errors or inadequate disclosure of risks relating to the use of our products, among others, can lead to injury, property damage or other adverse events. We have conducted, are conducting and plan to continue to conduct extensive testing of our software products, in some instances in collaboration with our customers, to ensure that any such issues can be identified and addressed. However, we may not be able to identify all such issues or, if identified, efforts to address them may not be effective in all cases, and our product testing may not be adequate. We plan to conduct investigations, where applicable, to identify the cause or causes of incidents and, when appropriate, implement changes to testing protocols or to the products to prevent such incidents from reoccurring. However, any implemented improvements may not fully prevent similar or other incidents in the future. Moreover, because of the size and weight of the third-party systems that may in the future use our AI/ML Foundational Technology and related products, and the nature and variability of the environments in which we expect this software to be used, adverse events relating to the use of our products could include significant injuries or even death. To the extent that flaws or connectivity issues are discovered during or after product development, we may experience delays in the development and/or sale of our products while the issues are resolved. For example, we continue our efforts to increase product reliability and stability and conduct ordinary course product testing and debugging, which may result in product development or commercialization delays. If any flaws and related issues that may arise cannot be adequately resolved, product sales may not occur and/or resume.</w:t>
      </w:r>
    </w:p>
    <w:p>
      <w:pPr>
        <w:spacing w:after="0" w:line="19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not be aware of flaws until injury to person or property has occurred. Such adverse events could lead to safety alerts relating to our software products (either voluntary or required by governmental authorities), and could result, in certain cases, in the removal of our products from the market. Flaws could also result in negative publicity, damage to our reputation or, in the event of regulatory developments, delays in new product approvals.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18"/>
          <w:szCs w:val="18"/>
          <w:color w:val="auto"/>
        </w:rPr>
        <w:t>Complex software may frequently experience errors, especially when first introduced. Our products are complex and may experience errors or performance problems in the future. A failure of any part of our AI/ML Foundational Technology or related products could result in property damage, serious injury or even death. We plan to implement bug fixes and upgrades as part of our regular software maintenance, which may lead to downtime. Even if we are able to implement bug fixes and upgrades in a timely manner, customers and operators also may fail to install updates and fixes to the software for several reasons, including poor connectivity or inattention. Any such occurrence could cause delay in market acceptance of our software products, damage to our reputation, increased service and warranty costs, product liability claims and loss of revenue.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anticipate that in the ordinary course of business we may be subject to product liability claims alleging flaws in the design of our products. A product liability claim, regardless of its merit or eventual outcome, could result in significant legal defense costs and high punitive damage payments, damage our reputation or require significant costs to redesign or fix our software or products. Although we maintain product liability insurance, the coverage is subject to deductibles and limitations, and may not be adequate to cover future claims.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our AI/ML Foundational Technology performs properly and our products are used as intended, if personal injuries occur while operating third-party products that use our AI/ML software, we could be exposed to liability and our results of operations, financial condition and reputation may be adversely affected.</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Third-party systems that may in the future use our AI/ML Foundational Technology will contain complex technology and must be used as designed and intended in order to operate safely and effectively. Even if our products are used as designed and intended, customers may not operate complex third-party systems that use our products safely and effectively. In addition, we cannot predict all the ways in which the proper use or misuse of our products can lead to injury or damage to property, and our training resources and safety systems may not be successful at preventing all incidents. If personal injury or damage to property were to occur while operating our products in a manner consistent with our training and instructions or otherwise, we could be exposed to liability and our results of operations, financial condition and reputation may be adversely affected.</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"open source" software, which could negatively affect our ability to offer our AI/ML Foundational Technology and related products and subject us to possible litigation.</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AI/ML Foundational Technology incorporates "open source" software provided by third parties. Open source software is generally freely accessible, usable and modifiable, and is made available to the general public on an "as-is" basis under the terms of a non-negotiable license. Use and distribution of open source software may entail greater risks than use of third-party commercial software or internally developed software. Open source licensors generally do not provide warranties or other contractual protections regarding infringement claims or other claims relating to violation of intellectual property rights or the quality of the software. In addition, certain open source licenses, like the GNU Affero General Public License, may require us to offer for no cost the components of our software that incorporate the open source software, to make available source code for modifications or derivative works we create by incorporating or using the open source software or to license our modifications or derivative works under the terms of the particular open source license. If we are required under the terms of an open source license to release our proprietary source code to the public, competitors could create similar products with lower development effort and time, which ultimately could result in a loss of sales for us.</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also face claims alleging noncompliance with open source license terms or infringement, misappropriation or other violation of open source technology. These claims could result in litigation or require us to purchase a costly license, devote additional research and development resources to re-engineer our software, discontinue the sale of our software products if re-engineering could not be accomplished on a timely or cost-effective basis, or make generally available our proprietary code in source code form, any of which would have a negative effect on our business and operating results, including being enjoined from the offering of the components of our software that contained the open source software. We could also be subject to lawsuits by parties claiming ownership of what we believe to be open source software. Litigation could be costly for us to defend, have a negative effect on our operating results and financial condition and require us to devote additional research and development resources to re-engineer our software.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monitor use of open source software and try to ensure that none is used in a manner that would subject our software to unintended conditions, few courts have interpreted open source licenses, and there is a risk that these licenses could be construed in a way that could impose unanticipated conditions or restrictions on our ability to commercialize our AI/ML Foundational Technology and related products. We cannot guarantee that we will incorporate open source software in our software in a manner that will not subject us to liability, or in a manner that is consistent with our current policies and procedures.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and prospects depend significantly on our ability to build our brand. We may not succeed in establishing, maintaining and strengthening an effective brand, and our brand and reputation could be harmed by negative publicity regarding us or our AI/ML Foundational Technology and related products.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and prospects are dependent on our ability to develop, maintain and strengthen our brand. If we do not continue to establish, maintain and strengthen our brand, we may lose the opportunity to build a critical mass of customers. We believe that our inability to successfully commercialize our legacy hardware products, and our resulting financial performance, damaged our prior brand. Promoting and positioning our brand will likely depend significantly on our ability to provide high quality software and engage with our customers as intended. To promote our brand, we may be required to change or expand our customer development and branding practices, including increased marketing activities, which could result in substantially increased expenses. If we do not develop and maintain a strong brand, our business, prospects, financial condition and operating results will be materially and adversely impacted.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if safety incidents occur or are perceived to have occurred, whether or not such incidents are our fault, we could be subject to adverse publicity or resistance by our customers. In particular, given the popularity of social media, any negative publicity, whether true or not, could quickly proliferate and harm perceptions and confidence in our brands. Furthermore, there is the risk of potential adverse publicity related to our partners whether or not such publicity is related to their collaboration with us. Our ability to successfully position our brand could also be adversely affected by perceptions about the quality of our competitors' products.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broad discretion in making strategic decisions to execute our growth plans, and our management's decisions have not always led to the desired result. Current and future decisions may not be successful in achieving our business objectives or may have unintended consequences that negatively impact our growth prospects.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team has broad discretion in making strategic decisions to execute our growth plans and may devote time and company resources to new or expanded product offerings, potential acquisitions or strategic alliances, prospective customers or other initiatives that do not necessarily improve our operating results or contribute to our growth. For example, in November 2023, we pivoted our business to focus on the development and commercialization of our AI/ML Foundational Technology and related products in lieu of legacy hardware products. However, this strategy may not prove to be effective and may change as our management continues to evaluate strategic transactions and alternatives. Our management must make these and other strategic and operational decisions in the context of limited financial and human resources. As a result, we have in the past, as in November 2023, and may in the future forgo opportunities we may have otherwise pursued given sufficient resources, some of which might have had greater likelihood of success. Any failure by management to make strategic decisions that are ultimately accretive to our growth may result in unfavorable returns and uncertainty about our prospects, each of which could cause the price of our Common Stock to decline and have a material adverse effect on our business, prospects, financial condition and results and ability to continue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business, we may not be able to develop, market and commercialize our software products successfully.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failure to manage our business effectively could materially and adversely affect our prospects, financial condition and operating results. As we work to grow our business, we may need to manage the following activities, among others:</w:t>
      </w:r>
    </w:p>
    <w:p>
      <w:pPr>
        <w:spacing w:after="0" w:line="162"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effective management, engineering and other teams;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recruiting individuals with the appropriate relevant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training new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our AI/ML Foundational Technology and related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forecasting revenue, managing expenses and implementing enterprise resource planning, or ERP, systems;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relationships with one or more third-party service providers or partners, including in relation to the commercialization of our AI/ML Foundational Technology and related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carrying out acquisitions and entering into collaborations, in-licensing arrangements, joint ventures, strategic alliances or partnerships;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and enhancing internal information technology, safety and security systems;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or expanding sales and customer service organizations;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demonstrations and customer trials of our software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enhancing administrative infrastructure, systems, controls and processes.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2" w:name="page43"/>
    <w:bookmarkEnd w:id="42"/>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the 2023 RIFs to decrease our costs and create a more streamlined organization to support our business, and to focus on our AI/ML Foundational Technology. However, these RIFs have placed and will continue to place additional strain on our existing personnel and other resources, and we could experience systemic operating difficulties in managing our business and implementing controls and other business processes, resource constraints in our product development and commercialization efforts or other limitations or difficulties that are difficult to predict at this time. Any additional attrition may lead to the loss of institutional knowledge and expertise, increased difficulties in our day-to-day operations, pressure on our controls and processes and reduced employee morale. Moreover, we may not be able to monetize all of the assets unrelated to our current business strategy.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associated with our operations in order to achieve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require significant capital to develop and grow our business, including successfully commercializing our AI/ML Foundational Technology and related products, establishing or expanding our design, research and development, sales and maintenance and service capabilities and building our brands. We have incurred and expect to continue incurring significant expenses which will impact our profitability, including research and development expenses, sales and marketing expenses as we build our brand and market our software products and general and administrative expenses. Although the 2023 RIFs and other cost-saving measures have significantly reduced expenses, and recent financing activities have increased our financial resources, it may be difficult to reduce expenses further or maintain current levels while pursuing our business objectives. Some of the factors that may lead to cost increases or difficulty further reducing cost are outside of our control, such as national or global geopolitical and economic conditions, including tariffs, inflation and interest rates. In addition, we may incur significant costs upgrading or fixing flaws in our products. Our ability to continue our operations in the long term and potentially become profitable in the future will not only depend on our ability to commercialize our products to meet customer needs and identify and investigate new areas of demand, but also on our ability to license our products at prices needed to achieve sufficient revenues and margins to cover our cash outlay, including the risks and costs associated with any warranty obligations. If we are unable to efficiently develop, market, deploy, distribute and service our software products in a cost-effective manner, our operating results, financial condition and prospects would be materially and adversely affected and we may not achieve profitability.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substantial research and development costs and devote significant resources to developing and commercializing our AI/ML Foundational Technology and related products, and we may never reach profitability and/or achieve significant or any licensing revenue.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future growth depends on penetrating new markets, adapting our AI/ML Foundational Technology and products to new applications and customer requirements and introducing new features and functionality that achieve market acceptance. We expect to incur substantial, and potentially increasing, research, development, sales and marketing costs as part of our efforts to develop, enhance and commercialize our AI/ML Foundational Technology and related products. Our research and development program may not produce successful results or be sufficient to adapt to new or changing technologies (such as AI), and our products may not achieve market acceptance, create meaningful or any revenue or become profitable.</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products related to our AI/ML Foundational Technology require certain limited hardware components, and we are dependent on our suppliers, some of which are currently single, sole or limited source suppliers. Any inability of these suppliers to deliver necessary components of our products at prices, volumes, performance, timing and specifications acceptable to us could have a material adverse effect on our business, prospects, financial condition and operating results.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 limited set of suppliers for the minimal hardware components that are required for use of our Palladyne IQ product. As of September 30, 2025, most of our key suppliers are based in the United States. In some cases, we have sole source (where the component is only available from a single vendor, often as a result of customization for our use) or single source (where we purchase from a single vendor but there are alternative sources of the component) suppliers. We seek to minimize our dependence on sole or single source suppliers in order to reduce risk in our supply chain, including the risk of losing a sole or single source supplier due to bankruptcy, discontinuing production of the particular component or some other reason. However, some of the components used in our products may have to be purchased by us from a single source and some may only be available from a sole source. If our third-party suppliers are unable or unwilling to supply key components and materials in the required volumes, at the needed times or at acceptable prices, our sales, revenue and profitability will likely be adversely affected and we may not be able to meet our obligations to customers. Our third-party suppliers may also not be able to meet the specifications and performance characteristics required by us, which would impact our ability to achieve our product specifications and performance characteristics as well. Additionally, our third-party suppliers may be unable to obtain required certifications or provide warranties for their products that are necessary for our products. If we are unable to obtain components and materials used in our products from our suppliers, our business would be adversely affected.</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less negotiating leverage with suppliers than larger and more established companies and may not be able to obtain favorable pricing and other terms. For example, agreements with suppliers may include terms that are unfavorable to us, such as requirements that we order components and manufacture systems and solutions in excess of our demand due to minimum order quantity requirements or minimum price thresholds. While we believe that we may be able to establish alternate supply relationships and can obtain or engineer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replacement components for our single source components, we may be unable to do so in time to support our production needs, or at all, or at prices or quality levels that are favorable to us. Further, we may not be able to develop satisfactory alternatives to sole-sourced components. Any inability to find satisfactory alternatives to our single- and sole-sourced component suppliers, whether due to bankruptcy of the supplier, a decision to discontinue manufacturing the component or for any other reason, could affect our costs and component availability and have a material adverse effect on our business, prospects, financial condition and operating results.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fluctuations or shortages in raw materials or components and other economic conditions, including due to tariffs, may cause us to experience significant increases in freight charges and material costs. Substantial increases in the prices for our materials would increase our operating costs and could reduce our margins if the increased costs cannot be recouped through increased sales prices.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related to wars, natural disasters, health epidemics and other calamities and supply chain disruption, any of which could significantly disrupt our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facilities or operations, or any potential third-party suppliers, partners, or service providers could be adversely affected by events outside of our or their control, such as natural disasters, wars, health epidemics, macro-economic conditions and other calamities and force majeure events. This may also include supply chain disruptions, inflation and high interest rates as a result of changes in U.S. trade policy, including tariffs and geopolitical events such as the current wars and conflicts between Russia and Ukraine and in the Middle East, and responses thereto. The effects of the foregoing are unknown and may have the effect of diminishing customer willingness to enter into transactions with us.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backup system does not capture data on a real-time basis and we may be unable to recover certain data in the event of a server failure. Our backup system may not be adequate to protect us from the effects of fire, floods, typhoons, earthquakes, power loss, telecommunications failures, break-ins, war, riots, terrorist attacks, cybersecurity incidents or similar events. Any of the foregoing events may give rise to interruptions, breakdowns, system failures, technology platform failures or internet failures, which could cause the loss or corruption of data or the malfunction of software or hardware, which could significantly disrupt our operations. Additionally, depending upon any potential health pandemics, epidemics or outbreaks that may emerge, our potential customers and partners may suspend or delay their engagement with us or take other actions or experience their own negative impacts, any of which could result in a material adverse effect on our financial condition and ability to meet current timelines. The COVID-19 pandemic adversely affected our ability to recruit skilled employees to join our team, conduct research and development activities and engage with development customers, and it or other similar events could do so again and may impede our product development timelines.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Events impacting our supply chain could be caused by factors beyond the control of our suppliers or us, including labor actions, increased demand, problems in production or distribution and/or disruptions in third-party logistics, information technology or transportation systems. Some of our key suppliers are relatively small companies that could be especially susceptible to these risks. In addition, global events in recent years have resulted in widespread global supply chain disruptions to vendors including critical supply chain shortages, labor shortages, significant material cost inflation and extended lead times for items that are required for our operations. Any such interruptions to our supply chain could increase our costs and could limit the availability of products critical to our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plans require a significant amount of capital. We may sell additional equity or debt securities to meet capital needs or as we may otherwise determine to be advisable that may dilute our stockholders or introduce covenants that may restrict our operations or our ability to pay dividends. If we require additional capital and are not able to secure new funding, we may not be able to continue our business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believe we have sufficient capital to fund our business for at least the next 12 months, we may seek additional financing during that time to bolster our cash reserves and ensure our ability to continue to pursue our business objectives. Our current business plans may require us, or we may deem it advisable, to secure additional financing prior to achieving positive operating cash flows, and we do not anticipate achieving positive operating cash flows in the near term. As a result, we intend to continue monitoring our liquidity, financial and business results and outlook and market conditions, and may be opportunistic and raise capital when we consider market conditions are good or a favorable opportunity exists to bolster our cash reserves, reduce our financial risk, help finance research and development costs and pursue business objectives, including the potential acquisition of businesses, services or technologies. Any delays in the successful commercialization and sales of our products will negatively impact our ability to generate revenue, our profitability and our overall operating performance and result in the need to raise additional capital sooner than expected. For further information on our financing activities,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generate positive operating cash flows, we may need to raise significant amounts of additional capital to fund our business thereafter, including to finance ongoing research and development costs, any significant unplanned or accelerated expenses and new</w:t>
      </w: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jc w:val="both"/>
        <w:spacing w:after="0" w:line="254" w:lineRule="auto"/>
        <w:rPr>
          <w:sz w:val="20"/>
          <w:szCs w:val="20"/>
          <w:color w:val="auto"/>
        </w:rPr>
      </w:pPr>
      <w:r>
        <w:rPr>
          <w:rFonts w:ascii="Times New Roman" w:cs="Times New Roman" w:eastAsia="Times New Roman" w:hAnsi="Times New Roman"/>
          <w:sz w:val="18"/>
          <w:szCs w:val="18"/>
          <w:color w:val="auto"/>
        </w:rPr>
        <w:t>strategic alliances or acquisitions. The fact that we have limited experience commercializing our software products, coupled with our belief that our AI/ML Foundational Technology represents a significant technology advancement, means we have limited to no historical data on the demand for our software products. In addition, we expect our expenses to continue to be significant in the foreseeable future as we continue development activities and bring our products to market, and that our level of cash usage will be significantly affected by customer demand for our products. As a result, our future capital requirements are uncertain and actual capital requirements may be different from those we currently anticipate. We may need to seek equity or debt financing to finance our expenses and capital expenditures, and such financing might not be available to us in a timely manner or on terms that are acceptable, or at all. Even if available, the sale of additional equity or equity-linked securities could dilute our stockholders, and the incurrence of indebtedness would result in debt service obligations and could result in operating and financing covenants that would restrict our operations.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 financing may not be available to us when we need it or it may not be available on favorable terms. Our ability to obtain any necessary financing to carry out our business plan is subject to a number of factors, including general market conditions and investor acceptance of our business model. Current capital market conditions, including the impact of inflation, have increased borrowing rates and can be expected to significantly increase our cost of capital as compared to prior periods should we seek additional funding. Moreover, capital markets domestically and abroad are undergoing a period of significant volatility and uncertainty, and such financing alternatives may not be available to us in the future on favorable terms or at all should we determine it necessary or advisable to seek additional capital.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buying or selling assets, making capital expenditures or declaring dividends.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factors may make the timing, amount, terms and conditions of such financing unattractive or unavailable to us. If we are unable to raise sufficient funds if and when needed, we will have to significantly reduce our spending, delay or cancel our planned activities or substantially change our corporate structure or potentially cease operations and liquidate. We might not be able to obtain any funding, and might not have sufficient resources to conduct our business as projected or at all, either of which could mean that we would be forced to curtail or discontinue our operations.</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If we cannot raise additional funds when we need or want them, our operations, prospects and financial condition would be materially and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vary significantly from period to period due to fluctuations in our operating costs, revenues, product demand and other factors.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our period-to-period financial results to vary based on our operating costs and product demand, which we anticipate will fluctuate as the pace at which we continue to develop and release products. Additionally, as we commercialize our AI/ML Foundational Technology and related products and/or enter into or complete government or development contracts, we expect our revenue from period to period to fluctuate, including as we introduce new products, features or functionality or introduce our AI/ML Foundational Technology and related products to new markets for the first time. As a result of these factors, we believe that quarter-to-quarter comparisons of our operating results, especially in the near term, are not necessarily meaningful and that these comparisons cannot be relied upon as indicators of future performance. Moreover, our operating results may not meet expectations of equity research analysts, ratings agencies or investors, who may be particularly focused on quarterly financial results. If any of this occurs, the trading price of our securities could fall substantially, either suddenly or over time, and/or experience significant volatility.</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highly dependent on the services of our senior management and other key employees and, if we are unable to attract, integrate and retain a sufficient number of qualified employees, our ability to develop and commercialize our AI/ML Foundational Technology and related products, operate our business and compete could be harmed.</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depends, in part, on our ability to retain our key personnel. The unexpected loss of or failure to retain one or more of our senior managers or other key employees could delay product development and require outsourcing to third parties, each of which in turn could adversely affect our business. For example, we are highly dependent on the services of our AI/ML Foundational Technology leadership team, in particular our Chief Technology Officer, Dr. Denis Garagic. Dr. Garagic has a significant influence on our AI/ML Foundational Technology development efforts and our business plan. Benjamin G. Wolff rejoined our executive team as President and Chief Executive Officer in February 2024 following the pivot in our business to focus on the development of our AI/ML Foundational Technology. If key members of our senior management were to discontinue service due to death, disability or any other reason, we may be significantly disadvantaged and their departure or the departure of other key contributors to our software and technology development efforts could result in delays in product development or commercialization, or potentially an inability to successfully commercialize our AI/ML Foundational Technology and related products at all, which would materially and adversely harm our business, results of operations and financial condition. Further, we may have difficulty finding, or be unable to find, qualified successors to any such persons should they depart the Company. If we are unable to successfully continue development and commercialization of our AI/ML</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Foundational Technology and related products in a timely manner, whether due to the departure of any such persons or otherwise, we may not have sufficient time or resources to pursue alternative plans or opportunities and may need to cease operations. We do not maintain key-person insurance for any of our senior management. For these reasons, we may incur significant costs to retain our senior management team and key personnel.</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experienced and may continue to experience changes in our senior management team. For example, in connection with Mr. Wolff's return to our executive team as President and Chief Executive Officer in February 2024, there have been changes to our operations and there may be additional changes in the future. If we do not successfully implement and adapt to these changes they may not lead to the desired improvement in our business and results of operation. This in turn, could have a material adverse effect on our business. Any inability to successfully manage these changes could be viewed negatively by our customers, employees, investors and other third-party partners, and could have an adverse impact on our business and results of operations.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success also depends, in part, on our ability to identify, hire, attract, train and develop other highly qualified personnel as needed, specifically AI/ML software engineers. Because of the innovative and advanced nature of our technology, individuals with the necessary experience have not been, and likely will continue not to be, readily available to hire, and as a result, we may need to expend significant time and expense to recruit and retain experienced employees and appropriately train any newly hired employees. Integrating new employees can also cause disruptions to processes, projects, culture, priorities and our company as a whole. We face intense competition for experienced and highly skilled employees, specifically AI/ML software engineers, from numerous other companies, including other software and technology companies, many of whom have greater financial and other resources than we do, and our ability to hire, attract and retain them depends on our ability to provide competitive compensation. We may not be able to attract, assimilate, develop or retain qualified personnel in the future, and our failure to do so could adversely affect our business, including the execution of our strategy. Our 2023 RIFs and concerns about our financial condition may also cause us to experience increased difficulty attracting and retaining highly qualified personnel. We may incur significant costs to attract and retain qualified personnel, including significant expenditures related to salaries and benefits and compensation expenses related to equity awards, and we may lose new employees to competitors or other companies before we realize the benefit of our investment in recruiting and training them. Moreover, new employees may not be or become as productive as we expect, or may not fit culturally, and long-term employees may not embrace new leaders, priorities, methods, processes or other changes and may decide to leave or not perform as well as they did in the past, as we may face challenges in adequately or appropriately integrating them into our workforce and culture.</w:t>
      </w:r>
    </w:p>
    <w:p>
      <w:pPr>
        <w:spacing w:after="0" w:line="197"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headquarters are in Salt Lake City, Utah, which has fewer highly skilled employees in the AI/ML software and robotics fields than some other major metropolitan areas. To attract and retain key personnel, we may need to open offices in other areas of the country, which could increase costs and reduce productivity. Any failure by our management team and our employees to perform as expected may have a material adverse effect on our ability to design and launch our software products or to operate our business and compete, as well as on our business, prospects, financial condition and operating results.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expenses and administrative burdens as a publicly-traded company, which could have a material adverse effect on our business, prospects, financial condition and operating results.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publicly-traded company, we are incurring legal, accounting and other expenses that we previously did not have, and these expenses may increase as we continue to implement and strengthen controls, processes and systems and employ related personnel and after we are no longer an emerging growth company, as defined in Section 2(a) of the Securities Act. We are subject to reporting and other requirements of the Exchange Act, the Sarbanes-Oxley Act and the Dodd-Frank Wall Street Reform and Consumer Protection Act, as well as rules adopted by the SEC and the Nasdaq Stock Market LLC. Our management and other personnel devote a substantial amount of time to these compliance initiatives. We may need to hire additional employees to support our operations as a public company, which will increase our operating costs in future periods. Moreover, these rules and regulations have substantially increased our legal and financial compliance costs and make some activities more time-consuming and costly. These increased costs have increased our net loss. For example, it has been more expensive for us to obtain appropriate director and officer liability insurance coverage than we incurred as a private company. We cannot accurately predict or estimate the amount or timing of all the additional costs we may incur. Being a public company could also make it more difficult for us to attract and retain qualified persons to serve on our board of directors, our board committees or as executive officers. Such increased expenses and administrative burdens involved in operating as a public company consume significant financial resources and any increases could have a material adverse effect on our business, financial condition and operating results.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strengthen effective systems of disclosure controls and procedures and internal control over financial reporting, our ability to produce timely and accurate financial statements or comply with applicable regulations could be adversely affected.</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expect that the requirements of the Exchange Act, the Sarbanes-Oxley Act and the rules and regulations of Nasdaq will continue to result in significant legal, accounting and financial compliance costs, make some activities more difficult, time-consuming and costly, and place significant strain on personnel, systems and resources.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6" w:name="page47"/>
    <w:bookmarkEnd w:id="46"/>
    <w:p>
      <w:pPr>
        <w:jc w:val="both"/>
        <w:spacing w:after="0" w:line="25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in a timely manner. The development and implementation of the processes and controls necessary for us to achieve the level of accounting standards required of a public company have increased and may continue to increase our legal and compliance costs, and such costs may be greater than expected.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previously identified material weaknesses in our internal control over financial reporting, and undertook remediation efforts to address the identified deficiencies and concluded that each material weakness was remediated. Our current controls and any new controls that we develop may be inadequate because of changes in conditions of our business or otherwise. Any failure to develop or maintain effective controls, or any difficulties encountered in their implementation or improvement, could adversely affect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to the extent we are required to include such evaluations and reports in our periodic reports that we file with the SEC under Section 404 of the Sarbanes-Oxley Act. Ineffective disclosure controls and procedures and internal control over financial reporting could also cause investors to lose confidence in our reported financial and other information.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expect to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operating costs and could materially and adversely affect our ability to operate our business. If our internal controls are or are perceived to be inadequate or if we are or are perceived to be unable to produce timely or accurate financial statements, investors may lose confidence in our operating results and the trading price of our securities could decline. In addition, if our financial statements are not filed on a timely basis, we could be subject to sanctions, enforcement actions or investigations by Nasdaq, the SEC or other regulatory authorities or to private litigation. As a result, any failure to maintain effective internal control over financial reporting could result in a material adverse effect on our business and the price of our Common Stock.</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is not currently required to formally attest to the effectiveness of our internal control over financial reporting under Section 404(b) of the Sarbanes-Oxley Act. Should we become subject to Section 404(b), our independent registered public accounting firm may issue a report that is adverse if it is not satisfied with the level at which our controls are documented, designed or operating. Any failure to maintain effective disclosure controls and procedures and internal control over financial reporting could have a material and adverse effect on our business, prospects,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other tax attributes may be limited.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incurred operating losses during our history and do not expect to become profitable in the near future, and we may never achieve profitability. To the extent that we continue to generate tax losses, unused losses will carry forward to offset future taxable income, if any, until such unused losses expire.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current law, U.S. federal net operating loss carryforwards generated in taxable periods beginning after December 31, 2017, may be carried forward indefinitely, but the deductibility of such net operating loss carryforwards is limited to 80% of taxable income. Additional or different limitations may apply under state law. Suspensions or other restrictions on the use of net operating losses or tax credits, possibly with retroactive effect, may result in our existing net operating losses or tax credits expiring or otherwise being unavailable to offset future income tax liabilities.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our net operating loss carryforwards are subject to review and possible adjustment by the Internal Revenue Service and state tax authorities. Under Sections 382 and 383 of the Internal Revenue Code of 1986, as amended (the "Code"), these U.S. federal net operating loss carryforwards and other tax attributes may become subject to an annual limitation in the event of certain cumulative changes in the ownership of our company. An "ownership change" pursuant to Section 382 of the Code generally occurs if one or more stockholders or groups of stockholders who own at least 5% of a company's stock increase their ownership by more than 50 percentage points over their lowest ownership percentage within a rolling three-year period. Our ability to utilize net operating loss carryforwards and other tax attributes to offset future taxable income or tax liabilities may be limited as a result of ownership changes. Similar rules may apply under state tax laws. If we earn taxable income, such limitations could result in increased future income tax liability to us and our future cash flows could be adversely affected. We have recorded a full valuation allowance related to our net operating loss carryforwards and other deferred tax assets due to the uncertainty of the ultimate realization of the future benefits of those assets.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 subject to risks associated with strategic relationships, acquisitions or transactions and may not identify or form desired strategic relationships in the future.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seek strategic alliances, joint ventures, minority equity investments, acquisitions, collaborations and in-license arrangements with third parties. Some of our third-party relationships are not governed by formal agreements and this may also be true for future relationships. These partnerships, relationships or arrangements may not lead to binding agreements, lasting or successful business relationships or any other anticipated benefits. If any of these relationships are established, they may subject us to a number of risks, including risks associated with sharing proprietary information, non-performance or significant delays in performance by the third-party and increased expenses in establishing new relationships, any of which could materially and adversely affect our business. We may have limited ability to monitor or control the actions of these third parties and, to the extent any of these strategic partners suffers negative publicity or harm to their reputation from events relating to their business, we may also suffer negative publicity or harm to our reputation by virtue of our association with any such third-party.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strategic business relationships will be an important factor in the growth and success of our business. However, we may not be able to identify or secure suitable business relationship opportunities in the future or our competitors may capitalize on such opportunities before we do. Moreover, identifying such opportunities could require substantial management time and resources, and negotiating and financing relationships involves significant costs and uncertainties. If we are unable to successfully source and execute on strategic relationship opportunities in the future, our overall growth could be impaired, and our business, prospects, financial condition and operating results could be materially adversely affected.</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When appropriate opportunities arise, we have in the past, and may in the future acquire additional assets, products, technologies or businesses. The sellers of these assets, products and technologies or businesses may retain certain rights to the technology that they sell to us, which in some circumstances could allow the sellers to compete with us. In addition to possible stockholder approval, we may need approvals and licenses from relevant government authorities for acquisitions and to comply with any applicable laws and regulations, which could result in delays and costs, and may disrupt our business strategy if we fail to do so. Furthermore, acquisitions and the subsequent integration of new assets and businesses into our own require significant attention from our management and could result in a diversion of resources from our existing business, which in turn could have an adverse effect on our operations and financial results. Acquired assets or businesses may not generate the financial results we expect, and we will become subject to risks associated with any acquired business.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all of which could adversely affect our financial position. For example, we have previously experienced an impairment of all of the goodwill associated with an acquisition we completed in 2022. In connection with acquisitions, we may enter into post-closing financial arrangements such as purchase price adjustments, earn-out obligations, and indemnification obligations, which may have unpredictable financial results. Moreover, the costs of identifying and consummating acquisitions may be significant and we could experience difficulty in integrating personnel, operations, and financial and other controls and systems and retaining key employees and customers.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Claims and Regulatory Compliance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AI/ML, combined with an uncertain regulatory environment, may result in reputational harm, liability or other adverse consequences to our business operations.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AI/ML technologies are complex and rapidly evolving, and we face significant competition from other companies as well as an evolving regulatory landscape. The introduction of AI/ML technologies into new or existing products may result in new or enhanced governmental or regulatory scrutiny, litigation, confidentiality or security risks, technical or operational risks, safety risks, ethical concerns or other complications that could adversely affect our business, reputation or financial results or limit the functionality of our software or our ability to sell our software products. Governmental bodies have implemented laws and are considering further regulation of AI/ML technologies that could negatively impact our ability to use and develop software products incorporating these technologies.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example, on March 13, 2024, the European Parliament adopted the European Union's Artificial Intelligence Act (the "AI Act"). The AI Act, which is scheduled to become effective over time through August 2, 2026, proposes a framework of prohibitions and disclosure, transparency and other regulatory obligations based on various levels of risk for businesses introducing AI systems in the EU. Once the AI Act becomes effective, certain provisions could require us to alter or restrict our use of AI, depending on respective levels of risk-categorization, types of systems, and manner of use, under the AI Act. The AI Act also may require us to comply with monitoring and reporting requirements. Noncompliance with the AI Act could result in fines of up to €35 million or 7% of annual global turnover for the previous year, whichever is higher. In addition, in October 2023 the Biden administration issued an executive order to, among other things, establish extensive new standards for AI safety and security, which was revoked by President Trump in January 2025. Other jurisdictions may adopt similar or more restrictive legislation that may render the use of such technologies challenging. Numerous other laws and bills have been enacted or proposed at the U.S. federal and state level, as well as internationally, aimed at regulating the development, deployment or provision of AI systems and services.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Our efforts to comply with the AI Act and other legislation or regulations, whether now in effect or as may be proposed or enacted in the future, relating to AI/ML technologies may be difficult, onerous and costly, and could adversely affect our business, reputation, financial condition, results of operations and growth prospects. We may need to devote substantial time and resources to evaluate our obligations under the AI Act and other legislation and regulations and to develop and execute a plan designed to ensure compliance. Further, the intellectual property ownership and license rights, including copyright, surrounding AI/ML technologies have not been fully addressed by U.S. courts or other federal or state laws or regulations, and the use or adoption by our customers of third-party AI/ML technologies into robotic products and services may result in exposure to claims of copyright infringement or other intellectual property misappropriation or infringement.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AI/ML technologies, may require additional investment in the development and maintenance of proprietary datasets and ML models, development of new approaches and processes to provide attribution or remuneration to creators of training data, and development of appropriate protections and safeguards for handling the use of data with AI technologies, which may be costly and could impact our expenses as we utilize AI/ML technologies within our products. The use of AI/ML technologies presents emerging ethical and social issues, and if we enable or offer solutions that draw scrutiny or controversy due to their perceived or actual impact on customers or on society as a whole, we may experience brand or reputational harm, competitive harm and/or legal liability. These challenges may make it harder for us to conduct our business using AI, and may lead to regulatory fines or penalties, require us to change our product offerings or business practices, or prevent or limit our use of AI. If we cannot use AI, or that use is restricted, our business may be less efficient, or we may be at a competitive disadvantage. Any of these factors could adversely affect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have a material adverse effect on our business, cash flows, results of operations or financial condition.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the tax laws, regulations, and policies of several taxing jurisdictions. Changes in tax laws, as well as other factors, could cause us to experience fluctuations in our tax obligations and effective tax rates or otherwise adversely affect our tax positions and/or our tax liabilities. For example, on July 4, 2025, the United States enacted tax legislation commonly referred to as the One Big Beautiful Bill Act (the “OBBB Act”). In addition, Organisation for Economic Co-operation and Development has introduced a global minimum tax initiative, which is in various stages of adoption. On June 28, 2025, the G7 released a joint statement announcing an understanding regarding a proposed "side-by-side" solution that would exempt U.S.-parented multinational businesses from certain provisions of the global tax initiative; however, no agreement regarding implementation of the proposal has yet been reached. Any new tax laws or changes to existing tax laws could adversely affect our effective tax rate, operating results, tax credits or incentives or tax payments, or require our potential customers to pay additional taxes, which could have a material adverse effect on our business, cash flows, results of operations or financial condition.</w:t>
      </w:r>
    </w:p>
    <w:p>
      <w:pPr>
        <w:spacing w:after="0" w:line="4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new or changing governmental regulations relating to the development, marketing, licensing, distribution or use of our AI/ML Foundational Technology and related products or to the providing of customer service, and a failure to comply with such regulations could lead to delays in launching our software products and/or withdrawal of our software products from the market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delay our projected revenues, increase costs and/or make our business unviable if we are unable to modify our software to comply.</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we develop and commercialize our AI/ML Foundational Technology and related products, we may become subject to a variety of existing or new laws and regulations in the United States and international jurisdictions, such as the AI Act, including in the areas of privacy, security, safety, competition, consumer protection development, marketing, licensing, distribution and the development and use of AI and ML. Such laws and regulations may also cover employment, taxation, privacy, data security, data protection, pricing, content, copyrights and other intellectual property, mobile communications, electronic contracts and other communications, the design and operation of websites, and the characteristics and quality of software and services, which may delay or impede the development and commercialization of our AI/ML Foundational Technology and related products or require us to pause sales and modify our software products, which could result in a material adverse effect on our revenue and financial condition, especially if implemented on a large scale or in a key market. Such laws and regulations can also give rise to liability, such as fines and penalties or for property damage, bodily injury and cleanup costs. Capital and operating expenses needed to comply with laws and regulations can be significant, and violations may result in substantial fines and penalties, third-party damages, suspension of production or a cessation of our operations. Any failure to comply with such laws or regulations could lead to withdrawal of our software products from the market.</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lawsuits, arbitration proceedings, government investigations and other legal, regulatory and administrative proceedings and face potential liability and expenses related thereto, which could have a material adverse effect on our business, operating results and financial condition.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may be subject to claims, lawsuits, arbitration proceedings, government investigations and other legal, regulatory and administrative proceedings. In addition, we may be subject to the heightened scrutiny that is sometimes directed toward companies taken public via a</w:t>
      </w: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spacing w:after="0" w:line="256" w:lineRule="auto"/>
        <w:rPr>
          <w:sz w:val="20"/>
          <w:szCs w:val="20"/>
          <w:color w:val="auto"/>
        </w:rPr>
      </w:pPr>
      <w:r>
        <w:rPr>
          <w:rFonts w:ascii="Times New Roman" w:cs="Times New Roman" w:eastAsia="Times New Roman" w:hAnsi="Times New Roman"/>
          <w:sz w:val="18"/>
          <w:szCs w:val="18"/>
          <w:color w:val="auto"/>
        </w:rPr>
        <w:t>business combination with a special purpose acquisition company. The outcome of any such claims, investigations or proceedings cannot be predicted with any degree of certainty. In the ordinary course of business, we have been and may in the future be the subject of various legal claims. Any such claims, investigations or proceedings against us, whether meritorious or not, could be time-consuming, result in costly litigation, be harmful to our reputation, require significant management attention and divert significant resources, and the resolution of any such claims, investigations or proceedings could result in substantial damages, settlement costs, fines or penalties that could adversely affect our business, financial condition or operating results or result in harm to our reputation and brand, sanctions, consent decrees, injunctions or other remedies requiring a change in our business practices.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under certain circumstances we have or may take on contractual or other legal obligations to indemnify and to incur legal expenses on behalf of investors, directors, officers, employees, customers, vendors or other third-parties. For example, our Amended and Restated Bylaws (the "Bylaws") provide that we will indemnify our directors and officers, and may indemnify our employees, agents and other persons, to the fullest extent permitted by the Delaware General Corporation Law. We have also entered into indemnification agreements with directors and officers that require us, among other things, to indemnify them against claims that may arise due to their service in those capacities. These indemnification agreements also require us to advance expenses reasonably and actually incurred by them in investigating or defending any such claims, and it may be difficult or impossible to recover any advanced expenses if it turns out the person was not entitled to indemnification. If we are required or agree to defend or indemnify, or advance expenses to, any of our investors, directors, officers, employees, customers, vendors or other third-parties, we could incur material costs and expenses that could adversely affect our business, results of operations or financial condition.</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policies and contractual obligations related to data privacy and security, and our actual or perceived failure to comply with such obligations could harm our reputation, subject us to significant fines and liability or otherwise adversely affect our business, prospects, financial condition and operating results.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or affected by a number of national, state and local laws and regulations, as well as contractual obligations and industry standards, that impose certain obligations and restrictions with respect to data privacy and security, and govern our collection, storage, retention, protection, use, processing, transmission, sharing and disclosure of personal information, including that of our employees, customers and others. Many jurisdictions have enacted laws requiring companies to notify individuals, regulatory authorities and others of security breaches involving certain types of data. Such laws may be inconsistent or may change or additional laws may be adopted. In addition, our agreements with certain customers may require us to notify them in the event of a security breach or incident. Such mandatory disclosures are costly and could lead to negative publicity, penalties, fines, litigation and other proceedings or cause our customers to lose confidence in the effectiveness of our security measures and require us to expend significant capital and other resources to respond to and/or alleviate problems caused by the actual or perceived security breach or incident.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are subject to the Department of War's ("DoW") cybersecurity requirements, including compliance with the recently updated Cybersecurity Maturity Model Certification ("CMMC") program requirements, under which we received Level 2 certification on April 10, 2025. Depending on certain factors, including the awarding DoW agency and type of contract, we may be required to obtain and affirm specific third-party cybersecurity certifications to be deemed eligible for award. Failure to comply with these requirements could restrict our ability to compete for, be awarded and/or perform on DoW contracts. To the extent we, or our subcontractors or other third parties on whom we rely, are unable to achieve certification in advance of contract awards that specify the requirement, we may be deemed ineligible for awards or follow-on awards for existing work with the DoW, which could materially and adversely affect our results of operations, financial condition, business and prospects. We will also be required to go through a recertification process periodically, which may increase our costs of compliance relating to such certification, may increase risk exposure based on frequency of recertification affirmations and may cause operational delays. In addition, obligations that may be imposed on us under the CMMC program may be different from or in addition to those otherwise required by applicable laws and regulations, which may cause additional expense for compliance.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implementation standards and enforcement practices are likely to remain uncertain for the foreseeable future. We may not be able to monitor and react to all developments in a timely manner. For example, California adopted the California Consumer Privacy Act ("CCPA"), which became effective in January 2020. The CCPA established a privacy framework for covered businesses, including an expansive definition of personal information and data privacy rights for California residents. The CCPA includes a framework with potentially severe statutory damages and private rights of action. The CCPA was modified and supplemented by the California Privacy Rights Act ("CPRA"), which went into effect on January 1, 2023. Numerous other states have proposed, and in many cases have enacted, laws addressing privacy and cybersecurity. These laws in many cases are comprehensive privacy statutes similar to the CCPA and CPRA. Additionally, some states have proposed, and in certain cases enacted, laws addressing specific matters such as biometrics or health-related personal information. The U.S. federal government also is contemplating federal privacy legislation. As we expand our operations, the CCPA, CPRA, and other laws and regulations relating to privacy and data security may increase our compliance costs and potential liability. Compliance with any applicable privacy and data security laws and regulations is a rigorous and time-intensive process, and we may be required to put in place additional mechanisms to comply with such laws and regulations.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0" w:name="page51"/>
    <w:bookmarkEnd w:id="50"/>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our international presence expands, we may become subject to or face increasing obligations under laws and regulations in countries outside the United States, many of which, such as the European Union's General Data Protection Regulation ("GDPR") and national laws supplementing the GDPR, as well as legislation substantially implementing the GDPR in the United Kingdom, which generally are more stringent than those currently enforced in the United States. The GDPR requires companies to meet stringent requirements regarding the handling of personal data of individuals located in the European Economic Area. The GDPR also includes significant penalties for noncompliance, which may result in monetary penalties of up to the higher of €20 million or 4% of a group's worldwide turnover for the preceding financial year for the most serious violations. The United Kingdom's data protection regime also provides for substantial penalties that, for the most serious violations, can go up to the greater of £17.5 million or 4% of a group's worldwide turnover for the preceding financial year. Many other jurisdictions globally are considering or have enacted legislation providing for local storage of data or otherwise imposing privacy, data protection and data security obligations in connection with the collection, use and other processing of personal data. As a general matter, compliance with laws, regulations, contractual obligations, industry standards, and any rules or guidance from self-regulatory organizations relating to privacy, data protection, and data security that apply, or are asserted to apply, to our operations may result in substantial costs and may necessitate changes to our business practices, which may compromise our growth strategy, adversely affect our ability to acquire customers, and otherwise adversely affect our business, prospects, results of operations, and financial condition.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publish privacy policies and other documentation regarding our collection, processing, use and disclosure of personal information and/or other confidential information. Although we endeavor to comply with our published policies and other documentation, we may at times fail to do so or may be perceived to have failed to comply with such policies and other actual or asserted legal or contractual obligations relating to privacy, data protection or data security. Moreover, despite our efforts, we may not be successful in achieving or maintaining compliance, including if our employees, contractors, service providers or vendors fail to comply with our published policies and documentation. Such failures can subject us to potential action by governmental or regulatory authorities if they are found to be deceptive, unfair, or misrepresentative of our actual practices. Any actual or perceived inability to adequately address privacy and security concerns or comply with applicable laws, rules and regulations relating to privacy, data protection or data security, or applicable privacy notices, could lead to investigations, claims and proceedings by governmental entities and private parties, damages for contract breach and other significant costs, penalties or liabilities. Any such claims or other proceedings could be expensive and time-consuming to defend and could result in adverse publicity. Any of the foregoing may have an adverse effect on our business, prospects, results of operations, and financial condition.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cybersecurity risks to our operational systems, security systems, infrastructure and data processed by us or third-party vendors.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and operations may involve the collection, storage, processing and transmission of personal data and certain other sensitive and proprietary data of collaborators, customers and others. Additionally, we maintain sensitive and proprietary information relating to our business, such as our own proprietary information and personal data relating to our employees. An increasing number of organizations have disclosed breaches of their information security systems and other information security incidents, some of which have involved sophisticated and highly targeted attacks. We have been and may in the future be a target for cybersecurity attacks designed to disrupt our operations or to attempt to gain access to our systems, data processed or maintained in our business, trade secrets or other proprietary information or financial resources. Some of our employees work remotely which has increased security risks. In addition, the risk of state-supported and geopolitical-related cybersecurity attacks is believed to be heightened in connection with international conflicts and any related political or economic responses and counter-responses.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at risk for interruptions, outages and breaches of (1) operational systems, including business, financial, accounting, product development, data processing or production processes, owned by us or our third-party vendors or suppliers; (2) facility security systems, owned by us or our third-party vendors or suppliers; (3) in-product technology, owned by us or our third-party vendors; (4) our software, including third-party software we license; and (5) customer data that we process or our third-party vendors process on our behalf. Because techniques used to obtain unauthorized access to or to sabotage information systems change frequently and may not be known until launched against a target, we may be unable to anticipate or prevent these attacks, react in a timely manner or implement adequate preventive measures, and we may face delays in our detection or remediation of, or other responses to, security breaches and other privacy-and security-related incidents. Such incidents could: materially disrupt our operational systems; result in loss of intellectual property, trade secrets or other proprietary or competitively sensitive information; compromise certain information of customers, employees or others; jeopardize the security of our facilities; or affect the performance of in-product technology and the integrated software in our systems. Certain efforts may be state-sponsored or supported by significant financial and technological resources, making them even more difficult to detect, remediate and otherwise respond to.</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plan to include product services and functionality that utilize data connectivity to monitor performance and timely capture opportunities to enhance performance and for safety and cost-saving preventative maintenance. The availability and effectiveness of our services depend on the continued operation of information technology and communications systems. Our systems will be vulnerable to damage or interruption from, among others, physical theft, fire, terrorist attacks, natural disasters, power loss, war, telecommunications failures, viruses, denial or degradation of service attacks, ransomware and other malicious code, social engineering schemes, insider</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1" w:name="page52"/>
    <w:bookmarkEnd w:id="51"/>
    <w:p>
      <w:pPr>
        <w:jc w:val="both"/>
        <w:spacing w:after="0" w:line="256" w:lineRule="auto"/>
        <w:rPr>
          <w:sz w:val="20"/>
          <w:szCs w:val="20"/>
          <w:color w:val="auto"/>
        </w:rPr>
      </w:pPr>
      <w:r>
        <w:rPr>
          <w:rFonts w:ascii="Times New Roman" w:cs="Times New Roman" w:eastAsia="Times New Roman" w:hAnsi="Times New Roman"/>
          <w:sz w:val="18"/>
          <w:szCs w:val="18"/>
          <w:color w:val="auto"/>
        </w:rPr>
        <w:t>theft or misuse or other attempts to harm our systems. We may face objections to our intended collection or use of data, which may require us to implement new or modified data handling policies and mechanisms, increase our maintenance costs and costs associated with data processing and handling, and harm our prospects. The use of AI/ML technologies may result in security incidents and our use of AI/ML technologies may create additional cybersecurity risks or increase cybersecurity risks, including risks of security breaches and incidents. Further, AI/ML technologies may be used in connection with certain cybersecurity attacks, including to launch more automated, targeted and coordinated attacks, resulting in heightened risks of security breaches and incidents.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Although we have implemented and are in the process of implementing additional systems and processes that are designed to protect our data and systems within our control, prevent data loss and prevent other security breaches and security incidents, these security measures cannot guarantee security. The Information Technology ("IT") infrastructure used in our business may be vulnerable to cybersecurity attacks or security breaches or incidents, and third parties may be able to access data, including personal data and other sensitive and proprietary data of ours and our customers, collaborators and partners, our employees' personal data or other sensitive and proprietary data accessible through those systems, or such data otherwise may be subject to unauthorized use, disclosure, unavailability, modification or other processing. Employee error, malfeasance or other errors in the storage, use or transmission of any of these types of data could result in an actual or perceived privacy or security breach or other security incident.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Moreover, there are inherent risks associated with developing, improving, expanding and updating our current systems, such as the disruption of our data management, procurement, product development, finance and sales and service processes. These risks may affect our ability to manage our data or deploy and service our products and solutions,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we do not successfully implement, maintain or expand these systems as planned, our operations may be disrupted, our ability to accurately and timely report our financial results could be impaired and deficiencies may arise in our internal control over financial reporting, which may impact our ability to certify our financial results. Moreover, our proprietary information or intellectual property could be compromised or misappropriated and our reputation may be adversely affected. If these systems do not operate as we expect them to, we may be required to expend significant resources to make corrections or find alternative sources for performing these functions.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perceived security breach or security incident, or any systems outages or other disruption to systems used in our business, could interrupt our operations, result in loss or improper access to, or acquisition, unavailability, modification, disclosure or other processing of, data or a loss of intellectual property protection, harm our reputation and competitive position, reduce demand for our software products, damage our relationships with customers, partners, collaborators or others or result in claims, regulatory investigations and proceedings and significant legal, regulatory and financial exposure, and any such incidents or any perception that our security measures are inadequate could lead to loss of confidence in us and harm to our reputation, any of which could adversely affect our business, financial condition and results of operations. Any actual or perceived breach of privacy or security, or other security incident, impacting any entities with which we share or disclose data (including, for example, our third-party technology providers) could have similar effects. We expect to incur significant costs in an effort to detect and prevent privacy and security breaches and other privacy- and security-related incidents, and may face increased costs and requirements to expend substantial resources in the event of an actual or perceived privacy or security breach or other incident.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regulations and contractual provisions as a government contractor or subcontractor, which may pose increased risk of potential liability and expenses related thereto, which could have a material adverse effect on our business, operating results and financial condition.</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government contractor or subcontractor, we must comply with laws, regulations and contractual provisions relating to the formation, administration and performance of government contracts and inclusion on government contract vehicles, which affect how we and our partners do business with government agencies. U.S. governmental agencies, such as the Defense Contract Audit Agency and the Defense Contract Management Agency, routinely audit and investigate government contractors. In addition, as a result of actual or perceived noncompliance with government contracting laws, regulations or contractual provisions, we may be subject to non-ordinary course audits and internal investigations which may prove costly to our business financially, divert management time or limit our ability to continue selling our software products to our government customers. These laws and regulations may impose other added costs on our business, and failure to comply with these or other applicable regulations and requirements, including non-compliance in the past, could lead to claims for damages, downward contract price adjustments or refund obligations, civil or criminal penalties, termination of contracts and suspension or debarment from government contracting for a period of time with government agencies. Any such damages, penalties, disruption or limitation in our ability to do business with a government would adversely impact, and could have a material adverse effect on,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U.S. and foreign anti-corruption and anti-money laundering laws and regulations. We can face criminal liability and other serious consequences for violations of these laws, which can harm our business, prospects,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as amended ("FCPA"), the U.S. domestic bribery statute contained in 18 U.S.C. § 201, the U.S. Travel Act, and other anti-corruption, anti-bribery and anti-money laundering laws, including those of other countries in which we conduct activities. Anti-corruption laws are interpreted broadly and prohibit companies and their employees, business partners, third-party intermediaries, representatives and agents from authorizing, promising, offering or providing, directly or indirectly, improper payments or anything else of value to government officials, political candidates, political parties or commercial partners for the purpose of obtaining or retaining business or securing an improper business advantage.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direct and indirect interactions with foreign officials, including in furtherance of sales to governmental entities in non-U.S. countries. We sometimes leverage third parties to conduct our business abroad, and our third-party business partners, intermediaries, representatives and agents may have direct or indirect interactions with officials and employees of government agencies or state-owned or affiliated entities. We can be held liable for the corrupt or other illegal activities of our employees or these third-parties, even if we do not explicitly authorize or have actual knowledge of such activities. The FCPA and other applicable laws and regulations also require that we keep accurate books and records and maintain internal controls and compliance procedures designed to prevent any such actions. While we have policies and procedures to address compliance with such laws, our employees, business partners, third-party intermediaries, representatives and agents may take actions in violation of our policies and applicable law, for which we may be held responsible. Our exposure for violating these laws increases as our international presence expands and as we increase sales and operations in foreign jurisdictions.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allegations or violations of the laws and regulations described above may result in whistleblower complaints, adverse media coverage, investigations, substantial civil and criminal fines and penalties, damages, settlements, prosecution, enforcement actions, imprisonment, the loss of export or import privileges, suspension or debarment from government contracts, tax reassessments, breach of contract and fraud litigation, reputational harm and other consequences, any of which could adversely affect our business, prospects, financial condition and operating results. In addition, responding to any investigation or action will likely result in a significant diversion of management's attention and resources and significant defense costs and other professional fees.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and laws that could subject us to liability if we are not in compliance with such laws.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AI/ML Foundational Technology and related products, technology and services are subject to compliance with applicable export control, import and economic sanctions laws and regulations, including the U.S. Export Administration Regulations, U.S. International Traffic in Arms Regulations, U.S. Customs regulations and various economic and trade sanctions regulations administered by the U.S. Treasury Department's Office of Foreign Assets Control. Exports of our software products and technology must be made in compliance with these laws and regulations. If we fail to comply with these laws and regulations, we and certain of our employees could be subject to substantial civil or criminal penalties, including the possible loss of export or import privileges; debarment from U.S. government contracting; fines, which may be imposed on us and responsible employees or managers; and, in extreme cases, the incarceration of responsible employees or managers.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Moreover, international sales of our software may be subject to first obtaining licenses, clearances or authorizations from various regulatory entities. If we are not allowed to export our software or the clearance process is burdensome and costly, our ability to generate revenue would be adversely affected.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changes to our software, or changes in applicable export control, import or economic sanctions laws and regulations may create delays in the introduction and sale of our software products, constrain collaboration with suppliers or other business partners or, in some cases, prevent the export or import of our software to certain countries, governments or persons altogether. Compliance with such laws and regulations may also be costly and require time and attention from our management. Any change in export, import or economic sanctions laws and regulations, shift in the enforcement or scope of existing laws and regulations or change in the countries, governments, persons or technologies targeted by such laws and regulations could also result in decreased use of our software, as well as our decreased ability to export or market our software to potential customers. Any decreased use of our software products or limitation on our ability to export or market our software would likely adversely affect our business, prospects, financial condition and operating results.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Companies across all industries are facing increasing scrutiny related to their environmental, social and governance ("ESG") practices and reporting. Regulators, investors, customers, employees and other stakeholders have focused increasingly on ESG practices and placed increasing importance on the implications and social cost of their investments, purchases and other interactions with companies. Equally, it is possible that some stakeholders may be opposed to the implementation of such initiatives at all. Anti-ESG sentiment has gained some momentum across the United States, with several states having enacted or proposed "anti-ESG" policies, legislation or issued related legal opinions. If our ESG practices and reporting do not meet investor, customer or employee expectations, which continue to evolve, our brand, reputation and customer retention may be negatively impacted. We could also incur additional costs and need to devote additional resources to monitor, report and implement various ESG practices, including as a result of regulatory developments.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our ability to obtain and maintain protection for the intellectual property relating to our software and other technologies.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depends in part on our ability to obtain and maintain protection for the intellectual property relating to our software and other technologies. We seek to protect our intellectual property through a combination of patents, trademarks and other intellectual property rights, as well as confidentiality and/or intellectual property assignment agreements with our employees and certain of our contractors, consultants, scientific advisors and other vendors and third-parties. In addition, we rely on copyright and trade secret law to protect our proprietary software and technologies.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Patent positions covering robotics software and solutions can be highly uncertain and involve many new and evolving complex legal, factual and technical issues. Patent laws and interpretations of those laws are subject to change and any such changes may diminish the value of our patents or narrow the scope of our right to exclude others. In addition, we may fail to apply for or be unable to obtain patents necessary to protect our technology or software products from competition or fail to enforce our patents due to lack of information about the exact use of technology or processes by third parties or for a variety of other reasons. Also, we cannot be sure that any patents will be granted in a timely manner or at all with respect to any of our pending patent applications or that any patents that are granted will be adequate to exclude others for any significant period of time or at all. Given the foregoing, and in order to continue reducing operational expenses, we are investing fewer resources in filing and prosecuting new patents and on maintaining and enforcing various patents, especially in regions where we currently do not focus our market growth strategy or with respect to patents with less relevance to our current business.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Litigation to establish or challenge the validity of patents or to defend against or assert against others' infringement, unauthorized use, enforceability or invalidity, can be lengthy and expensive and may result in our patents being invalidated or interpreted narrowly and may restrict our ability to be granted new patents related to our pending patent applications. Even if we prevail, litigation may be time consuming, force us to incur significant costs and divert management's attention from managing our business while any damages or other remedies awarded to us may not be valuable or adequate. In addition, U.S. patents and patent applications may be subject to interference or derivation proceedings, and U.S. patents may be subject to re-examination and inter partes or post grant review proceedings in the U.S. Patent and Trademark Office. Furthermore, our issued patents may be subject to claims of invalidity based on earlier filed patents or published applications not discovered in any patent searches or by the patent offices that carried out examination of the issued patents. Foreign patents may also be subject to opposition or comparable proceedings in corresponding foreign patent offices. Any of these proceedings may be expensive and could result in the loss of a patent or denial of a patent application or the loss or reduction in the scope of one or more of the claims of a patent or patent application.</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seek to protect our trade secrets, know-how, and confidential information that is not patentable or for which we decide not to seek a patent by entering into confidentiality and intellectual property assignment agreements with our employees and certain of our contractors and confidentiality agreements with certain of our consultants, scientific advisors and other vendors and contractors. However, we may fail to enter into the necessary agreements, and even if entered into, these agreements may be breached or otherwise fail to prevent disclosure, third-party infringement or misappropriation of our proprietary information, may be limited as to their term and may not provide an adequate remedy in the event of unauthorized disclosure or use of proprietary information. Enforcing a claim that a third party illegally obtained or is using our trade secrets without authorization may be expensive and time consuming, and the outcome is unpredictable. Some of our employees or consultants or service providers may own certain technology which they license to us for a set term. If these technologies are material to our business after the term of the license and we are unable to use them, it could adversely affect our business and profitability.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4" w:name="page55"/>
    <w:bookmarkEnd w:id="54"/>
    <w:p>
      <w:pPr>
        <w:jc w:val="both"/>
        <w:spacing w:after="0" w:line="256" w:lineRule="auto"/>
        <w:rPr>
          <w:sz w:val="20"/>
          <w:szCs w:val="20"/>
          <w:color w:val="auto"/>
        </w:rPr>
      </w:pPr>
      <w:r>
        <w:rPr>
          <w:rFonts w:ascii="Times New Roman" w:cs="Times New Roman" w:eastAsia="Times New Roman" w:hAnsi="Times New Roman"/>
          <w:sz w:val="18"/>
          <w:szCs w:val="18"/>
          <w:color w:val="auto"/>
        </w:rPr>
        <w:t>We have taken and continue to take precautions to initiate safeguards to protect our information technology systems. However, these measures may not be adequate to safeguard our proprietary information, which could lead to the loss or impairment thereof or to expensive litigation to defend our rights against competitors who may be better funded and have superior resources. In addition, unauthorized parties may attempt to copy or reverse engineer certain aspects of our software or other technologies that we consider proprietary or our proprietary information may otherwise become known or may be independently developed by our competitors or other third parties. If other parties are able to use our proprietary technology or information, our ability to compete could be harmed. Further, unauthorized use of our intellectual property may have occurred or may occur in the future, without our knowledge.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made efforts to register and enforce our trademark rights. However, trademark law and the associated infringement analysis is complex, and, notwithstanding our efforts to develop and enforce our trademark portfolio, both outgoing and incoming claims of trademark infringement could lead to limitations, loss or impairment of those trademark rights or to expensive litigation to prosecute or defend our trademark rights against third-party infringers who may be better funded and have superior resources.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obtain or maintain adequate protection for our intellectual property or if any protection is reduced or eliminated, competitors may be able to use our technologies, resulting in harm to our competitive position and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protect our intellectual property rights in our target markets or at all.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Filing, prosecuting, maintaining and defending patents and trademarks and seeking to enforce copyrights on our intellectual property in all target markets would be prohibitively expensive and time consuming, and thus our intellectual property rights outside the United States are limited. In addition, the laws of some of our target markets, especially developing countries, such as China, do not protect intellectual property rights to the same extent as federal and state laws in the United States. Also, it may not be possible to effectively enforce intellectual property rights in some countries at all or to the same extent as in the United States and other countries. Consequently, we are unable to prevent third parties from using our inventions in all of our target markets, or from selling or importing products made using our inventions, technologies or software in the jurisdictions in which we do not have (or are unable to effectively enforce) patent or other intellectual property protection. Competitors may use our technologies in jurisdictions where they have not obtained patent protection to develop, market or otherwise commercialize their own products, and we may be unable to prevent those competitors from importing those infringing products into territories where we have patent protection, but enforcement may not be as strong as in the United States. These products may compete with our software products and our patents and other intellectual property rights may not be effective or sufficient to prevent them from competing in those jurisdictions. Moreover, strategic partners, competitors or others may raise legal challenges against our intellectual property rights or may infringe upon our intellectual property rights, including through means that may be difficult to detect or prevent.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foreign jurisdictions. Proceedings to enforce our patent rights in the United States or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patent infringement or other claims against us. We may not prevail in any lawsuits that we initiate and the damages or other remedies awarded, if any, may not be commercially meaningful. Accordingly, our efforts to enforce our intellectual property rights in the United States and around the world may be inadequate to obtain a significant commercial advantage from the intellectual property that we develop or license from third parties.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or misappropriation claims, which may be time consuming and expensive and, if adversely determined, could limit our ability to commercialize our software products.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Companies operating in the robotics software industry may face difficulty enforcing their patent and other intellectual property rights and may become subject to a substantial amount of litigation over these rights. In particular, our competitors in both the United States and abroad, many of which have substantially greater resources than we have and have made substantial investments in competing technologies, have been issued patents and filed patent applications with respect to their products and processes and may apply for other patents in the future. The large number of patents, the rapid rate of new patent issuances and the complexities of the technology involved increase the risk of patent litigation.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is often uncertain. No assurance can be given that patents containing claims covering our software products, technology or methods do not exist, have not been filed or could not be filed or issued. In addition, because patent applications can take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published applications that initially do not appear to be problematic may issue with claims that potentially cover our software, technology or methods. Moreover, there may be pending, published or allowed applications that may disclose, but not claim, subject matter covering our software, technology or methods, where such pending or published applications may be amended, or one or more continuation or divisional applications may be filed, in an attempt to capture, to the extent possible,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such software, technology or methods that are in the public domain, and which may result in issued patents that our current or future products infringe.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Infringement actions and other intellectual property claims brought against us, whether with or without merit, may cause us to incur substantial costs and could place a significant strain on our financial resources, divert the attention of management, and harm our reputation. We cannot be certain that we will successfully defend against any allegations of infringement. If we are found to infringe another party's patents, we could be required to pay damages. We could also be prevented from selling our infringing software products, unless we can obtain a license to use the technology covered by such patents or can redesign our software products so that they do not infringe. A license may not be available on commercially reasonable terms or at all, and we may not be able to redesign our software products to avoid infringement. In these circumstances, we may not be able to sell our software products at competitive prices or at all, and our business, prospects, financial condition and operating results would be harmed.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may include a non-exclusive, non-transferable, irrevocable worldwide license to use inventions for any governmental purpose. In addition, the U.S. government may have the right, under certain limited circumstances, to require us to grant exclusive, partially exclusive, or non-exclusive licenses to any of these inventions to a third party if the U.S. government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Such "march-in" rights would apply to new subject matter arising from the use of such government funding or grants and would not extend to pre-existing subject matter or subject matter arising from funds unrelated to the government funding or grants. If the U.S. government exercised its march-in rights in our intellectual property rights generated through the use of U.S. government funding or grants, we could be forced to license or sublicense intellectual property we developed or that we license on terms unfavorable to us, and there can be no assurance that we would receive compensation from the U.S. government for the exercise of such rights. The U.S. government may also have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employees' former employers.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subject to claims that we or our employees have inadvertently or otherwise used or disclosed trade secrets or other proprietary information of an employee's former employers. Litigation may be necessary to defend against these claims. If we fail to defend against such claims, in addition to paying monetary damages, we may lose valuable intellectual property rights or personnel or be forced to seek a license, which may not be available on commercially acceptable terms or at all. A loss of key personnel or their work product could hamper or prevent our ability to commercialize our software products, which could severely harm our business. Even if we are successful in defending against these claims, litigation could result in substantial costs and demand on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issuance or sale of shares of our Common Stock, or rights to acquire shares of our Common Stock could depress the trading price of our Common Stock and may cause dilution to our existing stockholders.</w:t>
      </w:r>
    </w:p>
    <w:p>
      <w:pPr>
        <w:spacing w:after="0" w:line="15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may from time to time conduct offerings of our Common Stock or other securities that are convertible into or exercisable for our Common Stock to finance our operations or fund acquisitions, or for other purposes. For further information on our financing activities for the quarter ended September 30, 2025, see "</w:t>
      </w:r>
      <w:r>
        <w:rPr>
          <w:rFonts w:ascii="Times New Roman" w:cs="Times New Roman" w:eastAsia="Times New Roman" w:hAnsi="Times New Roman"/>
          <w:sz w:val="18"/>
          <w:szCs w:val="18"/>
          <w:i w:val="1"/>
          <w:iCs w:val="1"/>
          <w:color w:val="auto"/>
        </w:rPr>
        <w:t>Management's Discussion and Analysis of Financial Condition and Results of Operations—Liquidity and Capital Resources.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6" w:name="page57"/>
    <w:bookmarkEnd w:id="56"/>
    <w:p>
      <w:pPr>
        <w:jc w:val="both"/>
        <w:spacing w:after="0" w:line="261" w:lineRule="auto"/>
        <w:rPr>
          <w:sz w:val="20"/>
          <w:szCs w:val="20"/>
          <w:color w:val="auto"/>
        </w:rPr>
      </w:pPr>
      <w:r>
        <w:rPr>
          <w:rFonts w:ascii="Times New Roman" w:cs="Times New Roman" w:eastAsia="Times New Roman" w:hAnsi="Times New Roman"/>
          <w:sz w:val="18"/>
          <w:szCs w:val="18"/>
          <w:color w:val="auto"/>
        </w:rPr>
        <w:t>If we issue additional shares of our Common Stock or rights to acquire shares of our Common Stock, if any of our existing stockholders sells a substantial amount of our Common Stock or if the market perceives that such issuances or sales may occur, the trading price of our Common Stock may significantly decrease. In addition, our issuance of additional shares of Common Stock, including upon exercise of our outstanding warrants, will dilute the ownership interests of our existing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could decline due to the large number of shares of our Common Stock being subject to employee equity awards.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granted and expect to continue to grant equity awards to our directors and employees as additional compensation in an effort to align their interests with those of our stockholders. Because these awards may be scheduled to vest during specified points in time, such as expected open trading windows under our insider trading policy, there is a potential that sales of large amounts of our Common Stock may take place during concentrated periods, leading to a decline in the price of our Common Stock.</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"Sell-to-cover" transactions can be used in connection with the vesting and settlement of equity awards that are granted to our employees so that shares of our Common Stock are sold on behalf of our employees in an amount sufficient to cover the tax withholding obligations and, if applicable, exercise price associated with these awards. As a result of these transactions, a significant number of shares of our Common Stock may be sold over a limited time period in connection with significant vesting events. We may also settle tax withholding obligations in connection with vesting of awards through "net settlement," in which we remit cash to satisfy the tax withholding obligation and withhold a number of the vested shares on each vesting date. Depending on the fair value of our Common Stock and the number of awards vesting on any applicable vesting date, such net settlement could require us to expend substantial funds to satisfy tax withholding.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markets for our publicly traded securities have been volatile and may not continue at all.</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Common Stock and deSPAC Public Warrants (as defined below) began trading on the Nasdaq Global Market, the prices of our publicly traded securities have been volatile and may continue to fluctuate significantly due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our other public announcements and our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strategy or financial condition;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failing to meet the expectation of securities analysts or investors in a particular period;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robotics software or other technology companies, or those in our industry in particular;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our company or the market in general;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sell and deliver our software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debt;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shares of our publicly traded securities, including as a result of the exercise of our deSPAC Public Warrants or the exercise or vesting of employee equity awards;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Common Stock by our directors, officers or significant stockholders or the perception that such sales could occur;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risk factors discussed herein;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15" w:lineRule="exact"/>
        <w:rPr>
          <w:rFonts w:ascii="Times New Roman" w:cs="Times New Roman" w:eastAsia="Times New Roman" w:hAnsi="Times New Roman"/>
          <w:sz w:val="18"/>
          <w:szCs w:val="18"/>
          <w:color w:val="auto"/>
        </w:rPr>
      </w:pPr>
    </w:p>
    <w:p>
      <w:pPr>
        <w:jc w:val="both"/>
        <w:ind w:left="1020" w:hanging="503"/>
        <w:spacing w:after="0" w:line="267"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to comply with Nasdaq listing requirements (see </w:t>
      </w:r>
      <w:r>
        <w:rPr>
          <w:rFonts w:ascii="Times New Roman" w:cs="Times New Roman" w:eastAsia="Times New Roman" w:hAnsi="Times New Roman"/>
          <w:sz w:val="18"/>
          <w:szCs w:val="18"/>
          <w:i w:val="1"/>
          <w:iCs w:val="1"/>
          <w:color w:val="auto"/>
        </w:rPr>
        <w:t>"Our publicly traded securities are subject to potential delisting from The Nasdaq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Global Market if we do not meet Nasdaq's continued listing requirements, which would likely impair the liquidity of the trading market for our Common Stock and warrants"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Sarbanes-Oxley Act of 2002 or other laws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potential or perceived control, accounting or reporting problems;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policies and guidelines;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changes in U.S. trade policy including tariffs and expectations of tariffs, fuel prices, international currency fluctuations and acts of war or terrorism.</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or any of the factors listed above. The securities markets in general have experienced price and volume fluctuations that have often been unrelated or disproportionate to the operating performance of the particular companies affected. The trading prices and valuations of these securities, including our securities, are not predictable. A loss of investor confidence in the market for the stocks of other companies which investors perceive to be similar to us could depress our stock price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publicly traded securities are subject to potential delisting from the Nasdaq Global Market if we do not meet Nasdaq's continued listing requirements, which would likely impair the liquidity of the trading market for our Common Stock and warrants.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listing on the Nasdaq Global Market is contingent upon meeting all the continued listing requirements of the Nasdaq Global Market. On two occasions in the past, we received notice from Nasdaq that we were not in compliance with its continued listing requirements based on the minimum bid price per share of our Common Stock. While in each case we were able to achieve compliance within the compliance period, if we fail to meet any listing requirements, we could again receive notice of non-compliance and in that case may not be able to regain compliance. If our Common Stock or deSPAC Public Warrants are delisted from the Nasdaq Global Market and are not eligible for quotation or listing on another market or exchange, we may be transferred to an over-the-counter market or on an electronic bulletin board established for unlisted securities such as the Pink Sheets or the OTC Bulletin Board. In such event, it could become more difficult to dispose of, or obtain accurate price quotations for our shares, and it would likely also reduce the visibility, liquidity, and value of our Common Stock, reduce institutional investor interest in us, and may increase the volatility of our Common Stock. Delisting could also cause a loss of confidence of potential industry partners, lenders and employees, which may harm our ability to raise capital through alternative financing sources on terms acceptable to us, which could further harm our business and our future prospects. Some or all of these material adverse consequences may contribute to a further decline in our stock price. If an active trading market for our securities is not sustained with sufficient trading volume, you may have limited or no ability to sell your securities.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reports about us, our business or our market, or if they change their recommendations regarding our Common Stock, then the price and trading volume of our Common Stock could decline</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markets for our Common Stock and deSPAC Public Warrants will be influenced by the research and reports that industry or securities analysts may publish about us, our business, our market or our competitors. From time to time, analysts covering us have ceased publishing research or reports about us. If any analyst covering our company now or in the future change their recommendation regarding our stock adversely, or provide more favorable relative recommendations about our competitors, the price of our Common Stock and deSPAC Public Warrants would likely decline. If any analyst covering our company now or in the future were to cease coverage of us or fail to regularly publish reports on us, we could lose visibility in the financial markets, which could cause the prices and trading volumes of the Common Stock and deSPAC Public Warrants to decline.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8" w:name="page59"/>
    <w:bookmarkEnd w:id="58"/>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guarantee that the deSPAC Public Warrants or the deSPAC Private Placement Warrants will ever be in the money, and they may expire worthless.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initial public offering and a concurrent private placement, we issued units with each unit including one sixth of a share of Class A Common Stock and one half of one warrant (the "deSPAC Public Warrants") and certain warrants (the "deSPAC Private Placement Warrants," and together with the deSPAC Public Warrants, the "deSPAC Warrants"). The exercise price of our deSPAC Warrants is higher than is typical with many companies that have merged with similar blank check companies in the past. Historically, with regard to units offered by blank check companies, the exercise price of a warrant was generally a fraction of the purchase price of the units in the initial public offering. The exercise price for our deSPAC Warrants is $11.50 per warrant. Upon exercise of the deSPAC Warrants the number of shares of Common Stock issuable shall be adjusted 1-for-6, the same ratio as the reverse stock split that was effective as of July 5, 2023, such that each warrant will be exercisable for 1/6 of a share of our Common Stock for a purchase price of $11.50 per warrant. There is no guarantee that the deSPAC Warrants will ever be in the money prior to their expiration, and as such, the deSPAC Warrants may expire worthless.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redeem unexpired deSPAC Warrants prior to their exercise at a time that is disadvantageous to deSPAC Warrant holders, thereby making their deSPAC Warrants worthless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the ability to redeem outstanding deSPAC Warrants at any time after they become exercisable and prior to their expiration, subject to certain exceptions, provided that the last reported sales price of our Common Stock equals or exceeds $60.00 per share (as adjusted for stock splits, stock dividends, reorganizations, recapitalization and the like) for any 20 trading days within a 30 trading-day period ending on the third trading day prior to the date on which we give proper notice of such redemption to the deSPAC Warrant holders and provided certain other conditions are met. For additional information on the circumstances in which the deSPAC Public Warrants may be redeemed, see "</w:t>
      </w:r>
      <w:r>
        <w:rPr>
          <w:rFonts w:ascii="Times New Roman" w:cs="Times New Roman" w:eastAsia="Times New Roman" w:hAnsi="Times New Roman"/>
          <w:sz w:val="18"/>
          <w:szCs w:val="18"/>
          <w:i w:val="1"/>
          <w:iCs w:val="1"/>
          <w:color w:val="auto"/>
        </w:rPr>
        <w:t>Description of Securities—Warrants—Public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Stockholders' Warrants</w:t>
      </w:r>
      <w:r>
        <w:rPr>
          <w:rFonts w:ascii="Times New Roman" w:cs="Times New Roman" w:eastAsia="Times New Roman" w:hAnsi="Times New Roman"/>
          <w:sz w:val="18"/>
          <w:szCs w:val="18"/>
          <w:color w:val="auto"/>
        </w:rPr>
        <w:t>" in this Quarterly Report. If and when the deSPAC Warrants become redeemable by us, we may exercise our redemption right even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if we are unable to register or qualify the underlying securities for sale under all applicable state securities laws. Redemption of the outstanding deSPAC Warrants could force the deSPAC Warrant holders (1) to exercise their deSPAC Warrants and pay the exercise price therefor at a time when it may be disadvantageous for them to do so, (2) to sell their deSPAC Warrants at the then-current market price when they might otherwise wish to hold their deSPAC Warrants or (3) to accept the nominal redemption price which, at the time the outstanding deSPAC Warrants are called for redemption, is likely to be substantially less than the market value of their deSPAC Warrants. None of the deSPAC Private Placement Warrants will be redeemable by us so long as they are held by the initial purchasers or their permitted transferees, subject to certain exceptions. None of the warrants sold in private placement under the Investor Purchase Agreement and the Insider Purchase Agreement are redeemable by us.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DeSPAC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there were 20,549,453 deSPAC Warrants outstanding. Each whole deSPAC Warrant entitles the holder to purchase one sixth of a share of our Common Stock at a price of $11.50 per warrant, which is equivalent to approximately 3,424,909 shares of Common Stock. The shares of Common Stock issued upon exercise of our deSPAC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2024 Warrants are exercisable for Common Stock, and their exercise would increase the number of shares eligible for future resale in the public market and result in dilution to our stockholders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On November 1, 2024, we issued warrants to purchase up to </w:t>
      </w:r>
      <w:r>
        <w:rPr>
          <w:rFonts w:ascii="Times New Roman" w:cs="Times New Roman" w:eastAsia="Times New Roman" w:hAnsi="Times New Roman"/>
          <w:sz w:val="18"/>
          <w:szCs w:val="18"/>
          <w:color w:val="000000"/>
        </w:rPr>
        <w:t>3,220,805</w:t>
      </w:r>
      <w:r>
        <w:rPr>
          <w:rFonts w:ascii="Times New Roman" w:cs="Times New Roman" w:eastAsia="Times New Roman" w:hAnsi="Times New Roman"/>
          <w:sz w:val="18"/>
          <w:szCs w:val="18"/>
          <w:color w:val="212529"/>
        </w:rPr>
        <w:t xml:space="preserve"> shares of </w:t>
      </w:r>
      <w:r>
        <w:rPr>
          <w:rFonts w:ascii="Times New Roman" w:cs="Times New Roman" w:eastAsia="Times New Roman" w:hAnsi="Times New Roman"/>
          <w:sz w:val="18"/>
          <w:szCs w:val="18"/>
          <w:color w:val="000000"/>
        </w:rPr>
        <w:t>Common Stock</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2024 Warrants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As of September 30, 2025, there</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were 430,105 2024 Warrants outstanding. Each whole 2024 Warrant entitles the holder to purchase one share of our Common Stock at a price of $2.30 per share. The shares of Common Stock issued upon exercise of our 2024 Warrants will result in dilution to the then existing holders of Common Stock and increase the number of shares eligible for resale in the public market. Sales of substantial numbers of such shares in the public market could adversely affect the market price of our Common Stock or deSPAC Public Warrants.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contained in our Charter and Bylaws, as well as provisions of Delaware law, could impair a takeover attempt, which could limit the price investors might be willing to pay in the future for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Charter and Bylaws contain provisions that may discourage unsolicited takeover proposals that stockholders may consider to be in their best interests. We are also subject to anti-takeover provisions under Delaware law, which could delay or prevent a change of control. Together, these provisions may make more difficult the removal of management and may discourage transactions that otherwise could involve payment of a premium over prevailing market prices for our securities. These provisions include: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9" w:name="page60"/>
    <w:bookmarkEnd w:id="59"/>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the board of directors (pursuant to a majority vote of the whole board), the chairperson of the board of directors, or the Chief Executive Officer may call a special meeting;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remove a director for "cause";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vote of at least 66-2/3% required to approve certain amendments to the Charter and Bylaws;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Delaware and federal courts as the exclusive forums for certain disputes.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Bylaws provide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Bylaws provide, to the fullest extent permitted by law, that internal corporate claims may be brought only in the Court of Chancery in the State of Delaware (or, if the Court of Chancery does not have, or declines to accept, jurisdiction, another state court or a federal court located within the State of Delaware). In addition, our Bylaws provide that the federal district courts of the United States will be the exclusive forum for resolving any complaint asserting a cause of action arising under the Securities Act. This forum selection provision will not apply to claims brought to enforce a duty or liability created by the Exchange Act. Any person or entity purchasing or otherwise acquiring or holding any interest in our stock shall be deemed to have notice of and consented to the forum provision in our Bylaws.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Bylaws to be inapplicable or unenforceable in an action, we may incur additional costs associated with resolving such action in other jurisdictions, which could harm our business, operating results and financial condition.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Accordingly, there is uncertainty as to whether a court would enforce such a forum selection provision as written in connection with claims arising under the Securities Act.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for as long as we continue to be an emerging growth company, including (1) the exemption from the auditor attestation requirements with respect to internal control over financial reporting under Section 404 of the Sarbanes-Oxley Act of 2002, (2) the exemptions from say-on-pay, say-on-frequency and say-on-golden parachute voting requirements and (3) reduced disclosure obligations regarding executive compensation in our periodic reports and proxy statements. As a result, our stockholders may not have access to certain information they deem important. We will remain an emerging growth company until the earlier of (1) the last day of the fiscal year (a) following January 20, 2026, the fifth anniversary of Rotor's initial public offering, (b) in which we have total annual gross revenue of at least $1.235 billion or (c) in which we are deemed to be a large accelerated filer, which means the market value of our Common Stock and deSPAC Public Warrants that is held by non-affiliates exceeds $700 million as of the last business day of our prior second fiscal quarter, and (2) the date on which we have issued more than $1.0 billion in non-convertible debt during the prior three-year period.</w:t>
      </w:r>
    </w:p>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also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to avail ourselves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8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Investors may find our Common Stock or deSPAC Public Warrants less attractive because we rely on these exemptions and may continue to rely on them to the extent they remain available to us. If some investors find our Common Stock or deSPAC Public Warrants less</w:t>
      </w: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0" w:name="page61"/>
    <w:bookmarkEnd w:id="60"/>
    <w:p>
      <w:pPr>
        <w:spacing w:after="0" w:line="261" w:lineRule="auto"/>
        <w:rPr>
          <w:sz w:val="20"/>
          <w:szCs w:val="20"/>
          <w:color w:val="auto"/>
        </w:rPr>
      </w:pPr>
      <w:r>
        <w:rPr>
          <w:rFonts w:ascii="Times New Roman" w:cs="Times New Roman" w:eastAsia="Times New Roman" w:hAnsi="Times New Roman"/>
          <w:sz w:val="18"/>
          <w:szCs w:val="18"/>
          <w:color w:val="auto"/>
        </w:rPr>
        <w:t>attractive as a result of these exemptions and reduced disclosure as an emerging growth company, there may be a less active trading market for and/or more price volatility with respect to our Common Stock or deSPAC Public Warrants.</w:t>
      </w: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5640" w:type="dxa"/>
            <w:vAlign w:val="bottom"/>
            <w:gridSpan w:val="10"/>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5640" w:type="dxa"/>
            <w:vAlign w:val="bottom"/>
            <w:tcBorders>
              <w:bottom w:val="single" w:sz="8" w:color="auto"/>
            </w:tcBorders>
            <w:gridSpan w:val="1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9800" w:type="dxa"/>
            <w:vAlign w:val="bottom"/>
            <w:tcBorders>
              <w:bottom w:val="single" w:sz="8" w:color="0000FF"/>
            </w:tcBorders>
            <w:gridSpan w:val="9"/>
          </w:tcPr>
          <w:p>
            <w:pPr>
              <w:spacing w:after="0" w:line="169" w:lineRule="exact"/>
              <w:rPr>
                <w:rFonts w:ascii="Times New Roman" w:cs="Times New Roman" w:eastAsia="Times New Roman" w:hAnsi="Times New Roman"/>
                <w:sz w:val="18"/>
                <w:szCs w:val="18"/>
                <w:color w:val="0000FF"/>
                <w:w w:val="99"/>
              </w:rPr>
            </w:pPr>
            <w:hyperlink r:id="rId312">
              <w:r>
                <w:rPr>
                  <w:rFonts w:ascii="Times New Roman" w:cs="Times New Roman" w:eastAsia="Times New Roman" w:hAnsi="Times New Roman"/>
                  <w:sz w:val="18"/>
                  <w:szCs w:val="18"/>
                  <w:color w:val="0000FF"/>
                  <w:w w:val="99"/>
                </w:rPr>
                <w:t>Second Amended and Restated Certificate of Incorporation of the Company (incorporated by reference to Exhibit 3.1 to the Company’s</w:t>
              </w:r>
            </w:hyperlink>
          </w:p>
        </w:tc>
        <w:tc>
          <w:tcPr>
            <w:tcW w:w="4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12">
              <w:r>
                <w:rPr>
                  <w:rFonts w:ascii="Times New Roman" w:cs="Times New Roman" w:eastAsia="Times New Roman" w:hAnsi="Times New Roman"/>
                  <w:sz w:val="18"/>
                  <w:szCs w:val="18"/>
                  <w:color w:val="0000FF"/>
                </w:rPr>
                <w:t>Current Report on Form 8-K, filed with the SEC on September 30,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313">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13">
              <w:r>
                <w:rPr>
                  <w:rFonts w:ascii="Times New Roman" w:cs="Times New Roman" w:eastAsia="Times New Roman" w:hAnsi="Times New Roman"/>
                  <w:sz w:val="18"/>
                  <w:szCs w:val="18"/>
                  <w:color w:val="0000FF"/>
                </w:rPr>
                <w:t>the Company’s Current Report on Form 8-K filed with the SEC on June 20, 2023).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Certificate of Amendment of Amended and Restated Certificate of Incorporation of the Company (incorporated by reference to Exhibit 3.1 to</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FF"/>
            </w:tcBorders>
            <w:gridSpan w:val="3"/>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the Company’s Current Report on Form 8-K 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gridSpan w:val="3"/>
            <w:shd w:val="clear" w:color="auto" w:fill="0000FF"/>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Amended and Restated Bylaws of the Company (incorporated by reference to Exhibit 3.2 to the Company's Current Report on Form 8-K</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filed with the SEC on March 18, 2024).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tcBorders>
              <w:right w:val="single" w:sz="8" w:color="0000EE"/>
            </w:tcBorders>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Amended and Restated Outside Director Compensation Policy.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60" w:type="dxa"/>
            <w:vAlign w:val="bottom"/>
            <w:tcBorders>
              <w:right w:val="single" w:sz="8" w:color="0000EE"/>
            </w:tcBorders>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4"/>
            <w:shd w:val="clear" w:color="auto" w:fill="0000FF"/>
          </w:tcPr>
          <w:p>
            <w:pPr>
              <w:spacing w:after="0" w:line="20" w:lineRule="exact"/>
              <w:rPr>
                <w:sz w:val="1"/>
                <w:szCs w:val="1"/>
                <w:color w:val="auto"/>
              </w:rPr>
            </w:pPr>
          </w:p>
        </w:tc>
        <w:tc>
          <w:tcPr>
            <w:tcW w:w="420" w:type="dxa"/>
            <w:vAlign w:val="bottom"/>
            <w:tcBorders>
              <w:left w:val="single" w:sz="8" w:color="0000FF"/>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464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8700" w:type="dxa"/>
            <w:vAlign w:val="bottom"/>
            <w:gridSpan w:val="7"/>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6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20" w:type="dxa"/>
            <w:vAlign w:val="bottom"/>
            <w:gridSpan w:val="10"/>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20" w:type="dxa"/>
            <w:vAlign w:val="bottom"/>
            <w:gridSpan w:val="1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20" w:type="dxa"/>
            <w:vAlign w:val="bottom"/>
            <w:gridSpan w:val="11"/>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30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20"/>
                <w:szCs w:val="20"/>
                <w:color w:val="auto"/>
              </w:rPr>
            </w:pPr>
          </w:p>
        </w:tc>
        <w:tc>
          <w:tcPr>
            <w:tcW w:w="1020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left="1020" w:hanging="1012"/>
        <w:spacing w:after="0"/>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47"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9512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6">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97" w:lineRule="exact"/>
        <w:rPr>
          <w:sz w:val="20"/>
          <w:szCs w:val="20"/>
          <w:color w:val="auto"/>
        </w:rPr>
      </w:pPr>
    </w:p>
    <w:p>
      <w:pPr>
        <w:ind w:left="460" w:hanging="452"/>
        <w:spacing w:after="0"/>
        <w:tabs>
          <w:tab w:leader="none" w:pos="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jc w:val="both"/>
        <w:ind w:left="520" w:hanging="512"/>
        <w:spacing w:after="0" w:line="261" w:lineRule="auto"/>
        <w:tabs>
          <w:tab w:leader="none" w:pos="46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that accompany this Quarterly Report on Form 10-Q are not deemed filed with the Securities and Exchange Commission and are not to be incorporated by reference into any filing of Palladyne AI Corp. under the Securities Act of 1933, as amended, or the Securities Exchange Act of 1934, as amended, whether made before or after the date of this Form 10-Q, irrespective of any general incorporation language contained in such filing.</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3" w:name="page64"/>
    <w:bookmarkEnd w:id="6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2025</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3420"/>
        <w:spacing w:after="0"/>
        <w:rPr>
          <w:sz w:val="20"/>
          <w:szCs w:val="20"/>
          <w:color w:val="auto"/>
        </w:rPr>
      </w:pPr>
      <w:r>
        <w:rPr>
          <w:rFonts w:ascii="Times New Roman" w:cs="Times New Roman" w:eastAsia="Times New Roman" w:hAnsi="Times New Roman"/>
          <w:sz w:val="18"/>
          <w:szCs w:val="18"/>
          <w:b w:val="1"/>
          <w:bCs w:val="1"/>
          <w:color w:val="auto"/>
        </w:rPr>
        <w:t>PALLADYNE AI CORP.</w:t>
      </w:r>
    </w:p>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17145</wp:posOffset>
            </wp:positionV>
            <wp:extent cx="330898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9">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820" w:space="720"/>
            <w:col w:w="5700"/>
          </w:cols>
          <w:pgMar w:left="320" w:top="981" w:right="339" w:bottom="1440" w:gutter="0" w:footer="0" w:header="0"/>
          <w:type w:val="continuous"/>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PALLADYNE AI CORP.</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OUTSIDE DIRECTOR COMPENSATION POLICY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Effective as of April 7, 2025 (the “</w:t>
      </w: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Palladyne AI Corp. (the “Company”) believes that providing cash and equity compensation to members of its Board of Directors (the “Board,” and members of the Board, the “Directors”) represents an effective tool to attract, retain and reward Directors who are not employees of the Company (the “Outside Directors”). This Outside Director Compensation Policy (the “Policy”) is intended to formalize the Company’s policy regarding the compensation to its Outside Directors. Unless defined in this Policy, capitalized terms used in this Policy will have the meaning given to such terms in the Company’s 2021 Equity Incentive Plan (the “Plan”),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 No compensation will be paid under this Policy if it exceeds any limits under the Plan.</w:t>
      </w:r>
    </w:p>
    <w:p>
      <w:pPr>
        <w:spacing w:after="0" w:line="189" w:lineRule="exact"/>
        <w:rPr>
          <w:sz w:val="20"/>
          <w:szCs w:val="20"/>
          <w:color w:val="auto"/>
        </w:rPr>
      </w:pPr>
    </w:p>
    <w:p>
      <w:pPr>
        <w:ind w:left="1020" w:hanging="263"/>
        <w:spacing w:after="0"/>
        <w:tabs>
          <w:tab w:leader="none" w:pos="10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Compensation</w:t>
      </w:r>
      <w:r>
        <w:rPr>
          <w:rFonts w:ascii="Times New Roman" w:cs="Times New Roman" w:eastAsia="Times New Roman" w:hAnsi="Times New Roman"/>
          <w:sz w:val="20"/>
          <w:szCs w:val="20"/>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Annual Cash Retainer</w:t>
      </w:r>
    </w:p>
    <w:p>
      <w:pPr>
        <w:spacing w:after="0" w:line="188" w:lineRule="exact"/>
        <w:rPr>
          <w:sz w:val="20"/>
          <w:szCs w:val="20"/>
          <w:color w:val="auto"/>
        </w:rPr>
      </w:pPr>
    </w:p>
    <w:p>
      <w:pPr>
        <w:ind w:firstLine="749"/>
        <w:spacing w:after="0" w:line="267" w:lineRule="exact"/>
        <w:rPr>
          <w:sz w:val="20"/>
          <w:szCs w:val="20"/>
          <w:color w:val="auto"/>
        </w:rPr>
      </w:pPr>
      <w:r>
        <w:rPr>
          <w:rFonts w:ascii="Times New Roman" w:cs="Times New Roman" w:eastAsia="Times New Roman" w:hAnsi="Times New Roman"/>
          <w:sz w:val="20"/>
          <w:szCs w:val="20"/>
          <w:color w:val="auto"/>
        </w:rPr>
        <w:t>Each Outside Director will be paid an annual cash retainer of $50,000. There are no per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meeting attendance fees for attending Board meetings.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Chair and Committee Annual Cash Retainer</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Effective as of the Effective Date, each Outside Director who serves as the chair of the Board, or the chair or a member of a committee of the Board listed below will be eligible to earn additional annual cash retainers as follows:</w:t>
      </w:r>
    </w:p>
    <w:p>
      <w:pPr>
        <w:spacing w:after="0" w:line="159" w:lineRule="exact"/>
        <w:rPr>
          <w:sz w:val="20"/>
          <w:szCs w:val="20"/>
          <w:color w:val="auto"/>
        </w:rPr>
      </w:pPr>
    </w:p>
    <w:tbl>
      <w:tblPr>
        <w:tblLayout w:type="fixed"/>
        <w:tblInd w:w="760" w:type="dxa"/>
        <w:tblCellMar>
          <w:top w:w="0" w:type="dxa"/>
          <w:left w:w="0" w:type="dxa"/>
          <w:bottom w:w="0" w:type="dxa"/>
          <w:right w:w="0" w:type="dxa"/>
        </w:tblCellMar>
      </w:tblPr>
      <w:tr>
        <w:trPr>
          <w:trHeight w:val="258"/>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the Board</w:t>
            </w:r>
          </w:p>
        </w:tc>
        <w:tc>
          <w:tcPr>
            <w:tcW w:w="1920" w:type="dxa"/>
            <w:vAlign w:val="bottom"/>
          </w:tcPr>
          <w:p>
            <w:pPr>
              <w:jc w:val="right"/>
              <w:ind w:right="721"/>
              <w:spacing w:after="0"/>
              <w:rPr>
                <w:sz w:val="20"/>
                <w:szCs w:val="20"/>
                <w:color w:val="auto"/>
              </w:rPr>
            </w:pPr>
            <w:r>
              <w:rPr>
                <w:rFonts w:ascii="Times New Roman" w:cs="Times New Roman" w:eastAsia="Times New Roman" w:hAnsi="Times New Roman"/>
                <w:sz w:val="20"/>
                <w:szCs w:val="20"/>
                <w:color w:val="auto"/>
              </w:rPr>
              <w:t>$25,000</w:t>
            </w:r>
          </w:p>
        </w:tc>
        <w:tc>
          <w:tcPr>
            <w:tcW w:w="660" w:type="dxa"/>
            <w:vAlign w:val="bottom"/>
          </w:tcPr>
          <w:p>
            <w:pPr>
              <w:spacing w:after="0"/>
              <w:rPr>
                <w:sz w:val="22"/>
                <w:szCs w:val="22"/>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Audit Committee:</w:t>
            </w:r>
          </w:p>
        </w:tc>
        <w:tc>
          <w:tcPr>
            <w:tcW w:w="192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$5,000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Member of Audit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$2,500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Chair of Compensation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$3,000</w:t>
            </w:r>
          </w:p>
        </w:tc>
        <w:tc>
          <w:tcPr>
            <w:tcW w:w="660" w:type="dxa"/>
            <w:vAlign w:val="bottom"/>
          </w:tcPr>
          <w:p>
            <w:pPr>
              <w:spacing w:after="0"/>
              <w:rPr>
                <w:sz w:val="24"/>
                <w:szCs w:val="24"/>
                <w:color w:val="auto"/>
              </w:rPr>
            </w:pP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20"/>
                <w:szCs w:val="20"/>
                <w:color w:val="auto"/>
              </w:rPr>
              <w:t>Member of Compensation Committee:</w:t>
            </w:r>
          </w:p>
        </w:tc>
        <w:tc>
          <w:tcPr>
            <w:tcW w:w="192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$1,500</w:t>
            </w:r>
          </w:p>
        </w:tc>
        <w:tc>
          <w:tcPr>
            <w:tcW w:w="660" w:type="dxa"/>
            <w:vAlign w:val="bottom"/>
          </w:tcPr>
          <w:p>
            <w:pPr>
              <w:spacing w:after="0"/>
              <w:rPr>
                <w:sz w:val="24"/>
                <w:szCs w:val="24"/>
                <w:color w:val="auto"/>
              </w:rPr>
            </w:pPr>
          </w:p>
        </w:tc>
      </w:tr>
      <w:tr>
        <w:trPr>
          <w:trHeight w:val="445"/>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Chair of Nominating and Corporate Governance Committee:</w:t>
            </w: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color w:val="auto"/>
                <w:w w:val="94"/>
              </w:rPr>
              <w:t>$1,500</w:t>
            </w:r>
          </w:p>
        </w:tc>
      </w:tr>
      <w:tr>
        <w:trPr>
          <w:trHeight w:val="445"/>
        </w:trPr>
        <w:tc>
          <w:tcPr>
            <w:tcW w:w="54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Member of Nominating and Corporate Governance Committee:</w:t>
            </w:r>
          </w:p>
        </w:tc>
        <w:tc>
          <w:tcPr>
            <w:tcW w:w="6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$750</w:t>
            </w:r>
          </w:p>
        </w:tc>
      </w:tr>
    </w:tbl>
    <w:p>
      <w:pPr>
        <w:spacing w:after="0" w:line="187"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For clarity, each Outside Director who serves as the chair of a committee will receive only the annual cash retainer as the chair of the committee, and not the additional annual cash retainer as a member of the committee.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Payment</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annual cash retainer payable under this Policy for service on the Board, chair of the Board, or the chair or a member of a committee of the Board (an “</w:t>
      </w:r>
      <w:r>
        <w:rPr>
          <w:rFonts w:ascii="Times New Roman" w:cs="Times New Roman" w:eastAsia="Times New Roman" w:hAnsi="Times New Roman"/>
          <w:sz w:val="20"/>
          <w:szCs w:val="20"/>
          <w:u w:val="single" w:color="auto"/>
          <w:color w:val="auto"/>
        </w:rPr>
        <w:t>Annual Cash Retainer</w:t>
      </w:r>
      <w:r>
        <w:rPr>
          <w:rFonts w:ascii="Times New Roman" w:cs="Times New Roman" w:eastAsia="Times New Roman" w:hAnsi="Times New Roman"/>
          <w:sz w:val="20"/>
          <w:szCs w:val="20"/>
          <w:color w:val="auto"/>
        </w:rPr>
        <w:t>”) will be paid quarterly in arrears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5" w:name="page66"/>
    <w:bookmarkEnd w:id="65"/>
    <w:p>
      <w:pPr>
        <w:spacing w:after="0" w:line="18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on a prorated basis to each Outside Director who has served in the relevant capacity at any point during the fiscal quarter, and such payment will be made on the last business day of such fiscal quarter (or as soon thereafter as practical, but in no event later than 30 days following the end of such fiscal quarter). For purposes of clarification, an Outside Director who has served as an Outside Director and/or as a member of an applicable committee (or chair thereof) during only a portion of the relevant Company fiscal quarter will receive a pro-rated payment of the quarterly payment of the applicable annual cash retainer(s), calculated based on the number of days during such fiscal quarter such Outside Director has served in the relevant capacities.</w:t>
      </w:r>
    </w:p>
    <w:p>
      <w:pPr>
        <w:spacing w:after="0" w:line="184" w:lineRule="exact"/>
        <w:rPr>
          <w:sz w:val="20"/>
          <w:szCs w:val="20"/>
          <w:color w:val="auto"/>
        </w:rPr>
      </w:pPr>
    </w:p>
    <w:p>
      <w:pPr>
        <w:ind w:left="1020" w:hanging="263"/>
        <w:spacing w:after="0"/>
        <w:tabs>
          <w:tab w:leader="none" w:pos="10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Equity Compensation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Outside Directors will be eligible to receive all types of Awards (except Incentive Stock Options) under the Plan (or the applicable equity plan in place at the time of grant), including discretionary Awards not covered under this Policy. All grants of Awards to Outside Directors pursuant to Section 2 of this Policy will be automatic and nondiscretionary, except as otherwise provided herein, and will be made in accordance with the following provisions. No Awards will be made if they would exceed any limitations in the Plan.</w:t>
      </w:r>
    </w:p>
    <w:p>
      <w:pPr>
        <w:spacing w:after="0" w:line="180" w:lineRule="exact"/>
        <w:rPr>
          <w:sz w:val="20"/>
          <w:szCs w:val="20"/>
          <w:color w:val="auto"/>
        </w:rPr>
      </w:pPr>
    </w:p>
    <w:p>
      <w:pPr>
        <w:jc w:val="both"/>
        <w:ind w:firstLine="1568"/>
        <w:spacing w:after="0" w:line="246" w:lineRule="auto"/>
        <w:tabs>
          <w:tab w:leader="none" w:pos="1920" w:val="left"/>
        </w:tabs>
        <w:numPr>
          <w:ilvl w:val="1"/>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Discretion</w:t>
      </w:r>
      <w:r>
        <w:rPr>
          <w:rFonts w:ascii="Times New Roman" w:cs="Times New Roman" w:eastAsia="Times New Roman" w:hAnsi="Times New Roman"/>
          <w:sz w:val="20"/>
          <w:szCs w:val="20"/>
          <w:color w:val="auto"/>
        </w:rPr>
        <w:t>. No person will have any discretion to select which Outside Directors will be granted any Awards under this Policy or to determine the number of Shares to be covered by such Awards. Notwithstanding the foregoing, any individual Outside Director may refuse to receive all or any part of an Award otherwise due to such Outside Director pursuant to this policy, and a majority of all Outside Directors may determine to reduce the amount (including in full) of any Annual Awards otherwise due to all Outside Directors on behalf of all Outside Directors.</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New Director Award</w:t>
      </w:r>
      <w:r>
        <w:rPr>
          <w:rFonts w:ascii="Times New Roman" w:cs="Times New Roman" w:eastAsia="Times New Roman" w:hAnsi="Times New Roman"/>
          <w:sz w:val="20"/>
          <w:szCs w:val="20"/>
          <w:color w:val="auto"/>
        </w:rPr>
        <w:t>. Subject to the following paragraph, upon an Outside Director’s initial appointment to the Board (other than by appointment on an Annual Meeting), such Outside Director automatically will be granted a number of restricted stock units equal to $100,000 divided by the simple average closing price of the Company’s common stock over the 60-trading days ending on the trading day immediately prior to the grant date multiplied by a fraction (A) the numerator of which is (x) 12 minus (y) the number of months between the date of the last Annual Meeting and the date the Outside Director becomes a member of the Board and (B) the denominator of which is 12 (a “</w:t>
      </w:r>
      <w:r>
        <w:rPr>
          <w:rFonts w:ascii="Times New Roman" w:cs="Times New Roman" w:eastAsia="Times New Roman" w:hAnsi="Times New Roman"/>
          <w:sz w:val="20"/>
          <w:szCs w:val="20"/>
          <w:u w:val="single" w:color="auto"/>
          <w:color w:val="auto"/>
        </w:rPr>
        <w:t>New Director Award</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Section 3, each New Director Award will fully vest upon the earlier of: (i) the first anniversary of the grant date and (ii) the day prior to date of the next Annual Meeting, in each case subject to the Outside Director continuing to be a Service Provider through the vesting date. For the avoidance of doubt, should the appointment date be the same as the date of an Annual Meeting, then such Outside Director will only be granted an Annual Award.</w:t>
      </w:r>
    </w:p>
    <w:p>
      <w:pPr>
        <w:spacing w:after="0" w:line="180" w:lineRule="exact"/>
        <w:rPr>
          <w:sz w:val="20"/>
          <w:szCs w:val="20"/>
          <w:color w:val="auto"/>
        </w:rPr>
      </w:pPr>
    </w:p>
    <w:p>
      <w:pPr>
        <w:jc w:val="both"/>
        <w:ind w:firstLine="1505"/>
        <w:spacing w:after="0" w:line="254" w:lineRule="auto"/>
        <w:tabs>
          <w:tab w:leader="none" w:pos="1893"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Award</w:t>
      </w:r>
      <w:r>
        <w:rPr>
          <w:rFonts w:ascii="Times New Roman" w:cs="Times New Roman" w:eastAsia="Times New Roman" w:hAnsi="Times New Roman"/>
          <w:sz w:val="20"/>
          <w:szCs w:val="20"/>
          <w:color w:val="auto"/>
        </w:rPr>
        <w:t>. Subject to the following paragraph, on the date of each Annual Meeting, each Outside Director will be automatically granted a number of restricted stock units equal to $100,000 divided by the simple average closing price of the Company’s common stock over the 60-trading days ending on the trading day immediately prior to the grant date.</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Subject to Section 3 of this Policy, each Annual Award will vest on the earlier of (i) the first anniversary of the date the Annual Award is granted and (ii) the day prior to the date of the Annual Meeting next following the date the Annual Award was granted, in each case, subject to the Outside Director continuing to be a Service Provider through the applicable vesting date.</w:t>
      </w:r>
    </w:p>
    <w:p>
      <w:pPr>
        <w:spacing w:after="0" w:line="174" w:lineRule="exact"/>
        <w:rPr>
          <w:sz w:val="20"/>
          <w:szCs w:val="20"/>
          <w:color w:val="auto"/>
        </w:rPr>
      </w:pPr>
    </w:p>
    <w:p>
      <w:pPr>
        <w:jc w:val="both"/>
        <w:ind w:firstLine="1505"/>
        <w:spacing w:after="0" w:line="254" w:lineRule="auto"/>
        <w:tabs>
          <w:tab w:leader="none" w:pos="189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Terms of New Director Awards and Annual Awards</w:t>
      </w:r>
      <w:r>
        <w:rPr>
          <w:rFonts w:ascii="Times New Roman" w:cs="Times New Roman" w:eastAsia="Times New Roman" w:hAnsi="Times New Roman"/>
          <w:sz w:val="20"/>
          <w:szCs w:val="20"/>
          <w:color w:val="auto"/>
        </w:rPr>
        <w:t>. Each New Director Award and Annual Award will be granted under and subject to the terms and conditions of the Plan and the applicable form of Award Agreement previously approved by the Board or its Committee, as applicable, for use thereunder.</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89" w:lineRule="exact"/>
        <w:rPr>
          <w:sz w:val="20"/>
          <w:szCs w:val="20"/>
          <w:color w:val="auto"/>
        </w:rPr>
      </w:pPr>
    </w:p>
    <w:p>
      <w:pPr>
        <w:ind w:left="1020" w:hanging="263"/>
        <w:spacing w:after="0"/>
        <w:tabs>
          <w:tab w:leader="none" w:pos="10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Immediately prior to a Change in Control, each Outside Director will fully vest in and have the right to exercise Options and/or Stock Appreciation Rights as to all of the Shares underlying such Award, including those Shares which would not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unless specifically provided otherwise under the applicable Award Agreement or other written agreement between the Outside Director and the Company or any of its Subsidiaries or Parents, as applicable.</w:t>
      </w:r>
    </w:p>
    <w:p>
      <w:pPr>
        <w:spacing w:after="0" w:line="184" w:lineRule="exact"/>
        <w:rPr>
          <w:sz w:val="20"/>
          <w:szCs w:val="20"/>
          <w:color w:val="auto"/>
        </w:rPr>
      </w:pPr>
    </w:p>
    <w:p>
      <w:pPr>
        <w:ind w:left="1020" w:hanging="263"/>
        <w:spacing w:after="0"/>
        <w:tabs>
          <w:tab w:leader="none" w:pos="10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Travel Expenses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Each Outside Director’s reasonable, customary and documented travel expenses to Board or Board committee meetings or related to his or her Board service will be reimbursed by the Company.</w:t>
      </w:r>
    </w:p>
    <w:p>
      <w:pPr>
        <w:spacing w:after="0" w:line="159" w:lineRule="exact"/>
        <w:rPr>
          <w:sz w:val="20"/>
          <w:szCs w:val="20"/>
          <w:color w:val="auto"/>
        </w:rPr>
      </w:pPr>
    </w:p>
    <w:p>
      <w:pPr>
        <w:ind w:left="1020" w:hanging="263"/>
        <w:spacing w:after="0"/>
        <w:tabs>
          <w:tab w:leader="none" w:pos="10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Additional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All provisions of the Plan not inconsistent with this Policy will apply to Awards granted to Outside Directors.</w:t>
      </w:r>
    </w:p>
    <w:p>
      <w:pPr>
        <w:spacing w:after="0" w:line="216" w:lineRule="exact"/>
        <w:rPr>
          <w:sz w:val="20"/>
          <w:szCs w:val="20"/>
          <w:color w:val="auto"/>
        </w:rPr>
      </w:pPr>
    </w:p>
    <w:p>
      <w:pPr>
        <w:ind w:left="1020" w:hanging="263"/>
        <w:spacing w:after="0"/>
        <w:tabs>
          <w:tab w:leader="none" w:pos="10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w:t>
      </w:r>
    </w:p>
    <w:p>
      <w:pPr>
        <w:spacing w:after="0" w:line="228" w:lineRule="exact"/>
        <w:rPr>
          <w:sz w:val="20"/>
          <w:szCs w:val="20"/>
          <w:color w:val="auto"/>
        </w:rPr>
      </w:pPr>
    </w:p>
    <w:p>
      <w:pPr>
        <w:jc w:val="both"/>
        <w:ind w:firstLine="396"/>
        <w:spacing w:after="0" w:line="230" w:lineRule="auto"/>
        <w:rPr>
          <w:sz w:val="20"/>
          <w:szCs w:val="20"/>
          <w:color w:val="auto"/>
        </w:rPr>
      </w:pPr>
      <w:r>
        <w:rPr>
          <w:rFonts w:ascii="Times New Roman" w:cs="Times New Roman" w:eastAsia="Times New Roman" w:hAnsi="Times New Roman"/>
          <w:sz w:val="20"/>
          <w:szCs w:val="20"/>
          <w:color w:val="auto"/>
        </w:rPr>
        <w:t>In no event will cash compensation or expense reimbursement payments under this Policy be paid after the later of (i)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3rd month following the end of the Fiscal Year in which the compensation is earned or expenses are incurred, as applicable, or (ii)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have any liability or obligation to reimburse, indemnify, or hold harmless an Outside Director (or any other person) for any taxes or costs that may be imposed on or incurred by an Outside Director (or any other person) as a result of Section 409A.</w:t>
      </w:r>
    </w:p>
    <w:p>
      <w:pPr>
        <w:spacing w:after="0" w:line="190" w:lineRule="exact"/>
        <w:rPr>
          <w:sz w:val="20"/>
          <w:szCs w:val="20"/>
          <w:color w:val="auto"/>
        </w:rPr>
      </w:pPr>
    </w:p>
    <w:p>
      <w:pPr>
        <w:ind w:left="1020" w:hanging="263"/>
        <w:spacing w:after="0"/>
        <w:tabs>
          <w:tab w:leader="none" w:pos="10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396"/>
        <w:spacing w:after="0" w:line="246" w:lineRule="auto"/>
        <w:rPr>
          <w:sz w:val="20"/>
          <w:szCs w:val="20"/>
          <w:color w:val="auto"/>
        </w:rPr>
      </w:pPr>
      <w:r>
        <w:rPr>
          <w:rFonts w:ascii="Times New Roman" w:cs="Times New Roman" w:eastAsia="Times New Roman" w:hAnsi="Times New Roman"/>
          <w:sz w:val="20"/>
          <w:szCs w:val="20"/>
          <w:color w:val="auto"/>
        </w:rPr>
        <w:t>The Board or Compensation Committee of 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G. Wolff, certify that:</w:t>
      </w:r>
    </w:p>
    <w:p>
      <w:pPr>
        <w:spacing w:after="0" w:line="225"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Trevor Thatcher, certify that:</w:t>
      </w:r>
    </w:p>
    <w:p>
      <w:pPr>
        <w:spacing w:after="0" w:line="225" w:lineRule="exact"/>
        <w:rPr>
          <w:sz w:val="20"/>
          <w:szCs w:val="20"/>
          <w:color w:val="auto"/>
        </w:rPr>
      </w:pPr>
    </w:p>
    <w:p>
      <w:pPr>
        <w:ind w:left="520" w:hanging="512"/>
        <w:spacing w:after="0"/>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Palladyne AI Corp.;</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hanging="479"/>
        <w:spacing w:after="0" w:line="282" w:lineRule="auto"/>
        <w:tabs>
          <w:tab w:leader="none" w:pos="895"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Benjamin G. Wolff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Benjamin G. Wolff</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Palladyne AI Corp. (the “Company”) on Form 10-Q for the period ending September 30,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900" w:hanging="359"/>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s>
        <w:rPr>
          <w:sz w:val="20"/>
          <w:szCs w:val="20"/>
          <w:color w:val="auto"/>
        </w:rPr>
      </w:pPr>
      <w:r>
        <w:rPr>
          <w:rFonts w:ascii="Times New Roman" w:cs="Times New Roman" w:eastAsia="Times New Roman" w:hAnsi="Times New Roman"/>
          <w:sz w:val="18"/>
          <w:szCs w:val="18"/>
          <w:color w:val="auto"/>
        </w:rPr>
        <w:t>Date: November 12, 2025</w:t>
      </w:r>
      <w:r>
        <w:rPr>
          <w:sz w:val="20"/>
          <w:szCs w:val="20"/>
          <w:color w:val="auto"/>
        </w:rPr>
        <w:tab/>
      </w:r>
      <w:r>
        <w:rPr>
          <w:rFonts w:ascii="Times New Roman" w:cs="Times New Roman" w:eastAsia="Times New Roman" w:hAnsi="Times New Roman"/>
          <w:sz w:val="18"/>
          <w:szCs w:val="18"/>
          <w:color w:val="auto"/>
        </w:rPr>
        <w:t>By: /s/ Trevor Thatcher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0">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Trevor Thatcher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884555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decimal"/>
      <w:start w:val="7"/>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1)"/>
      <w:numFmt w:val="lowerRoman"/>
      <w:start w:val="2"/>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2"/>
      <w:numFmt w:val="decimal"/>
      <w:start w:val="104"/>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2"/>
    </w:lvl>
  </w:abstractNum>
  <w:abstractNum w:abstractNumId="24">
    <w:nsid w:val="7C3DBD3D"/>
    <w:multiLevelType w:val="hybridMultilevel"/>
    <w:lvl w:ilvl="0">
      <w:lvlJc w:val="left"/>
      <w:lvlText w:val="%1"/>
      <w:numFmt w:val="lowerLetter"/>
      <w:start w:val="1"/>
    </w:lvl>
    <w:lvl w:ilvl="1">
      <w:lvlJc w:val="left"/>
      <w:lvlText w:val="(%2)"/>
      <w:numFmt w:val="lowerLetter"/>
      <w:start w:val="1"/>
    </w:lvl>
  </w:abstractNum>
  <w:abstractNum w:abstractNumId="25">
    <w:nsid w:val="737B8DDC"/>
    <w:multiLevelType w:val="hybridMultilevel"/>
    <w:lvl w:ilvl="0">
      <w:lvlJc w:val="left"/>
      <w:lvlText w:val="(%1)"/>
      <w:numFmt w:val="lowerLetter"/>
      <w:start w:val="2"/>
    </w:lvl>
    <w:lvl w:ilvl="1">
      <w:lvlJc w:val="left"/>
      <w:lvlText w:val="%2"/>
      <w:numFmt w:val="lowerLetter"/>
      <w:start w:val="1"/>
    </w:lvl>
  </w:abstractNum>
  <w:abstractNum w:abstractNumId="26">
    <w:nsid w:val="6CEAF087"/>
    <w:multiLevelType w:val="hybridMultilevel"/>
    <w:lvl w:ilvl="0">
      <w:lvlJc w:val="left"/>
      <w:lvlText w:val="(%1)"/>
      <w:numFmt w:val="lowerLetter"/>
      <w:start w:val="3"/>
    </w:lvl>
  </w:abstractNum>
  <w:abstractNum w:abstractNumId="27">
    <w:nsid w:val="22221A70"/>
    <w:multiLevelType w:val="hybridMultilevel"/>
    <w:lvl w:ilvl="0">
      <w:lvlJc w:val="left"/>
      <w:lvlText w:val="(%1)"/>
      <w:numFmt w:val="lowerLetter"/>
      <w:start w:val="4"/>
    </w:lvl>
  </w:abstractNum>
  <w:abstractNum w:abstractNumId="28">
    <w:nsid w:val="4516DDE9"/>
    <w:multiLevelType w:val="hybridMultilevel"/>
    <w:lvl w:ilvl="0">
      <w:lvlJc w:val="left"/>
      <w:lvlText w:val="%1."/>
      <w:numFmt w:val="decimal"/>
      <w:start w:val="3"/>
    </w:lvl>
  </w:abstractNum>
  <w:abstractNum w:abstractNumId="29">
    <w:nsid w:val="3006C83E"/>
    <w:multiLevelType w:val="hybridMultilevel"/>
    <w:lvl w:ilvl="0">
      <w:lvlJc w:val="left"/>
      <w:lvlText w:val="%1."/>
      <w:numFmt w:val="decimal"/>
      <w:start w:val="4"/>
    </w:lvl>
  </w:abstractNum>
  <w:abstractNum w:abstractNumId="30">
    <w:nsid w:val="614FD4A1"/>
    <w:multiLevelType w:val="hybridMultilevel"/>
    <w:lvl w:ilvl="0">
      <w:lvlJc w:val="left"/>
      <w:lvlText w:val="%1."/>
      <w:numFmt w:val="decimal"/>
      <w:start w:val="5"/>
    </w:lvl>
  </w:abstractNum>
  <w:abstractNum w:abstractNumId="31">
    <w:nsid w:val="419AC241"/>
    <w:multiLevelType w:val="hybridMultilevel"/>
    <w:lvl w:ilvl="0">
      <w:lvlJc w:val="left"/>
      <w:lvlText w:val="%1."/>
      <w:numFmt w:val="decimal"/>
      <w:start w:val="6"/>
    </w:lvl>
  </w:abstractNum>
  <w:abstractNum w:abstractNumId="32">
    <w:nsid w:val="5577F8E1"/>
    <w:multiLevelType w:val="hybridMultilevel"/>
    <w:lvl w:ilvl="0">
      <w:lvlJc w:val="left"/>
      <w:lvlText w:val="%1."/>
      <w:numFmt w:val="decimal"/>
      <w:start w:val="7"/>
    </w:lvl>
  </w:abstractNum>
  <w:abstractNum w:abstractNumId="33">
    <w:nsid w:val="440BADF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6" Type="http://schemas.openxmlformats.org/officeDocument/2006/relationships/image" Target="media/image305.png"/><Relationship Id="rId317" Type="http://schemas.openxmlformats.org/officeDocument/2006/relationships/image" Target="media/image306.png"/><Relationship Id="rId318" Type="http://schemas.openxmlformats.org/officeDocument/2006/relationships/image" Target="media/image307.png"/><Relationship Id="rId319" Type="http://schemas.openxmlformats.org/officeDocument/2006/relationships/image" Target="media/image308.png"/><Relationship Id="rId320" Type="http://schemas.openxmlformats.org/officeDocument/2006/relationships/image" Target="media/image309.png"/><Relationship Id="rId321" Type="http://schemas.openxmlformats.org/officeDocument/2006/relationships/image" Target="media/image310.png"/><Relationship Id="rId322" Type="http://schemas.openxmlformats.org/officeDocument/2006/relationships/image" Target="media/image311.png"/><Relationship Id="rId323" Type="http://schemas.openxmlformats.org/officeDocument/2006/relationships/image" Target="media/image312.png"/><Relationship Id="rId324" Type="http://schemas.openxmlformats.org/officeDocument/2006/relationships/image" Target="media/image313.png"/><Relationship Id="rId325" Type="http://schemas.openxmlformats.org/officeDocument/2006/relationships/image" Target="media/image314.png"/><Relationship Id="rId326" Type="http://schemas.openxmlformats.org/officeDocument/2006/relationships/image" Target="media/image315.png"/><Relationship Id="rId327" Type="http://schemas.openxmlformats.org/officeDocument/2006/relationships/image" Target="media/image316.png"/><Relationship Id="rId328" Type="http://schemas.openxmlformats.org/officeDocument/2006/relationships/image" Target="media/image317.png"/><Relationship Id="rId329" Type="http://schemas.openxmlformats.org/officeDocument/2006/relationships/image" Target="media/image318.png"/><Relationship Id="rId330" Type="http://schemas.openxmlformats.org/officeDocument/2006/relationships/image" Target="media/image319.png"/><Relationship Id="rId331" Type="http://schemas.openxmlformats.org/officeDocument/2006/relationships/image" Target="media/image320.png"/><Relationship Id="rId312" Type="http://schemas.openxmlformats.org/officeDocument/2006/relationships/hyperlink" Target="https://www.sec.gov/Archives/edgar/data/1826681/000156459021049662/strc-ex31_83.htm" TargetMode="External"/><Relationship Id="rId313" Type="http://schemas.openxmlformats.org/officeDocument/2006/relationships/hyperlink" Target="https://www.sec.gov/Archives/edgar/data/1826681/000095017023028943/strc-ex3_1.htm" TargetMode="External"/><Relationship Id="rId314" Type="http://schemas.openxmlformats.org/officeDocument/2006/relationships/hyperlink" Target="https://www.sec.gov/Archives/edgar/data/1826681/000095017024032876/strc-ex3_1.htm" TargetMode="External"/><Relationship Id="rId315" Type="http://schemas.openxmlformats.org/officeDocument/2006/relationships/hyperlink" Target="https://www.sec.gov/Archives/edgar/data/1826681/000095017024032876/strc-ex3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2025-11-12T06:30:38Z</dcterms:created>
  <dcterms:modified xsi:type="dcterms:W3CDTF">2025-11-12T06:30:38Z</dcterms:modified>
</cp:coreProperties>
</file>