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534035</wp:posOffset>
            </wp:positionH>
            <wp:positionV relativeFrom="page">
              <wp:posOffset>286385</wp:posOffset>
            </wp:positionV>
            <wp:extent cx="6806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303530</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3680" w:right="1600" w:hanging="3659"/>
        <w:spacing w:after="0" w:line="367" w:lineRule="auto"/>
        <w:tabs>
          <w:tab w:leader="none" w:pos="47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 to 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001-39897</w:t>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SARCOS TECHNOLOGY AND ROBOTICS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p>
      <w:pPr>
        <w:spacing w:after="0" w:line="200" w:lineRule="exact"/>
        <w:rPr>
          <w:sz w:val="24"/>
          <w:szCs w:val="24"/>
          <w:color w:val="auto"/>
        </w:rPr>
      </w:pPr>
    </w:p>
    <w:p>
      <w:pPr>
        <w:spacing w:after="0" w:line="27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85-2838301</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 w:lineRule="exact"/>
        <w:rPr>
          <w:sz w:val="24"/>
          <w:szCs w:val="24"/>
          <w:color w:val="auto"/>
        </w:rPr>
      </w:pPr>
    </w:p>
    <w:p>
      <w:pPr>
        <w:sectPr>
          <w:pgSz w:w="11900" w:h="16838" w:orient="portrait"/>
          <w:cols w:equalWidth="0" w:num="2">
            <w:col w:w="7220" w:space="720"/>
            <w:col w:w="3300"/>
          </w:cols>
          <w:pgMar w:left="320" w:top="673" w:right="339" w:bottom="1440" w:gutter="0" w:footer="0" w:header="0"/>
          <w:type w:val="continuous"/>
        </w:sectPr>
      </w:pPr>
    </w:p>
    <w:tbl>
      <w:tblPr>
        <w:tblLayout w:type="fixed"/>
        <w:tblInd w:w="1660" w:type="dxa"/>
        <w:tblCellMar>
          <w:top w:w="0" w:type="dxa"/>
          <w:left w:w="0" w:type="dxa"/>
          <w:bottom w:w="0" w:type="dxa"/>
          <w:right w:w="0" w:type="dxa"/>
        </w:tblCellMar>
      </w:tblPr>
      <w:tr>
        <w:trPr>
          <w:trHeight w:val="207"/>
        </w:trPr>
        <w:tc>
          <w:tcPr>
            <w:tcW w:w="440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9"/>
              </w:rPr>
              <w:t>650 South 500 West, Suite 150</w:t>
            </w:r>
          </w:p>
        </w:tc>
        <w:tc>
          <w:tcPr>
            <w:tcW w:w="2660" w:type="dxa"/>
            <w:vAlign w:val="bottom"/>
          </w:tcPr>
          <w:p>
            <w:pPr>
              <w:spacing w:after="0"/>
              <w:rPr>
                <w:sz w:val="18"/>
                <w:szCs w:val="18"/>
                <w:color w:val="auto"/>
              </w:rPr>
            </w:pPr>
          </w:p>
        </w:tc>
      </w:tr>
      <w:tr>
        <w:trPr>
          <w:trHeight w:val="232"/>
        </w:trPr>
        <w:tc>
          <w:tcPr>
            <w:tcW w:w="440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9"/>
              </w:rPr>
              <w:t>Salt Lake City, Utah</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84101</w:t>
            </w:r>
          </w:p>
        </w:tc>
      </w:tr>
      <w:tr>
        <w:trPr>
          <w:trHeight w:val="166"/>
        </w:trPr>
        <w:tc>
          <w:tcPr>
            <w:tcW w:w="4400" w:type="dxa"/>
            <w:vAlign w:val="bottom"/>
          </w:tcPr>
          <w:p>
            <w:pPr>
              <w:jc w:val="center"/>
              <w:ind w:right="199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660" w:type="dxa"/>
            <w:vAlign w:val="bottom"/>
          </w:tcPr>
          <w:p>
            <w:pPr>
              <w:jc w:val="center"/>
              <w:ind w:left="200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927-7296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5"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3"/>
                <w:szCs w:val="13"/>
                <w:color w:val="auto"/>
              </w:rPr>
            </w:pPr>
          </w:p>
        </w:tc>
        <w:tc>
          <w:tcPr>
            <w:tcW w:w="16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STRC</w:t>
            </w:r>
          </w:p>
        </w:tc>
        <w:tc>
          <w:tcPr>
            <w:tcW w:w="120" w:type="dxa"/>
            <w:vAlign w:val="bottom"/>
          </w:tcPr>
          <w:p>
            <w:pPr>
              <w:spacing w:after="0"/>
              <w:rPr>
                <w:sz w:val="13"/>
                <w:szCs w:val="13"/>
                <w:color w:val="auto"/>
              </w:rPr>
            </w:pPr>
          </w:p>
        </w:tc>
        <w:tc>
          <w:tcPr>
            <w:tcW w:w="50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r>
        <w:trPr>
          <w:trHeight w:val="210"/>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STRCW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60" w:firstLine="599"/>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77"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202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28, 2022, the registrant had 154.7 million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368935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60" w:type="dxa"/>
            <w:vAlign w:val="bottom"/>
            <w:gridSpan w:val="8"/>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60" w:type="dxa"/>
            <w:vAlign w:val="bottom"/>
            <w:gridSpan w:val="3"/>
            <w:vMerge w:val="continue"/>
          </w:tcPr>
          <w:p>
            <w:pPr>
              <w:spacing w:after="0"/>
              <w:rPr>
                <w:sz w:val="13"/>
                <w:szCs w:val="13"/>
                <w:color w:val="auto"/>
              </w:rPr>
            </w:pPr>
          </w:p>
        </w:tc>
        <w:tc>
          <w:tcPr>
            <w:tcW w:w="9300" w:type="dxa"/>
            <w:vAlign w:val="bottom"/>
            <w:gridSpan w:val="23"/>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FF"/>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2"/>
              </w:rPr>
              <w:t>Financial Statements (Unaudited)</w:t>
            </w:r>
          </w:p>
        </w:tc>
        <w:tc>
          <w:tcPr>
            <w:tcW w:w="8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4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6860" w:type="dxa"/>
            <w:vAlign w:val="bottom"/>
            <w:gridSpan w:val="11"/>
          </w:tcPr>
          <w:p>
            <w:pPr>
              <w:ind w:left="40"/>
              <w:spacing w:after="0" w:line="182" w:lineRule="exact"/>
              <w:rPr>
                <w:sz w:val="20"/>
                <w:szCs w:val="20"/>
                <w:color w:val="auto"/>
              </w:rPr>
            </w:pPr>
            <w:r>
              <w:rPr>
                <w:rFonts w:ascii="Times New Roman" w:cs="Times New Roman" w:eastAsia="Times New Roman" w:hAnsi="Times New Roman"/>
                <w:sz w:val="18"/>
                <w:szCs w:val="18"/>
                <w:color w:val="0000FF"/>
              </w:rPr>
              <w:t>Sheets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636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3"/>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2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Borders>
              <w:bottom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5"/>
                <w:szCs w:val="15"/>
                <w:color w:val="auto"/>
              </w:rPr>
            </w:pPr>
          </w:p>
        </w:tc>
        <w:tc>
          <w:tcPr>
            <w:tcW w:w="4480" w:type="dxa"/>
            <w:vAlign w:val="bottom"/>
            <w:gridSpan w:val="2"/>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3"/>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10"/>
          </w:tcPr>
          <w:p>
            <w:pPr>
              <w:spacing w:after="0"/>
              <w:rPr>
                <w:sz w:val="15"/>
                <w:szCs w:val="15"/>
                <w:color w:val="auto"/>
              </w:rPr>
            </w:pPr>
          </w:p>
        </w:tc>
        <w:tc>
          <w:tcPr>
            <w:tcW w:w="492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800" w:type="dxa"/>
            <w:vAlign w:val="bottom"/>
            <w:tcBorders>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3"/>
              </w:rPr>
              <w:t>OTHER INFORMATION</w:t>
            </w:r>
          </w:p>
        </w:tc>
        <w:tc>
          <w:tcPr>
            <w:tcW w:w="100" w:type="dxa"/>
            <w:vAlign w:val="bottom"/>
            <w:tcBorders>
              <w:bottom w:val="single" w:sz="8" w:color="0000FF"/>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20" w:type="dxa"/>
            <w:vAlign w:val="bottom"/>
            <w:gridSpan w:val="6"/>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90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gridSpan w:val="2"/>
          </w:tcPr>
          <w:p>
            <w:pPr>
              <w:spacing w:after="0"/>
              <w:rPr>
                <w:sz w:val="15"/>
                <w:szCs w:val="15"/>
                <w:color w:val="auto"/>
              </w:rPr>
            </w:pPr>
          </w:p>
        </w:tc>
        <w:tc>
          <w:tcPr>
            <w:tcW w:w="2020" w:type="dxa"/>
            <w:vAlign w:val="bottom"/>
            <w:gridSpan w:val="6"/>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1000" w:type="dxa"/>
            <w:vAlign w:val="bottom"/>
            <w:gridSpan w:val="5"/>
          </w:tcPr>
          <w:p>
            <w:pPr>
              <w:spacing w:after="0"/>
              <w:rPr>
                <w:sz w:val="15"/>
                <w:szCs w:val="15"/>
                <w:color w:val="auto"/>
              </w:rPr>
            </w:pPr>
          </w:p>
        </w:tc>
        <w:tc>
          <w:tcPr>
            <w:tcW w:w="2020" w:type="dxa"/>
            <w:vAlign w:val="bottom"/>
            <w:gridSpan w:val="6"/>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20"/>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6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20" w:type="dxa"/>
            <w:vAlign w:val="bottom"/>
            <w:gridSpan w:val="1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vMerge w:val="restart"/>
          </w:tcPr>
          <w:p>
            <w:pPr>
              <w:spacing w:after="0"/>
              <w:rPr>
                <w:sz w:val="15"/>
                <w:szCs w:val="15"/>
                <w:color w:val="auto"/>
              </w:rPr>
            </w:pPr>
          </w:p>
        </w:tc>
        <w:tc>
          <w:tcPr>
            <w:tcW w:w="4200" w:type="dxa"/>
            <w:vAlign w:val="bottom"/>
            <w:gridSpan w:val="19"/>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vMerge w:val="continue"/>
          </w:tcPr>
          <w:p>
            <w:pPr>
              <w:spacing w:after="0"/>
              <w:rPr>
                <w:sz w:val="24"/>
                <w:szCs w:val="24"/>
                <w:color w:val="auto"/>
              </w:rPr>
            </w:pPr>
          </w:p>
        </w:tc>
        <w:tc>
          <w:tcPr>
            <w:tcW w:w="4200" w:type="dxa"/>
            <w:vAlign w:val="bottom"/>
            <w:gridSpan w:val="19"/>
            <w:vMerge w:val="continue"/>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Part II, Item 1A Risk Factors. The following list summarizes the principal risks we face:</w:t>
      </w:r>
    </w:p>
    <w:p>
      <w:pPr>
        <w:spacing w:after="0" w:line="31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stage company with a history of losses, and expect to incur significant expenses for the foreseeable future.</w:t>
      </w:r>
    </w:p>
    <w:p>
      <w:pPr>
        <w:spacing w:after="0" w:line="14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growth, we may not be able to design, develop, manufacture, market and launch our robotic systems successfully.</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acquisition of RE2, Inc. is subject to numerous risks and uncertainties, including integration risks.</w:t>
      </w:r>
    </w:p>
    <w:p>
      <w:pPr>
        <w:spacing w:after="0" w:line="14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projections rely on management assumptions and analyses. If these assumptions or analyses prove to be incorrect, our actual operating results may be materially different from our forecasted results.</w:t>
      </w:r>
    </w:p>
    <w:p>
      <w:pPr>
        <w:spacing w:after="0" w:line="9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production of commercial units of our Guardian XT and Guardian XO products may be delayed beyond our current expectations and therefore initial delivery to customers and receipt of anticipated revenue could be delayed.</w:t>
      </w:r>
    </w:p>
    <w:p>
      <w:pPr>
        <w:spacing w:after="0" w:line="9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suppliers, some of which are currently single, sole or limited source suppliers, and any inability of these suppliers to deliver necessary components of our products at the prices, volumes, performance, timing and specifications acceptable to us, could have a material adverse effect on our business, prospects, financial condition and operating results. We have not yet identified all of the suppliers that we are likely to rely on to support any future commercialization of our core products.</w:t>
      </w:r>
    </w:p>
    <w:p>
      <w:pPr>
        <w:spacing w:after="0" w:line="10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limited experience commercializing our products and may not be able to do so efficiently or effectively.</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Our future capital needs may require us to sell additional equity or debt securities that may dilute our stockholders or introduce covenants that may restrict our operations or our ability to pay dividends.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core products represent a new product category, and important assumptions about market demand, pricing, adoption rates and sales cycles for our current and future products may be inaccurate.</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many of our products still under development, we have limited current customers and no binding orders for the commercial versions of our core products, the Guardian XT, Sapien 6M and Guardian XO, and expected customer trials and discussions with respect to those products may not result in binding orders or subscriptions.</w:t>
      </w:r>
    </w:p>
    <w:p>
      <w:pPr>
        <w:spacing w:after="0" w:line="109"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successfully market our products, the purchase or subscription, adoption and use of the products may be materially and negatively impacted if the employees of our customers resist the use and adoption of the products.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Robot-as-a-Service (“RaaS”) subscription model has yet to be tested and may fail to gain commercial acceptance.</w:t>
      </w:r>
    </w:p>
    <w:p>
      <w:pPr>
        <w:spacing w:after="0" w:line="14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successful in commercializing our products, our revenue will be concentrated in a limited number of models for the foreseeable future.</w:t>
      </w:r>
    </w:p>
    <w:p>
      <w:pPr>
        <w:spacing w:after="0" w:line="9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to customers of our products could be supplanted by other technologies or solutions or competitors' products that utilize similar technology to ours in a more effective way.</w:t>
      </w:r>
    </w:p>
    <w:p>
      <w:pPr>
        <w:spacing w:after="0" w:line="9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flaws, defects, glitches or malfunctions in our products or the software that operates them, failure of our products to perform as expected, connectivity issues or user errors can result in product recalls, lower than expected return on investment for customers, harm to users and significant safety concerns, each of which could materially and adversely affect our results of operations, financial condition or reputation.</w:t>
      </w:r>
    </w:p>
    <w:p>
      <w:pPr>
        <w:spacing w:after="0" w:line="10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experience maintaining or servicing our products at a large scale.</w:t>
      </w:r>
    </w:p>
    <w:p>
      <w:pPr>
        <w:spacing w:after="0" w:line="14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manufacture products of sufficient quality on schedule and on a large scale is unproven, and delays in the design, production and launch of our products could harm our business, prospects, financial condition and operating results.</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may be subject to risks associated with strategic alliances or acquisitions and may not be able to identify adequate strategic</w:t>
      </w:r>
    </w:p>
    <w:p>
      <w:pPr>
        <w:spacing w:after="0" w:line="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relationship opportunities, or form strategic relationships, in the future.</w:t>
      </w: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both"/>
        <w:ind w:left="503" w:right="20"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our senior management and other key employees and, if we are unable to attract and retain a sufficient number of qualified employees, our ability to design, manufacture and launch our products, operate our business and compete could be harmed.</w:t>
      </w:r>
    </w:p>
    <w:p>
      <w:pPr>
        <w:spacing w:after="0" w:line="10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as a group has limited experience in operating a publicly-traded company.</w:t>
      </w:r>
    </w:p>
    <w:p>
      <w:pPr>
        <w:spacing w:after="0" w:line="144"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impacts from COVID-19 or another pandemic, epidemic or outbreak of an infectious disease may materially and adversely impact our business, prospects, financial condition and operating results.</w:t>
      </w:r>
    </w:p>
    <w:p>
      <w:pPr>
        <w:spacing w:after="0" w:line="94" w:lineRule="exact"/>
        <w:rPr>
          <w:rFonts w:ascii="Times New Roman" w:cs="Times New Roman" w:eastAsia="Times New Roman" w:hAnsi="Times New Roman"/>
          <w:sz w:val="18"/>
          <w:szCs w:val="18"/>
          <w:color w:val="auto"/>
        </w:rPr>
      </w:pPr>
    </w:p>
    <w:p>
      <w:pPr>
        <w:ind w:left="503" w:right="2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significant delays in the design, development, production and launch of our robotic systems, which could harm our business, prospects, financial condition and operating results.</w:t>
      </w:r>
    </w:p>
    <w:p>
      <w:pPr>
        <w:spacing w:after="0" w:line="94"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prospects depend significantly on our ability to build our brands. We may not succeed in continuing to establish, maintain and strengthen our brands, and our brands and reputation could be harmed by negative publicity regarding us or our products.</w:t>
      </w:r>
    </w:p>
    <w:p>
      <w:pPr>
        <w:spacing w:after="0" w:line="94" w:lineRule="exact"/>
        <w:rPr>
          <w:rFonts w:ascii="Times New Roman" w:cs="Times New Roman" w:eastAsia="Times New Roman" w:hAnsi="Times New Roman"/>
          <w:sz w:val="18"/>
          <w:szCs w:val="18"/>
          <w:color w:val="auto"/>
        </w:rPr>
      </w:pPr>
    </w:p>
    <w:p>
      <w:pPr>
        <w:jc w:val="both"/>
        <w:ind w:left="503"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contract with a third-party manufacturing partner, we would need to develop our own manufacturing facilities, which may not be feasible and, if feasible, would significantly increase our capital expenditures and operating expenditures, and would significantly delay or inhibit production of our robotic systems.</w:t>
      </w:r>
    </w:p>
    <w:p>
      <w:pPr>
        <w:spacing w:after="0" w:line="10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that is subject to rapid technological change, and we expect competition to increase.</w:t>
      </w:r>
    </w:p>
    <w:p>
      <w:pPr>
        <w:spacing w:after="0" w:line="144"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vary significantly from period to period due to fluctuations in our operating costs, product demand and other factors.</w:t>
      </w:r>
    </w:p>
    <w:p>
      <w:pPr>
        <w:spacing w:after="0" w:line="94" w:lineRule="exact"/>
        <w:rPr>
          <w:rFonts w:ascii="Times New Roman" w:cs="Times New Roman" w:eastAsia="Times New Roman" w:hAnsi="Times New Roman"/>
          <w:sz w:val="18"/>
          <w:szCs w:val="18"/>
          <w:color w:val="auto"/>
        </w:rPr>
      </w:pPr>
    </w:p>
    <w:p>
      <w:pPr>
        <w:jc w:val="both"/>
        <w:ind w:left="503" w:right="20"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01"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substantial research and development costs and devote significant resources to identifying and commercializing new products, which could significantly reduce our profitability and may never result in revenue.</w:t>
      </w:r>
    </w:p>
    <w:p>
      <w:pPr>
        <w:spacing w:after="0" w:line="94" w:lineRule="exact"/>
        <w:rPr>
          <w:rFonts w:ascii="Times New Roman" w:cs="Times New Roman" w:eastAsia="Times New Roman" w:hAnsi="Times New Roman"/>
          <w:sz w:val="18"/>
          <w:szCs w:val="18"/>
          <w:color w:val="auto"/>
        </w:rPr>
      </w:pPr>
    </w:p>
    <w:p>
      <w:pPr>
        <w:ind w:left="503" w:right="2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obtain and maintain protection for the intellectual property relating to or incorporated into our products.</w:t>
      </w:r>
    </w:p>
    <w:p>
      <w:pPr>
        <w:spacing w:after="0" w:line="94"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in all countries.</w:t>
      </w:r>
    </w:p>
    <w:p>
      <w:pPr>
        <w:spacing w:after="0" w:line="144"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intellectual property infringement claims or misappropriation claims, which may be time consuming and expensive</w:t>
      </w:r>
    </w:p>
    <w:p>
      <w:pPr>
        <w:spacing w:after="0" w:line="25" w:lineRule="exact"/>
        <w:rPr>
          <w:sz w:val="20"/>
          <w:szCs w:val="20"/>
          <w:color w:val="auto"/>
        </w:rPr>
      </w:pPr>
    </w:p>
    <w:p>
      <w:pPr>
        <w:ind w:left="503"/>
        <w:spacing w:after="0"/>
        <w:rPr>
          <w:sz w:val="20"/>
          <w:szCs w:val="20"/>
          <w:color w:val="auto"/>
        </w:rPr>
      </w:pPr>
      <w:r>
        <w:rPr>
          <w:rFonts w:ascii="Times New Roman" w:cs="Times New Roman" w:eastAsia="Times New Roman" w:hAnsi="Times New Roman"/>
          <w:sz w:val="18"/>
          <w:szCs w:val="18"/>
          <w:color w:val="auto"/>
        </w:rPr>
        <w:t>and, if adversely determined, could limit our ability to commercialize our products.</w:t>
      </w:r>
    </w:p>
    <w:p>
      <w:pPr>
        <w:ind w:left="506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52070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7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data</w:t>
      </w:r>
      <w:r>
        <w:rPr>
          <w:rFonts w:ascii="Times New Roman" w:cs="Times New Roman" w:eastAsia="Times New Roman" w:hAnsi="Times New Roman"/>
          <w:sz w:val="18"/>
          <w:szCs w:val="18"/>
          <w:color w:val="auto"/>
        </w:rPr>
        <w: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7"/>
                <w:szCs w:val="17"/>
                <w:color w:val="auto"/>
              </w:rPr>
            </w:pPr>
          </w:p>
        </w:tc>
      </w:tr>
      <w:tr>
        <w:trPr>
          <w:trHeight w:val="196"/>
        </w:trPr>
        <w:tc>
          <w:tcPr>
            <w:tcW w:w="77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16,129</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217,114</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119,252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Unbilled receivables</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 net</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3,218</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9,202</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146,068</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228,331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7,051</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19,935</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70,660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244,810</w:t>
            </w:r>
          </w:p>
        </w:tc>
        <w:tc>
          <w:tcPr>
            <w:tcW w:w="2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235,823</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7,233</w:t>
            </w:r>
          </w:p>
        </w:tc>
        <w:tc>
          <w:tcPr>
            <w:tcW w:w="2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100" w:type="dxa"/>
            <w:vAlign w:val="bottom"/>
            <w:tcBorders>
              <w:bottom w:val="single" w:sz="8" w:color="CFF0FC"/>
            </w:tcBorders>
          </w:tcPr>
          <w:p>
            <w:pPr>
              <w:spacing w:after="0"/>
              <w:rPr>
                <w:sz w:val="17"/>
                <w:szCs w:val="17"/>
                <w:color w:val="auto"/>
              </w:rPr>
            </w:pP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9,843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liabilities</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00" w:type="dxa"/>
            <w:vAlign w:val="bottom"/>
          </w:tcPr>
          <w:p>
            <w:pPr>
              <w:spacing w:after="0"/>
              <w:rPr>
                <w:sz w:val="17"/>
                <w:szCs w:val="17"/>
                <w:color w:val="auto"/>
              </w:rPr>
            </w:pPr>
          </w:p>
        </w:tc>
      </w:tr>
      <w:tr>
        <w:trPr>
          <w:trHeight w:val="19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13,816</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48"/>
        </w:trPr>
        <w:tc>
          <w:tcPr>
            <w:tcW w:w="772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Common stock, $0.0001 par value, 990,000,000 shares authorized as of September 30, 2022, and December 31,</w:t>
            </w: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77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2021; 154,639,416 and 137,722,658 shares issued and outstanding as of September 30, 2022, and December 31,</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 respectively</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r>
      <w:tr>
        <w:trPr>
          <w:trHeight w:val="20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441,423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359,439</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tcPr>
          <w:p>
            <w:pPr>
              <w:spacing w:after="0"/>
              <w:rPr>
                <w:sz w:val="17"/>
                <w:szCs w:val="17"/>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(134 )</w:t>
            </w:r>
          </w:p>
        </w:tc>
        <w:tc>
          <w:tcPr>
            <w:tcW w:w="12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(210,310 )</w:t>
            </w:r>
          </w:p>
        </w:tc>
        <w:tc>
          <w:tcPr>
            <w:tcW w:w="12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(145,491 )</w:t>
            </w:r>
          </w:p>
        </w:tc>
      </w:tr>
      <w:tr>
        <w:trPr>
          <w:trHeight w:val="19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230,994</w:t>
            </w: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213,962</w:t>
            </w:r>
          </w:p>
        </w:tc>
        <w:tc>
          <w:tcPr>
            <w:tcW w:w="100" w:type="dxa"/>
            <w:vAlign w:val="bottom"/>
            <w:tcBorders>
              <w:top w:val="single" w:sz="8" w:color="CFF0FC"/>
            </w:tcBorders>
          </w:tcPr>
          <w:p>
            <w:pPr>
              <w:spacing w:after="0"/>
              <w:rPr>
                <w:sz w:val="17"/>
                <w:szCs w:val="17"/>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244,810</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235,823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-2630805</wp:posOffset>
            </wp:positionV>
            <wp:extent cx="6858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-1953895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-1293495</wp:posOffset>
            </wp:positionV>
            <wp:extent cx="6858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-299085</wp:posOffset>
            </wp:positionV>
            <wp:extent cx="6858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20" w:type="dxa"/>
            <w:vAlign w:val="bottom"/>
          </w:tcPr>
          <w:p>
            <w:pPr>
              <w:spacing w:after="0"/>
              <w:rPr>
                <w:sz w:val="18"/>
                <w:szCs w:val="18"/>
                <w:color w:val="auto"/>
              </w:rPr>
            </w:pPr>
          </w:p>
        </w:tc>
        <w:tc>
          <w:tcPr>
            <w:tcW w:w="2820" w:type="dxa"/>
            <w:vAlign w:val="bottom"/>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0" w:type="dxa"/>
            <w:vAlign w:val="bottom"/>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6"/>
        </w:trPr>
        <w:tc>
          <w:tcPr>
            <w:tcW w:w="5820" w:type="dxa"/>
            <w:vAlign w:val="bottom"/>
          </w:tcPr>
          <w:p>
            <w:pPr>
              <w:ind w:left="57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4,667</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8,448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3,578</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11,398</w:t>
            </w:r>
          </w:p>
        </w:tc>
        <w:tc>
          <w:tcPr>
            <w:tcW w:w="100" w:type="dxa"/>
            <w:vAlign w:val="bottom"/>
          </w:tcPr>
          <w:p>
            <w:pPr>
              <w:spacing w:after="0"/>
              <w:rPr>
                <w:sz w:val="17"/>
                <w:szCs w:val="17"/>
                <w:color w:val="auto"/>
              </w:rPr>
            </w:pPr>
          </w:p>
        </w:tc>
      </w:tr>
      <w:tr>
        <w:trPr>
          <w:trHeight w:val="20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33,864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50,584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39,099</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100" w:type="dxa"/>
            <w:vAlign w:val="bottom"/>
          </w:tcPr>
          <w:p>
            <w:pPr>
              <w:spacing w:after="0"/>
              <w:rPr>
                <w:sz w:val="17"/>
                <w:szCs w:val="17"/>
                <w:color w:val="auto"/>
              </w:rPr>
            </w:pPr>
          </w:p>
        </w:tc>
      </w:tr>
      <w:tr>
        <w:trPr>
          <w:trHeight w:val="20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8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31,917</w:t>
            </w: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41,617</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90,310</w:t>
            </w: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57,418</w:t>
            </w:r>
          </w:p>
        </w:tc>
        <w:tc>
          <w:tcPr>
            <w:tcW w:w="100" w:type="dxa"/>
            <w:vAlign w:val="bottom"/>
            <w:tcBorders>
              <w:top w:val="single" w:sz="8" w:color="CFF0FC"/>
            </w:tcBorders>
          </w:tcPr>
          <w:p>
            <w:pPr>
              <w:spacing w:after="0"/>
              <w:rPr>
                <w:sz w:val="17"/>
                <w:szCs w:val="17"/>
                <w:color w:val="auto"/>
              </w:rPr>
            </w:pP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(27,250</w:t>
            </w:r>
          </w:p>
        </w:tc>
        <w:tc>
          <w:tcPr>
            <w:tcW w:w="2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(40,488</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(81,862</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(53,347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(7 )</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0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12,011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3,510</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forgiveness of notes payable</w:t>
            </w:r>
          </w:p>
        </w:tc>
        <w:tc>
          <w:tcPr>
            <w:tcW w:w="220" w:type="dxa"/>
            <w:vAlign w:val="bottom"/>
          </w:tcPr>
          <w:p>
            <w:pPr>
              <w:spacing w:after="0"/>
              <w:rPr>
                <w:sz w:val="17"/>
                <w:szCs w:val="17"/>
                <w:color w:val="auto"/>
              </w:rPr>
            </w:pPr>
          </w:p>
        </w:tc>
        <w:tc>
          <w:tcPr>
            <w:tcW w:w="12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00" w:type="dxa"/>
            <w:vAlign w:val="bottom"/>
          </w:tcPr>
          <w:p>
            <w:pPr>
              <w:spacing w:after="0"/>
              <w:rPr>
                <w:sz w:val="17"/>
                <w:szCs w:val="17"/>
                <w:color w:val="auto"/>
              </w:rPr>
            </w:pPr>
          </w:p>
        </w:tc>
      </w:tr>
      <w:tr>
        <w:trPr>
          <w:trHeight w:val="20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(4 )</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(4 )</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FF0FC"/>
          </w:tcPr>
          <w:p>
            <w:pPr>
              <w:spacing w:after="0"/>
              <w:rPr>
                <w:sz w:val="17"/>
                <w:szCs w:val="17"/>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 benefit (expense)</w:t>
            </w:r>
          </w:p>
        </w:tc>
        <w:tc>
          <w:tcPr>
            <w:tcW w:w="220" w:type="dxa"/>
            <w:vAlign w:val="bottom"/>
          </w:tcPr>
          <w:p>
            <w:pPr>
              <w:spacing w:after="0"/>
              <w:rPr>
                <w:sz w:val="17"/>
                <w:szCs w:val="17"/>
                <w:color w:val="auto"/>
              </w:rPr>
            </w:pP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(24,964 )</w:t>
            </w:r>
          </w:p>
        </w:tc>
        <w:tc>
          <w:tcPr>
            <w:tcW w:w="220" w:type="dxa"/>
            <w:vAlign w:val="bottom"/>
          </w:tcPr>
          <w:p>
            <w:pPr>
              <w:spacing w:after="0"/>
              <w:rPr>
                <w:sz w:val="17"/>
                <w:szCs w:val="17"/>
                <w:color w:val="auto"/>
              </w:rPr>
            </w:pP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(36,985 )</w:t>
            </w:r>
          </w:p>
        </w:tc>
        <w:tc>
          <w:tcPr>
            <w:tcW w:w="200" w:type="dxa"/>
            <w:vAlign w:val="bottom"/>
          </w:tcPr>
          <w:p>
            <w:pPr>
              <w:spacing w:after="0"/>
              <w:rPr>
                <w:sz w:val="17"/>
                <w:szCs w:val="17"/>
                <w:color w:val="auto"/>
              </w:rPr>
            </w:pP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(68,890 )</w:t>
            </w: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(47,445 )</w:t>
            </w:r>
          </w:p>
        </w:tc>
      </w:tr>
      <w:tr>
        <w:trPr>
          <w:trHeight w:val="19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(22,499 )</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(36,985 )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(64,819 )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(47,446 )</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2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96"/>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(0.15 )</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(0.35 )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(0.45 )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(0.45 )</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net loss per share</w:t>
            </w:r>
          </w:p>
        </w:tc>
        <w:tc>
          <w:tcPr>
            <w:tcW w:w="2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96"/>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150,940,534</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106,614,893</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145,082,671</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104,922,111</w:t>
            </w:r>
          </w:p>
        </w:tc>
        <w:tc>
          <w:tcPr>
            <w:tcW w:w="10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-1807845</wp:posOffset>
            </wp:positionV>
            <wp:extent cx="7747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-1807845</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-1807845</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-1019810</wp:posOffset>
            </wp:positionV>
            <wp:extent cx="7747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-1019810</wp:posOffset>
            </wp:positionV>
            <wp:extent cx="6858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-1019810</wp:posOffset>
            </wp:positionV>
            <wp:extent cx="6858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-744855</wp:posOffset>
            </wp:positionV>
            <wp:extent cx="7747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-744855</wp:posOffset>
            </wp:positionV>
            <wp:extent cx="6858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-744855</wp:posOffset>
            </wp:positionV>
            <wp:extent cx="6858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-454025</wp:posOffset>
            </wp:positionV>
            <wp:extent cx="7747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-454025</wp:posOffset>
            </wp:positionV>
            <wp:extent cx="6858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-454025</wp:posOffset>
            </wp:positionV>
            <wp:extent cx="6858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-162560</wp:posOffset>
            </wp:positionV>
            <wp:extent cx="7747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-162560</wp:posOffset>
            </wp:positionV>
            <wp:extent cx="6858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-162560</wp:posOffset>
            </wp:positionV>
            <wp:extent cx="6858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3160"/>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3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20" w:type="dxa"/>
            <w:vAlign w:val="bottom"/>
          </w:tcPr>
          <w:p>
            <w:pPr>
              <w:spacing w:after="0"/>
              <w:rPr>
                <w:sz w:val="18"/>
                <w:szCs w:val="18"/>
                <w:color w:val="auto"/>
              </w:rPr>
            </w:pPr>
          </w:p>
        </w:tc>
        <w:tc>
          <w:tcPr>
            <w:tcW w:w="2820" w:type="dxa"/>
            <w:vAlign w:val="bottom"/>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0" w:type="dxa"/>
            <w:vAlign w:val="bottom"/>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6"/>
        </w:trPr>
        <w:tc>
          <w:tcPr>
            <w:tcW w:w="5820" w:type="dxa"/>
            <w:vAlign w:val="bottom"/>
          </w:tcPr>
          <w:p>
            <w:pPr>
              <w:ind w:left="576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(22,499</w:t>
            </w:r>
          </w:p>
        </w:tc>
        <w:tc>
          <w:tcPr>
            <w:tcW w:w="2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(36,985</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(64,819</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(47,446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Change in unrealized loss on available-for-sale investments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(134 )</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(134 )</w:t>
            </w: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(22,633</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(36,985</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(64,953</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(47,446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-312420</wp:posOffset>
            </wp:positionV>
            <wp:extent cx="2734310" cy="1708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34310" cy="1708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2"/>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Addition</w:t>
            </w: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1"/>
                <w:szCs w:val="11"/>
                <w:b w:val="1"/>
                <w:bCs w:val="1"/>
                <w:color w:val="auto"/>
              </w:rPr>
              <w:t>Convertible Preferred Stock</w:t>
            </w: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al</w:t>
            </w:r>
          </w:p>
        </w:tc>
        <w:tc>
          <w:tcPr>
            <w:tcW w:w="180" w:type="dxa"/>
            <w:vAlign w:val="bottom"/>
          </w:tcPr>
          <w:p>
            <w:pPr>
              <w:spacing w:after="0"/>
              <w:rPr>
                <w:sz w:val="12"/>
                <w:szCs w:val="12"/>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88"/>
        </w:trPr>
        <w:tc>
          <w:tcPr>
            <w:tcW w:w="2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gridSpan w:val="3"/>
          </w:tcPr>
          <w:p>
            <w:pPr>
              <w:jc w:val="center"/>
              <w:ind w:right="12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w:t>
            </w:r>
          </w:p>
        </w:tc>
        <w:tc>
          <w:tcPr>
            <w:tcW w:w="680" w:type="dxa"/>
            <w:vAlign w:val="bottom"/>
            <w:gridSpan w:val="3"/>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Accumulate</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3"/>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7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2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Series C</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80" w:type="dxa"/>
            <w:vAlign w:val="bottom"/>
            <w:tcBorders>
              <w:bottom w:val="single" w:sz="8" w:color="auto"/>
            </w:tcBorders>
          </w:tcPr>
          <w:p>
            <w:pPr>
              <w:spacing w:after="0"/>
              <w:rPr>
                <w:sz w:val="12"/>
                <w:szCs w:val="12"/>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80" w:type="dxa"/>
            <w:vAlign w:val="bottom"/>
          </w:tcPr>
          <w:p>
            <w:pPr>
              <w:spacing w:after="0"/>
              <w:rPr>
                <w:sz w:val="12"/>
                <w:szCs w:val="12"/>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80"/>
              </w:rPr>
              <w:t>e</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d</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2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88"/>
        </w:trPr>
        <w:tc>
          <w:tcPr>
            <w:tcW w:w="2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gridSpan w:val="2"/>
          </w:tcPr>
          <w:p>
            <w:pPr>
              <w:jc w:val="right"/>
              <w:ind w:right="66"/>
              <w:spacing w:after="0" w:line="88" w:lineRule="exact"/>
              <w:rPr>
                <w:sz w:val="20"/>
                <w:szCs w:val="20"/>
                <w:color w:val="auto"/>
              </w:rPr>
            </w:pPr>
            <w:r>
              <w:rPr>
                <w:rFonts w:ascii="Times New Roman" w:cs="Times New Roman" w:eastAsia="Times New Roman" w:hAnsi="Times New Roman"/>
                <w:sz w:val="10"/>
                <w:szCs w:val="10"/>
                <w:b w:val="1"/>
                <w:bCs w:val="1"/>
                <w:color w:val="auto"/>
              </w:rPr>
              <w:t>Amoun</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5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4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t</w:t>
            </w:r>
          </w:p>
        </w:tc>
        <w:tc>
          <w:tcPr>
            <w:tcW w:w="5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80" w:type="dxa"/>
            <w:vAlign w:val="bottom"/>
          </w:tcPr>
          <w:p>
            <w:pPr>
              <w:spacing w:after="0"/>
              <w:rPr>
                <w:sz w:val="13"/>
                <w:szCs w:val="13"/>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0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2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95"/>
        </w:trPr>
        <w:tc>
          <w:tcPr>
            <w:tcW w:w="2220" w:type="dxa"/>
            <w:vAlign w:val="bottom"/>
            <w:tcBorders>
              <w:right w:val="single" w:sz="8" w:color="CFF0FC"/>
            </w:tcBorders>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Balance at December 31, 2020</w:t>
            </w:r>
          </w:p>
        </w:tc>
        <w:tc>
          <w:tcPr>
            <w:tcW w:w="420" w:type="dxa"/>
            <w:vAlign w:val="bottom"/>
            <w:tcBorders>
              <w:top w:val="single" w:sz="8" w:color="auto"/>
              <w:right w:val="single" w:sz="8" w:color="CFF0FC"/>
            </w:tcBorders>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5,421,</w:t>
            </w:r>
          </w:p>
        </w:tc>
        <w:tc>
          <w:tcPr>
            <w:tcW w:w="120" w:type="dxa"/>
            <w:vAlign w:val="bottom"/>
            <w:tcBorders>
              <w:right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420" w:type="dxa"/>
            <w:vAlign w:val="bottom"/>
            <w:tcBorders>
              <w:top w:val="single" w:sz="8" w:color="auto"/>
              <w:right w:val="single" w:sz="8" w:color="CFF0FC"/>
            </w:tcBorders>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3,158,</w:t>
            </w:r>
          </w:p>
        </w:tc>
        <w:tc>
          <w:tcPr>
            <w:tcW w:w="120" w:type="dxa"/>
            <w:vAlign w:val="bottom"/>
            <w:tcBorders>
              <w:right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right w:val="single" w:sz="8" w:color="CFF0FC"/>
            </w:tcBorders>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400" w:type="dxa"/>
            <w:vAlign w:val="bottom"/>
            <w:tcBorders>
              <w:top w:val="single" w:sz="8" w:color="auto"/>
              <w:right w:val="single" w:sz="8" w:color="CFF0FC"/>
            </w:tcBorders>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3,532,</w:t>
            </w:r>
          </w:p>
        </w:tc>
        <w:tc>
          <w:tcPr>
            <w:tcW w:w="120" w:type="dxa"/>
            <w:vAlign w:val="bottom"/>
            <w:tcBorders>
              <w:right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540" w:type="dxa"/>
            <w:vAlign w:val="bottom"/>
            <w:tcBorders>
              <w:top w:val="single" w:sz="8" w:color="auto"/>
              <w:right w:val="single" w:sz="8" w:color="CFF0FC"/>
            </w:tcBorders>
            <w:shd w:val="clear" w:color="auto" w:fill="CFF0FC"/>
          </w:tcPr>
          <w:p>
            <w:pPr>
              <w:jc w:val="right"/>
              <w:ind w:right="87"/>
              <w:spacing w:after="0" w:line="95" w:lineRule="exact"/>
              <w:rPr>
                <w:sz w:val="20"/>
                <w:szCs w:val="20"/>
                <w:color w:val="auto"/>
              </w:rPr>
            </w:pPr>
            <w:r>
              <w:rPr>
                <w:rFonts w:ascii="Times New Roman" w:cs="Times New Roman" w:eastAsia="Times New Roman" w:hAnsi="Times New Roman"/>
                <w:sz w:val="10"/>
                <w:szCs w:val="10"/>
                <w:color w:val="auto"/>
              </w:rPr>
              <w:t>171,64</w:t>
            </w:r>
          </w:p>
        </w:tc>
        <w:tc>
          <w:tcPr>
            <w:tcW w:w="140" w:type="dxa"/>
            <w:vAlign w:val="bottom"/>
            <w:tcBorders>
              <w:top w:val="single" w:sz="8" w:color="auto"/>
              <w:left w:val="single" w:sz="8" w:color="CFF0FC"/>
            </w:tcBorders>
            <w:shd w:val="clear" w:color="auto" w:fill="CFF0FC"/>
          </w:tcPr>
          <w:p>
            <w:pPr>
              <w:spacing w:after="0"/>
              <w:rPr>
                <w:sz w:val="8"/>
                <w:szCs w:val="8"/>
                <w:color w:val="auto"/>
              </w:rPr>
            </w:pPr>
          </w:p>
        </w:tc>
        <w:tc>
          <w:tcPr>
            <w:tcW w:w="340" w:type="dxa"/>
            <w:vAlign w:val="bottom"/>
            <w:tcBorders>
              <w:top w:val="single" w:sz="8" w:color="auto"/>
              <w:right w:val="single" w:sz="8" w:color="CFF0FC"/>
            </w:tcBorders>
            <w:shd w:val="clear" w:color="auto" w:fill="CFF0FC"/>
          </w:tcPr>
          <w:p>
            <w:pPr>
              <w:spacing w:after="0"/>
              <w:rPr>
                <w:sz w:val="8"/>
                <w:szCs w:val="8"/>
                <w:color w:val="auto"/>
              </w:rPr>
            </w:pPr>
          </w:p>
        </w:tc>
        <w:tc>
          <w:tcPr>
            <w:tcW w:w="500" w:type="dxa"/>
            <w:vAlign w:val="bottom"/>
            <w:tcBorders>
              <w:top w:val="single" w:sz="8" w:color="auto"/>
              <w:right w:val="single" w:sz="8" w:color="CFF0FC"/>
            </w:tcBorders>
            <w:gridSpan w:val="2"/>
            <w:shd w:val="clear" w:color="auto" w:fill="CFF0FC"/>
          </w:tcPr>
          <w:p>
            <w:pPr>
              <w:jc w:val="right"/>
              <w:ind w:right="66"/>
              <w:spacing w:after="0" w:line="95" w:lineRule="exact"/>
              <w:rPr>
                <w:sz w:val="20"/>
                <w:szCs w:val="20"/>
                <w:color w:val="auto"/>
              </w:rPr>
            </w:pPr>
            <w:r>
              <w:rPr>
                <w:rFonts w:ascii="Times New Roman" w:cs="Times New Roman" w:eastAsia="Times New Roman" w:hAnsi="Times New Roman"/>
                <w:sz w:val="10"/>
                <w:szCs w:val="10"/>
                <w:color w:val="auto"/>
              </w:rPr>
              <w:t>8,000</w:t>
            </w:r>
          </w:p>
        </w:tc>
        <w:tc>
          <w:tcPr>
            <w:tcW w:w="80" w:type="dxa"/>
            <w:vAlign w:val="bottom"/>
            <w:tcBorders>
              <w:top w:val="single" w:sz="8" w:color="auto"/>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auto"/>
              <w:right w:val="single" w:sz="8" w:color="CFF0FC"/>
            </w:tcBorders>
            <w:shd w:val="clear" w:color="auto" w:fill="CFF0FC"/>
          </w:tcPr>
          <w:p>
            <w:pPr>
              <w:spacing w:after="0"/>
              <w:rPr>
                <w:sz w:val="8"/>
                <w:szCs w:val="8"/>
                <w:color w:val="auto"/>
              </w:rPr>
            </w:pPr>
          </w:p>
        </w:tc>
        <w:tc>
          <w:tcPr>
            <w:tcW w:w="140" w:type="dxa"/>
            <w:vAlign w:val="bottom"/>
            <w:tcBorders>
              <w:top w:val="single" w:sz="8" w:color="auto"/>
              <w:left w:val="single" w:sz="8" w:color="CFF0FC"/>
            </w:tcBorders>
            <w:shd w:val="clear" w:color="auto" w:fill="CFF0FC"/>
          </w:tcPr>
          <w:p>
            <w:pPr>
              <w:spacing w:after="0"/>
              <w:rPr>
                <w:sz w:val="8"/>
                <w:szCs w:val="8"/>
                <w:color w:val="auto"/>
              </w:rPr>
            </w:pPr>
          </w:p>
        </w:tc>
        <w:tc>
          <w:tcPr>
            <w:tcW w:w="440" w:type="dxa"/>
            <w:vAlign w:val="bottom"/>
            <w:tcBorders>
              <w:top w:val="single" w:sz="8" w:color="auto"/>
              <w:right w:val="single" w:sz="8" w:color="CFF0FC"/>
            </w:tcBorders>
            <w:shd w:val="clear" w:color="auto" w:fill="CFF0FC"/>
          </w:tcPr>
          <w:p>
            <w:pPr>
              <w:spacing w:after="0"/>
              <w:rPr>
                <w:sz w:val="8"/>
                <w:szCs w:val="8"/>
                <w:color w:val="auto"/>
              </w:rPr>
            </w:pPr>
          </w:p>
        </w:tc>
        <w:tc>
          <w:tcPr>
            <w:tcW w:w="180" w:type="dxa"/>
            <w:vAlign w:val="bottom"/>
            <w:tcBorders>
              <w:top w:val="single" w:sz="8" w:color="auto"/>
              <w:left w:val="single" w:sz="8" w:color="CFF0FC"/>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220" w:type="dxa"/>
            <w:vAlign w:val="bottom"/>
            <w:tcBorders>
              <w:right w:val="single" w:sz="8" w:color="CFF0FC"/>
            </w:tcBorders>
            <w:shd w:val="clear" w:color="auto" w:fill="CFF0FC"/>
          </w:tcPr>
          <w:p>
            <w:pPr>
              <w:spacing w:after="0"/>
              <w:rPr>
                <w:sz w:val="14"/>
                <w:szCs w:val="14"/>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446</w:t>
            </w:r>
          </w:p>
        </w:tc>
        <w:tc>
          <w:tcPr>
            <w:tcW w:w="12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right w:val="single" w:sz="8" w:color="CFF0FC"/>
            </w:tcBorders>
            <w:shd w:val="clear" w:color="auto" w:fill="CFF0FC"/>
          </w:tcPr>
          <w:p>
            <w:pPr>
              <w:spacing w:after="0"/>
              <w:rPr>
                <w:sz w:val="14"/>
                <w:szCs w:val="14"/>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12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rPr>
              <w:t>3</w:t>
            </w:r>
          </w:p>
        </w:tc>
        <w:tc>
          <w:tcPr>
            <w:tcW w:w="140" w:type="dxa"/>
            <w:vAlign w:val="bottom"/>
            <w:tcBorders>
              <w:right w:val="single" w:sz="8" w:color="CFF0FC"/>
            </w:tcBorders>
            <w:shd w:val="clear" w:color="auto" w:fill="CFF0FC"/>
          </w:tcPr>
          <w:p>
            <w:pPr>
              <w:spacing w:after="0"/>
              <w:rPr>
                <w:sz w:val="14"/>
                <w:szCs w:val="14"/>
                <w:color w:val="auto"/>
              </w:rPr>
            </w:pPr>
          </w:p>
        </w:tc>
        <w:tc>
          <w:tcPr>
            <w:tcW w:w="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228</w:t>
            </w:r>
          </w:p>
        </w:tc>
        <w:tc>
          <w:tcPr>
            <w:tcW w:w="12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right w:val="single" w:sz="8" w:color="CFF0FC"/>
            </w:tcBorders>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tcBorders>
              <w:lef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right w:val="single" w:sz="8" w:color="CFF0FC"/>
            </w:tcBorders>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,001</w:t>
            </w:r>
          </w:p>
        </w:tc>
        <w:tc>
          <w:tcPr>
            <w:tcW w:w="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40" w:type="dxa"/>
            <w:vAlign w:val="bottom"/>
            <w:tcBorders>
              <w:lef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right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92"/>
              </w:rPr>
              <w:t>96,870</w:t>
            </w:r>
          </w:p>
        </w:tc>
        <w:tc>
          <w:tcPr>
            <w:tcW w:w="18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(63,983 )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32,904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220" w:type="dxa"/>
            <w:vAlign w:val="bottom"/>
          </w:tcPr>
          <w:p>
            <w:pPr>
              <w:ind w:left="100"/>
              <w:spacing w:after="0" w:line="95" w:lineRule="exact"/>
              <w:rPr>
                <w:sz w:val="20"/>
                <w:szCs w:val="20"/>
                <w:color w:val="auto"/>
              </w:rPr>
            </w:pPr>
            <w:r>
              <w:rPr>
                <w:rFonts w:ascii="Times New Roman" w:cs="Times New Roman" w:eastAsia="Times New Roman" w:hAnsi="Times New Roman"/>
                <w:sz w:val="10"/>
                <w:szCs w:val="10"/>
                <w:color w:val="auto"/>
              </w:rPr>
              <w:t>Retroactive application of reverse</w:t>
            </w:r>
          </w:p>
        </w:tc>
        <w:tc>
          <w:tcPr>
            <w:tcW w:w="42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(5,42</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(3,15</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(3,53</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ind w:right="87"/>
              <w:spacing w:after="0" w:line="95" w:lineRule="exact"/>
              <w:rPr>
                <w:sz w:val="20"/>
                <w:szCs w:val="20"/>
                <w:color w:val="auto"/>
              </w:rPr>
            </w:pPr>
            <w:r>
              <w:rPr>
                <w:rFonts w:ascii="Times New Roman" w:cs="Times New Roman" w:eastAsia="Times New Roman" w:hAnsi="Times New Roman"/>
                <w:sz w:val="10"/>
                <w:szCs w:val="10"/>
                <w:color w:val="auto"/>
              </w:rPr>
              <w:t>103,86</w:t>
            </w: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gridSpan w:val="2"/>
          </w:tcPr>
          <w:p>
            <w:pPr>
              <w:jc w:val="right"/>
              <w:ind w:right="66"/>
              <w:spacing w:after="0" w:line="95" w:lineRule="exact"/>
              <w:rPr>
                <w:sz w:val="20"/>
                <w:szCs w:val="20"/>
                <w:color w:val="auto"/>
              </w:rPr>
            </w:pPr>
            <w:r>
              <w:rPr>
                <w:rFonts w:ascii="Times New Roman" w:cs="Times New Roman" w:eastAsia="Times New Roman" w:hAnsi="Times New Roman"/>
                <w:sz w:val="10"/>
                <w:szCs w:val="10"/>
                <w:color w:val="auto"/>
              </w:rPr>
              <w:t>(8,00</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recapitalization</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1,446 )</w:t>
            </w:r>
          </w:p>
        </w:tc>
        <w:tc>
          <w:tcPr>
            <w:tcW w:w="20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(5 )</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8,338 )</w:t>
            </w:r>
          </w:p>
        </w:tc>
        <w:tc>
          <w:tcPr>
            <w:tcW w:w="20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(3 )</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2,228 )</w:t>
            </w:r>
          </w:p>
        </w:tc>
        <w:tc>
          <w:tcPr>
            <w:tcW w:w="20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(4 )</w:t>
            </w:r>
          </w:p>
        </w:tc>
        <w:tc>
          <w:tcPr>
            <w:tcW w:w="5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7,709</w:t>
            </w:r>
          </w:p>
        </w:tc>
        <w:tc>
          <w:tcPr>
            <w:tcW w:w="140" w:type="dxa"/>
            <w:vAlign w:val="bottom"/>
          </w:tcPr>
          <w:p>
            <w:pPr>
              <w:spacing w:after="0"/>
              <w:rPr>
                <w:sz w:val="13"/>
                <w:szCs w:val="13"/>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5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0,001 )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(8 )</w:t>
            </w:r>
          </w:p>
        </w:tc>
        <w:tc>
          <w:tcPr>
            <w:tcW w:w="140" w:type="dxa"/>
            <w:vAlign w:val="bottom"/>
          </w:tcPr>
          <w:p>
            <w:pPr>
              <w:spacing w:after="0"/>
              <w:rPr>
                <w:sz w:val="13"/>
                <w:szCs w:val="13"/>
                <w:color w:val="auto"/>
              </w:rPr>
            </w:pPr>
          </w:p>
        </w:tc>
        <w:tc>
          <w:tcPr>
            <w:tcW w:w="4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4"/>
        </w:trPr>
        <w:tc>
          <w:tcPr>
            <w:tcW w:w="2220" w:type="dxa"/>
            <w:vAlign w:val="bottom"/>
            <w:tcBorders>
              <w:right w:val="single" w:sz="8" w:color="CFF0FC"/>
            </w:tcBorders>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Balance, December 31, 2020, as adjusted</w:t>
            </w:r>
          </w:p>
        </w:tc>
        <w:tc>
          <w:tcPr>
            <w:tcW w:w="42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42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right w:val="single" w:sz="8" w:color="CFF0FC"/>
            </w:tcBorders>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40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540" w:type="dxa"/>
            <w:vAlign w:val="bottom"/>
            <w:tcBorders>
              <w:top w:val="single" w:sz="8" w:color="auto"/>
              <w:right w:val="single" w:sz="8" w:color="CFF0FC"/>
            </w:tcBorders>
            <w:shd w:val="clear" w:color="auto" w:fill="CFF0FC"/>
          </w:tcPr>
          <w:p>
            <w:pPr>
              <w:jc w:val="right"/>
              <w:ind w:right="87"/>
              <w:spacing w:after="0" w:line="95" w:lineRule="exact"/>
              <w:rPr>
                <w:sz w:val="20"/>
                <w:szCs w:val="20"/>
                <w:color w:val="auto"/>
              </w:rPr>
            </w:pPr>
            <w:r>
              <w:rPr>
                <w:rFonts w:ascii="Times New Roman" w:cs="Times New Roman" w:eastAsia="Times New Roman" w:hAnsi="Times New Roman"/>
                <w:sz w:val="10"/>
                <w:szCs w:val="10"/>
                <w:color w:val="auto"/>
              </w:rPr>
              <w:t>104,03</w:t>
            </w:r>
          </w:p>
        </w:tc>
        <w:tc>
          <w:tcPr>
            <w:tcW w:w="140" w:type="dxa"/>
            <w:vAlign w:val="bottom"/>
            <w:tcBorders>
              <w:top w:val="single" w:sz="8" w:color="auto"/>
              <w:left w:val="single" w:sz="8" w:color="CFF0FC"/>
            </w:tcBorders>
            <w:shd w:val="clear" w:color="auto" w:fill="CFF0FC"/>
          </w:tcPr>
          <w:p>
            <w:pPr>
              <w:spacing w:after="0"/>
              <w:rPr>
                <w:sz w:val="8"/>
                <w:szCs w:val="8"/>
                <w:color w:val="auto"/>
              </w:rPr>
            </w:pPr>
          </w:p>
        </w:tc>
        <w:tc>
          <w:tcPr>
            <w:tcW w:w="340" w:type="dxa"/>
            <w:vAlign w:val="bottom"/>
            <w:tcBorders>
              <w:top w:val="single" w:sz="8" w:color="auto"/>
              <w:right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right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auto"/>
              <w:right w:val="single" w:sz="8" w:color="CFF0FC"/>
            </w:tcBorders>
            <w:shd w:val="clear" w:color="auto" w:fill="CFF0FC"/>
          </w:tcPr>
          <w:p>
            <w:pPr>
              <w:spacing w:after="0"/>
              <w:rPr>
                <w:sz w:val="8"/>
                <w:szCs w:val="8"/>
                <w:color w:val="auto"/>
              </w:rPr>
            </w:pPr>
          </w:p>
        </w:tc>
        <w:tc>
          <w:tcPr>
            <w:tcW w:w="140" w:type="dxa"/>
            <w:vAlign w:val="bottom"/>
            <w:tcBorders>
              <w:top w:val="single" w:sz="8" w:color="auto"/>
              <w:left w:val="single" w:sz="8" w:color="CFF0FC"/>
            </w:tcBorders>
            <w:shd w:val="clear" w:color="auto" w:fill="CFF0FC"/>
          </w:tcPr>
          <w:p>
            <w:pPr>
              <w:spacing w:after="0"/>
              <w:rPr>
                <w:sz w:val="8"/>
                <w:szCs w:val="8"/>
                <w:color w:val="auto"/>
              </w:rPr>
            </w:pPr>
          </w:p>
        </w:tc>
        <w:tc>
          <w:tcPr>
            <w:tcW w:w="440" w:type="dxa"/>
            <w:vAlign w:val="bottom"/>
            <w:tcBorders>
              <w:top w:val="single" w:sz="8" w:color="auto"/>
              <w:right w:val="single" w:sz="8" w:color="CFF0FC"/>
            </w:tcBorders>
            <w:shd w:val="clear" w:color="auto" w:fill="CFF0FC"/>
          </w:tcPr>
          <w:p>
            <w:pPr>
              <w:spacing w:after="0"/>
              <w:rPr>
                <w:sz w:val="8"/>
                <w:szCs w:val="8"/>
                <w:color w:val="auto"/>
              </w:rPr>
            </w:pPr>
          </w:p>
        </w:tc>
        <w:tc>
          <w:tcPr>
            <w:tcW w:w="180" w:type="dxa"/>
            <w:vAlign w:val="bottom"/>
            <w:tcBorders>
              <w:top w:val="single" w:sz="8" w:color="auto"/>
              <w:left w:val="single" w:sz="8" w:color="CFF0FC"/>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220" w:type="dxa"/>
            <w:vAlign w:val="bottom"/>
            <w:tcBorders>
              <w:right w:val="single" w:sz="8" w:color="CFF0FC"/>
            </w:tcBorders>
            <w:shd w:val="clear" w:color="auto" w:fill="CFF0FC"/>
          </w:tcPr>
          <w:p>
            <w:pPr>
              <w:spacing w:after="0"/>
              <w:rPr>
                <w:sz w:val="14"/>
                <w:szCs w:val="14"/>
                <w:color w:val="auto"/>
              </w:rPr>
            </w:pPr>
          </w:p>
        </w:tc>
        <w:tc>
          <w:tcPr>
            <w:tcW w:w="5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right w:val="single" w:sz="8" w:color="CFF0FC"/>
            </w:tcBorders>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9,354</w:t>
            </w:r>
          </w:p>
        </w:tc>
        <w:tc>
          <w:tcPr>
            <w:tcW w:w="140" w:type="dxa"/>
            <w:vAlign w:val="bottom"/>
            <w:tcBorders>
              <w:left w:val="single" w:sz="8" w:color="CFF0FC"/>
            </w:tcBorders>
            <w:shd w:val="clear" w:color="auto" w:fill="CFF0FC"/>
          </w:tcPr>
          <w:p>
            <w:pPr>
              <w:spacing w:after="0"/>
              <w:rPr>
                <w:sz w:val="14"/>
                <w:szCs w:val="14"/>
                <w:color w:val="auto"/>
              </w:rPr>
            </w:pPr>
          </w:p>
        </w:tc>
        <w:tc>
          <w:tcPr>
            <w:tcW w:w="34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FF0FC"/>
          </w:tcPr>
          <w:p>
            <w:pPr>
              <w:spacing w:after="0"/>
              <w:rPr>
                <w:sz w:val="14"/>
                <w:szCs w:val="14"/>
                <w:color w:val="auto"/>
              </w:rPr>
            </w:pPr>
          </w:p>
        </w:tc>
        <w:tc>
          <w:tcPr>
            <w:tcW w:w="42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440" w:type="dxa"/>
            <w:vAlign w:val="bottom"/>
            <w:tcBorders>
              <w:right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92"/>
              </w:rPr>
              <w:t>96,880</w:t>
            </w:r>
          </w:p>
        </w:tc>
        <w:tc>
          <w:tcPr>
            <w:tcW w:w="180" w:type="dxa"/>
            <w:vAlign w:val="bottom"/>
            <w:tcBorders>
              <w:left w:val="single" w:sz="8" w:color="CFF0FC"/>
            </w:tcBorders>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(63,983 )</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32,904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Purchase of non-controlling interest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(203 )</w:t>
            </w:r>
          </w:p>
        </w:tc>
        <w:tc>
          <w:tcPr>
            <w:tcW w:w="18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(200 )</w:t>
            </w:r>
          </w:p>
        </w:tc>
        <w:tc>
          <w:tcPr>
            <w:tcW w:w="0" w:type="dxa"/>
            <w:vAlign w:val="bottom"/>
          </w:tcPr>
          <w:p>
            <w:pPr>
              <w:spacing w:after="0"/>
              <w:rPr>
                <w:sz w:val="1"/>
                <w:szCs w:val="1"/>
                <w:color w:val="auto"/>
              </w:rPr>
            </w:pPr>
          </w:p>
        </w:tc>
      </w:tr>
      <w:tr>
        <w:trPr>
          <w:trHeight w:val="135"/>
        </w:trPr>
        <w:tc>
          <w:tcPr>
            <w:tcW w:w="22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5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right w:val="single" w:sz="8" w:color="CFF0FC"/>
            </w:tcBorders>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1"/>
                <w:szCs w:val="11"/>
                <w:color w:val="auto"/>
              </w:rPr>
            </w:pPr>
          </w:p>
        </w:tc>
        <w:tc>
          <w:tcPr>
            <w:tcW w:w="440" w:type="dxa"/>
            <w:vAlign w:val="bottom"/>
            <w:tcBorders>
              <w:right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173</w:t>
            </w:r>
          </w:p>
        </w:tc>
        <w:tc>
          <w:tcPr>
            <w:tcW w:w="180" w:type="dxa"/>
            <w:vAlign w:val="bottom"/>
            <w:tcBorders>
              <w:left w:val="single" w:sz="8" w:color="CFF0FC"/>
            </w:tcBorders>
            <w:shd w:val="clear" w:color="auto" w:fill="CFF0FC"/>
          </w:tcPr>
          <w:p>
            <w:pPr>
              <w:spacing w:after="0"/>
              <w:rPr>
                <w:sz w:val="11"/>
                <w:szCs w:val="11"/>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24,618</w:t>
            </w:r>
          </w:p>
        </w:tc>
        <w:tc>
          <w:tcPr>
            <w:tcW w:w="14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4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20</w:t>
            </w:r>
          </w:p>
        </w:tc>
        <w:tc>
          <w:tcPr>
            <w:tcW w:w="18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5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right w:val="single" w:sz="8" w:color="CFF0FC"/>
            </w:tcBorders>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1"/>
                <w:szCs w:val="11"/>
                <w:color w:val="auto"/>
              </w:rPr>
            </w:pPr>
          </w:p>
        </w:tc>
        <w:tc>
          <w:tcPr>
            <w:tcW w:w="440" w:type="dxa"/>
            <w:vAlign w:val="bottom"/>
            <w:tcBorders>
              <w:right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left w:val="single" w:sz="8" w:color="CFF0FC"/>
            </w:tcBorders>
            <w:shd w:val="clear" w:color="auto" w:fill="CFF0FC"/>
          </w:tcPr>
          <w:p>
            <w:pPr>
              <w:spacing w:after="0"/>
              <w:rPr>
                <w:sz w:val="11"/>
                <w:szCs w:val="11"/>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(5,198 )</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(5,198 )</w:t>
            </w:r>
          </w:p>
        </w:tc>
        <w:tc>
          <w:tcPr>
            <w:tcW w:w="0" w:type="dxa"/>
            <w:vAlign w:val="bottom"/>
          </w:tcPr>
          <w:p>
            <w:pPr>
              <w:spacing w:after="0"/>
              <w:rPr>
                <w:sz w:val="1"/>
                <w:szCs w:val="1"/>
                <w:color w:val="auto"/>
              </w:rPr>
            </w:pPr>
          </w:p>
        </w:tc>
      </w:tr>
      <w:tr>
        <w:trPr>
          <w:trHeight w:val="88"/>
        </w:trPr>
        <w:tc>
          <w:tcPr>
            <w:tcW w:w="2220" w:type="dxa"/>
            <w:vAlign w:val="bottom"/>
            <w:tcBorders>
              <w:top w:val="single" w:sz="8" w:color="CFF0FC"/>
            </w:tcBorders>
          </w:tcPr>
          <w:p>
            <w:pPr>
              <w:ind w:left="20"/>
              <w:spacing w:after="0" w:line="88" w:lineRule="exact"/>
              <w:rPr>
                <w:sz w:val="20"/>
                <w:szCs w:val="20"/>
                <w:color w:val="auto"/>
              </w:rPr>
            </w:pPr>
            <w:r>
              <w:rPr>
                <w:rFonts w:ascii="Times New Roman" w:cs="Times New Roman" w:eastAsia="Times New Roman" w:hAnsi="Times New Roman"/>
                <w:sz w:val="10"/>
                <w:szCs w:val="10"/>
                <w:color w:val="auto"/>
              </w:rPr>
              <w:t>Balance at March 31, 2021</w:t>
            </w:r>
          </w:p>
        </w:tc>
        <w:tc>
          <w:tcPr>
            <w:tcW w:w="4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540" w:type="dxa"/>
            <w:vAlign w:val="bottom"/>
            <w:tcBorders>
              <w:top w:val="single" w:sz="8" w:color="auto"/>
            </w:tcBorders>
          </w:tcPr>
          <w:p>
            <w:pPr>
              <w:jc w:val="right"/>
              <w:ind w:right="87"/>
              <w:spacing w:after="0" w:line="88" w:lineRule="exact"/>
              <w:rPr>
                <w:sz w:val="20"/>
                <w:szCs w:val="20"/>
                <w:color w:val="auto"/>
              </w:rPr>
            </w:pPr>
            <w:r>
              <w:rPr>
                <w:rFonts w:ascii="Times New Roman" w:cs="Times New Roman" w:eastAsia="Times New Roman" w:hAnsi="Times New Roman"/>
                <w:sz w:val="10"/>
                <w:szCs w:val="10"/>
                <w:color w:val="auto"/>
              </w:rPr>
              <w:t>104,06</w:t>
            </w:r>
          </w:p>
        </w:tc>
        <w:tc>
          <w:tcPr>
            <w:tcW w:w="1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22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3,972</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92"/>
              </w:rPr>
              <w:t>96,870</w:t>
            </w:r>
          </w:p>
        </w:tc>
        <w:tc>
          <w:tcPr>
            <w:tcW w:w="1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(69,181 )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220" w:type="dxa"/>
            <w:vAlign w:val="bottom"/>
            <w:tcBorders>
              <w:right w:val="single" w:sz="8" w:color="CFF0FC"/>
            </w:tcBorders>
            <w:shd w:val="clear" w:color="auto" w:fill="CFF0FC"/>
          </w:tcPr>
          <w:p>
            <w:pPr>
              <w:ind w:left="100"/>
              <w:spacing w:after="0" w:line="120" w:lineRule="exact"/>
              <w:rPr>
                <w:sz w:val="20"/>
                <w:szCs w:val="20"/>
                <w:color w:val="auto"/>
              </w:rPr>
            </w:pPr>
            <w:r>
              <w:rPr>
                <w:rFonts w:ascii="Times New Roman" w:cs="Times New Roman" w:eastAsia="Times New Roman" w:hAnsi="Times New Roman"/>
                <w:sz w:val="11"/>
                <w:szCs w:val="11"/>
                <w:color w:val="auto"/>
              </w:rPr>
              <w:t>Stock-based compensation</w:t>
            </w:r>
          </w:p>
        </w:tc>
        <w:tc>
          <w:tcPr>
            <w:tcW w:w="420" w:type="dxa"/>
            <w:vAlign w:val="bottom"/>
            <w:tcBorders>
              <w:right w:val="single" w:sz="8" w:color="CFF0FC"/>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jc w:val="right"/>
              <w:ind w:right="8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jc w:val="right"/>
              <w:ind w:right="66"/>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jc w:val="right"/>
              <w:ind w:right="66"/>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jc w:val="right"/>
              <w:ind w:right="66"/>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219</w:t>
            </w:r>
          </w:p>
        </w:tc>
        <w:tc>
          <w:tcPr>
            <w:tcW w:w="180" w:type="dxa"/>
            <w:vAlign w:val="bottom"/>
            <w:tcBorders>
              <w:left w:val="single" w:sz="8" w:color="CFF0FC"/>
            </w:tcBorders>
            <w:shd w:val="clear" w:color="auto" w:fill="CFF0FC"/>
          </w:tcPr>
          <w:p>
            <w:pPr>
              <w:spacing w:after="0"/>
              <w:rPr>
                <w:sz w:val="10"/>
                <w:szCs w:val="10"/>
                <w:color w:val="auto"/>
              </w:rPr>
            </w:pPr>
          </w:p>
        </w:tc>
        <w:tc>
          <w:tcPr>
            <w:tcW w:w="54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219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4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(5,263 )</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(5,263 )</w:t>
            </w:r>
          </w:p>
        </w:tc>
        <w:tc>
          <w:tcPr>
            <w:tcW w:w="0" w:type="dxa"/>
            <w:vAlign w:val="bottom"/>
          </w:tcPr>
          <w:p>
            <w:pPr>
              <w:spacing w:after="0"/>
              <w:rPr>
                <w:sz w:val="1"/>
                <w:szCs w:val="1"/>
                <w:color w:val="auto"/>
              </w:rPr>
            </w:pPr>
          </w:p>
        </w:tc>
      </w:tr>
      <w:tr>
        <w:trPr>
          <w:trHeight w:val="88"/>
        </w:trPr>
        <w:tc>
          <w:tcPr>
            <w:tcW w:w="2220" w:type="dxa"/>
            <w:vAlign w:val="bottom"/>
            <w:tcBorders>
              <w:right w:val="single" w:sz="8" w:color="CFF0FC"/>
            </w:tcBorders>
            <w:shd w:val="clear" w:color="auto" w:fill="CFF0FC"/>
          </w:tcPr>
          <w:p>
            <w:pPr>
              <w:ind w:left="20"/>
              <w:spacing w:after="0" w:line="88" w:lineRule="exact"/>
              <w:rPr>
                <w:sz w:val="20"/>
                <w:szCs w:val="20"/>
                <w:color w:val="auto"/>
              </w:rPr>
            </w:pPr>
            <w:r>
              <w:rPr>
                <w:rFonts w:ascii="Times New Roman" w:cs="Times New Roman" w:eastAsia="Times New Roman" w:hAnsi="Times New Roman"/>
                <w:sz w:val="10"/>
                <w:szCs w:val="10"/>
                <w:color w:val="auto"/>
              </w:rPr>
              <w:t>Balance at June 30, 2021</w:t>
            </w:r>
          </w:p>
        </w:tc>
        <w:tc>
          <w:tcPr>
            <w:tcW w:w="420" w:type="dxa"/>
            <w:vAlign w:val="bottom"/>
            <w:tcBorders>
              <w:top w:val="single" w:sz="8" w:color="auto"/>
              <w:right w:val="single" w:sz="8" w:color="CFF0FC"/>
            </w:tcBorders>
            <w:shd w:val="clear" w:color="auto" w:fill="CFF0FC"/>
          </w:tcPr>
          <w:p>
            <w:pPr>
              <w:spacing w:after="0"/>
              <w:rPr>
                <w:sz w:val="7"/>
                <w:szCs w:val="7"/>
                <w:color w:val="auto"/>
              </w:rPr>
            </w:pPr>
          </w:p>
        </w:tc>
        <w:tc>
          <w:tcPr>
            <w:tcW w:w="120" w:type="dxa"/>
            <w:vAlign w:val="bottom"/>
            <w:tcBorders>
              <w:right w:val="single" w:sz="8" w:color="CFF0FC"/>
            </w:tcBorders>
            <w:shd w:val="clear" w:color="auto" w:fill="CFF0FC"/>
          </w:tcPr>
          <w:p>
            <w:pPr>
              <w:spacing w:after="0"/>
              <w:rPr>
                <w:sz w:val="7"/>
                <w:szCs w:val="7"/>
                <w:color w:val="auto"/>
              </w:rPr>
            </w:pPr>
          </w:p>
        </w:tc>
        <w:tc>
          <w:tcPr>
            <w:tcW w:w="200" w:type="dxa"/>
            <w:vAlign w:val="bottom"/>
            <w:tcBorders>
              <w:top w:val="single" w:sz="8" w:color="auto"/>
            </w:tcBorders>
            <w:shd w:val="clear" w:color="auto" w:fill="CFF0FC"/>
          </w:tcPr>
          <w:p>
            <w:pPr>
              <w:spacing w:after="0"/>
              <w:rPr>
                <w:sz w:val="7"/>
                <w:szCs w:val="7"/>
                <w:color w:val="auto"/>
              </w:rPr>
            </w:pPr>
          </w:p>
        </w:tc>
        <w:tc>
          <w:tcPr>
            <w:tcW w:w="220" w:type="dxa"/>
            <w:vAlign w:val="bottom"/>
            <w:tcBorders>
              <w:top w:val="single" w:sz="8" w:color="auto"/>
              <w:right w:val="single" w:sz="8" w:color="CFF0FC"/>
            </w:tcBorders>
            <w:shd w:val="clear" w:color="auto" w:fill="CFF0FC"/>
          </w:tcPr>
          <w:p>
            <w:pPr>
              <w:spacing w:after="0"/>
              <w:rPr>
                <w:sz w:val="7"/>
                <w:szCs w:val="7"/>
                <w:color w:val="auto"/>
              </w:rPr>
            </w:pPr>
          </w:p>
        </w:tc>
        <w:tc>
          <w:tcPr>
            <w:tcW w:w="120" w:type="dxa"/>
            <w:vAlign w:val="bottom"/>
            <w:tcBorders>
              <w:right w:val="single" w:sz="8" w:color="CFF0FC"/>
            </w:tcBorders>
            <w:shd w:val="clear" w:color="auto" w:fill="CFF0FC"/>
          </w:tcPr>
          <w:p>
            <w:pPr>
              <w:spacing w:after="0"/>
              <w:rPr>
                <w:sz w:val="7"/>
                <w:szCs w:val="7"/>
                <w:color w:val="auto"/>
              </w:rPr>
            </w:pPr>
          </w:p>
        </w:tc>
        <w:tc>
          <w:tcPr>
            <w:tcW w:w="420" w:type="dxa"/>
            <w:vAlign w:val="bottom"/>
            <w:tcBorders>
              <w:top w:val="single" w:sz="8" w:color="auto"/>
              <w:right w:val="single" w:sz="8" w:color="CFF0FC"/>
            </w:tcBorders>
            <w:shd w:val="clear" w:color="auto" w:fill="CFF0FC"/>
          </w:tcPr>
          <w:p>
            <w:pPr>
              <w:spacing w:after="0"/>
              <w:rPr>
                <w:sz w:val="7"/>
                <w:szCs w:val="7"/>
                <w:color w:val="auto"/>
              </w:rPr>
            </w:pPr>
          </w:p>
        </w:tc>
        <w:tc>
          <w:tcPr>
            <w:tcW w:w="120" w:type="dxa"/>
            <w:vAlign w:val="bottom"/>
            <w:tcBorders>
              <w:right w:val="single" w:sz="8" w:color="CFF0FC"/>
            </w:tcBorders>
            <w:shd w:val="clear" w:color="auto" w:fill="CFF0FC"/>
          </w:tcPr>
          <w:p>
            <w:pPr>
              <w:spacing w:after="0"/>
              <w:rPr>
                <w:sz w:val="7"/>
                <w:szCs w:val="7"/>
                <w:color w:val="auto"/>
              </w:rPr>
            </w:pPr>
          </w:p>
        </w:tc>
        <w:tc>
          <w:tcPr>
            <w:tcW w:w="200" w:type="dxa"/>
            <w:vAlign w:val="bottom"/>
            <w:tcBorders>
              <w:top w:val="single" w:sz="8" w:color="auto"/>
            </w:tcBorders>
            <w:shd w:val="clear" w:color="auto" w:fill="CFF0FC"/>
          </w:tcPr>
          <w:p>
            <w:pPr>
              <w:spacing w:after="0"/>
              <w:rPr>
                <w:sz w:val="7"/>
                <w:szCs w:val="7"/>
                <w:color w:val="auto"/>
              </w:rPr>
            </w:pPr>
          </w:p>
        </w:tc>
        <w:tc>
          <w:tcPr>
            <w:tcW w:w="220" w:type="dxa"/>
            <w:vAlign w:val="bottom"/>
            <w:tcBorders>
              <w:top w:val="single" w:sz="8" w:color="auto"/>
              <w:right w:val="single" w:sz="8" w:color="CFF0FC"/>
            </w:tcBorders>
            <w:shd w:val="clear" w:color="auto" w:fill="CFF0FC"/>
          </w:tcPr>
          <w:p>
            <w:pPr>
              <w:spacing w:after="0"/>
              <w:rPr>
                <w:sz w:val="7"/>
                <w:szCs w:val="7"/>
                <w:color w:val="auto"/>
              </w:rPr>
            </w:pPr>
          </w:p>
        </w:tc>
        <w:tc>
          <w:tcPr>
            <w:tcW w:w="140" w:type="dxa"/>
            <w:vAlign w:val="bottom"/>
            <w:tcBorders>
              <w:right w:val="single" w:sz="8" w:color="CFF0FC"/>
            </w:tcBorders>
            <w:shd w:val="clear" w:color="auto" w:fill="CFF0FC"/>
          </w:tcPr>
          <w:p>
            <w:pPr>
              <w:spacing w:after="0"/>
              <w:rPr>
                <w:sz w:val="7"/>
                <w:szCs w:val="7"/>
                <w:color w:val="auto"/>
              </w:rPr>
            </w:pPr>
          </w:p>
        </w:tc>
        <w:tc>
          <w:tcPr>
            <w:tcW w:w="400" w:type="dxa"/>
            <w:vAlign w:val="bottom"/>
            <w:tcBorders>
              <w:top w:val="single" w:sz="8" w:color="auto"/>
              <w:right w:val="single" w:sz="8" w:color="CFF0FC"/>
            </w:tcBorders>
            <w:shd w:val="clear" w:color="auto" w:fill="CFF0FC"/>
          </w:tcPr>
          <w:p>
            <w:pPr>
              <w:spacing w:after="0"/>
              <w:rPr>
                <w:sz w:val="7"/>
                <w:szCs w:val="7"/>
                <w:color w:val="auto"/>
              </w:rPr>
            </w:pPr>
          </w:p>
        </w:tc>
        <w:tc>
          <w:tcPr>
            <w:tcW w:w="120" w:type="dxa"/>
            <w:vAlign w:val="bottom"/>
            <w:tcBorders>
              <w:right w:val="single" w:sz="8" w:color="CFF0FC"/>
            </w:tcBorders>
            <w:shd w:val="clear" w:color="auto" w:fill="CFF0FC"/>
          </w:tcPr>
          <w:p>
            <w:pPr>
              <w:spacing w:after="0"/>
              <w:rPr>
                <w:sz w:val="7"/>
                <w:szCs w:val="7"/>
                <w:color w:val="auto"/>
              </w:rPr>
            </w:pPr>
          </w:p>
        </w:tc>
        <w:tc>
          <w:tcPr>
            <w:tcW w:w="200" w:type="dxa"/>
            <w:vAlign w:val="bottom"/>
            <w:tcBorders>
              <w:top w:val="single" w:sz="8" w:color="auto"/>
            </w:tcBorders>
            <w:shd w:val="clear" w:color="auto" w:fill="CFF0FC"/>
          </w:tcPr>
          <w:p>
            <w:pPr>
              <w:spacing w:after="0"/>
              <w:rPr>
                <w:sz w:val="7"/>
                <w:szCs w:val="7"/>
                <w:color w:val="auto"/>
              </w:rPr>
            </w:pPr>
          </w:p>
        </w:tc>
        <w:tc>
          <w:tcPr>
            <w:tcW w:w="220" w:type="dxa"/>
            <w:vAlign w:val="bottom"/>
            <w:tcBorders>
              <w:top w:val="single" w:sz="8" w:color="auto"/>
              <w:right w:val="single" w:sz="8" w:color="CFF0FC"/>
            </w:tcBorders>
            <w:shd w:val="clear" w:color="auto" w:fill="CFF0FC"/>
          </w:tcPr>
          <w:p>
            <w:pPr>
              <w:spacing w:after="0"/>
              <w:rPr>
                <w:sz w:val="7"/>
                <w:szCs w:val="7"/>
                <w:color w:val="auto"/>
              </w:rPr>
            </w:pPr>
          </w:p>
        </w:tc>
        <w:tc>
          <w:tcPr>
            <w:tcW w:w="120" w:type="dxa"/>
            <w:vAlign w:val="bottom"/>
            <w:tcBorders>
              <w:right w:val="single" w:sz="8" w:color="CFF0FC"/>
            </w:tcBorders>
            <w:shd w:val="clear" w:color="auto" w:fill="CFF0FC"/>
          </w:tcPr>
          <w:p>
            <w:pPr>
              <w:spacing w:after="0"/>
              <w:rPr>
                <w:sz w:val="7"/>
                <w:szCs w:val="7"/>
                <w:color w:val="auto"/>
              </w:rPr>
            </w:pPr>
          </w:p>
        </w:tc>
        <w:tc>
          <w:tcPr>
            <w:tcW w:w="540" w:type="dxa"/>
            <w:vAlign w:val="bottom"/>
            <w:tcBorders>
              <w:top w:val="single" w:sz="8" w:color="auto"/>
              <w:right w:val="single" w:sz="8" w:color="CFF0FC"/>
            </w:tcBorders>
            <w:shd w:val="clear" w:color="auto" w:fill="CFF0FC"/>
          </w:tcPr>
          <w:p>
            <w:pPr>
              <w:jc w:val="right"/>
              <w:ind w:right="87"/>
              <w:spacing w:after="0" w:line="88" w:lineRule="exact"/>
              <w:rPr>
                <w:sz w:val="20"/>
                <w:szCs w:val="20"/>
                <w:color w:val="auto"/>
              </w:rPr>
            </w:pPr>
            <w:r>
              <w:rPr>
                <w:rFonts w:ascii="Times New Roman" w:cs="Times New Roman" w:eastAsia="Times New Roman" w:hAnsi="Times New Roman"/>
                <w:sz w:val="10"/>
                <w:szCs w:val="10"/>
                <w:color w:val="auto"/>
              </w:rPr>
              <w:t>104,06</w:t>
            </w:r>
          </w:p>
        </w:tc>
        <w:tc>
          <w:tcPr>
            <w:tcW w:w="140" w:type="dxa"/>
            <w:vAlign w:val="bottom"/>
            <w:tcBorders>
              <w:top w:val="single" w:sz="8" w:color="auto"/>
              <w:left w:val="single" w:sz="8" w:color="CFF0FC"/>
            </w:tcBorders>
            <w:shd w:val="clear" w:color="auto" w:fill="CFF0FC"/>
          </w:tcPr>
          <w:p>
            <w:pPr>
              <w:spacing w:after="0"/>
              <w:rPr>
                <w:sz w:val="7"/>
                <w:szCs w:val="7"/>
                <w:color w:val="auto"/>
              </w:rPr>
            </w:pPr>
          </w:p>
        </w:tc>
        <w:tc>
          <w:tcPr>
            <w:tcW w:w="340" w:type="dxa"/>
            <w:vAlign w:val="bottom"/>
            <w:tcBorders>
              <w:top w:val="single" w:sz="8" w:color="auto"/>
              <w:right w:val="single" w:sz="8" w:color="CFF0FC"/>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420" w:type="dxa"/>
            <w:vAlign w:val="bottom"/>
            <w:tcBorders>
              <w:top w:val="single" w:sz="8" w:color="auto"/>
              <w:right w:val="single" w:sz="8" w:color="CFF0FC"/>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160" w:type="dxa"/>
            <w:vAlign w:val="bottom"/>
            <w:tcBorders>
              <w:top w:val="single" w:sz="8" w:color="auto"/>
            </w:tcBorders>
            <w:shd w:val="clear" w:color="auto" w:fill="CFF0FC"/>
          </w:tcPr>
          <w:p>
            <w:pPr>
              <w:spacing w:after="0"/>
              <w:rPr>
                <w:sz w:val="7"/>
                <w:szCs w:val="7"/>
                <w:color w:val="auto"/>
              </w:rPr>
            </w:pPr>
          </w:p>
        </w:tc>
        <w:tc>
          <w:tcPr>
            <w:tcW w:w="280" w:type="dxa"/>
            <w:vAlign w:val="bottom"/>
            <w:tcBorders>
              <w:top w:val="single" w:sz="8" w:color="auto"/>
              <w:right w:val="single" w:sz="8" w:color="CFF0FC"/>
            </w:tcBorders>
            <w:shd w:val="clear" w:color="auto" w:fill="CFF0FC"/>
          </w:tcPr>
          <w:p>
            <w:pPr>
              <w:spacing w:after="0"/>
              <w:rPr>
                <w:sz w:val="7"/>
                <w:szCs w:val="7"/>
                <w:color w:val="auto"/>
              </w:rPr>
            </w:pPr>
          </w:p>
        </w:tc>
        <w:tc>
          <w:tcPr>
            <w:tcW w:w="140" w:type="dxa"/>
            <w:vAlign w:val="bottom"/>
            <w:tcBorders>
              <w:top w:val="single" w:sz="8" w:color="auto"/>
              <w:left w:val="single" w:sz="8" w:color="CFF0FC"/>
            </w:tcBorders>
            <w:shd w:val="clear" w:color="auto" w:fill="CFF0FC"/>
          </w:tcPr>
          <w:p>
            <w:pPr>
              <w:spacing w:after="0"/>
              <w:rPr>
                <w:sz w:val="7"/>
                <w:szCs w:val="7"/>
                <w:color w:val="auto"/>
              </w:rPr>
            </w:pPr>
          </w:p>
        </w:tc>
        <w:tc>
          <w:tcPr>
            <w:tcW w:w="440" w:type="dxa"/>
            <w:vAlign w:val="bottom"/>
            <w:tcBorders>
              <w:top w:val="single" w:sz="8" w:color="auto"/>
              <w:right w:val="single" w:sz="8" w:color="CFF0FC"/>
            </w:tcBorders>
            <w:shd w:val="clear" w:color="auto" w:fill="CFF0FC"/>
          </w:tcPr>
          <w:p>
            <w:pPr>
              <w:spacing w:after="0"/>
              <w:rPr>
                <w:sz w:val="7"/>
                <w:szCs w:val="7"/>
                <w:color w:val="auto"/>
              </w:rPr>
            </w:pPr>
          </w:p>
        </w:tc>
        <w:tc>
          <w:tcPr>
            <w:tcW w:w="180" w:type="dxa"/>
            <w:vAlign w:val="bottom"/>
            <w:tcBorders>
              <w:top w:val="single" w:sz="8" w:color="auto"/>
              <w:left w:val="single" w:sz="8" w:color="CFF0FC"/>
            </w:tcBorders>
            <w:shd w:val="clear" w:color="auto" w:fill="CFF0FC"/>
          </w:tcPr>
          <w:p>
            <w:pPr>
              <w:spacing w:after="0"/>
              <w:rPr>
                <w:sz w:val="7"/>
                <w:szCs w:val="7"/>
                <w:color w:val="auto"/>
              </w:rPr>
            </w:pPr>
          </w:p>
        </w:tc>
        <w:tc>
          <w:tcPr>
            <w:tcW w:w="540" w:type="dxa"/>
            <w:vAlign w:val="bottom"/>
            <w:tcBorders>
              <w:top w:val="single" w:sz="8" w:color="auto"/>
            </w:tcBorders>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480" w:type="dxa"/>
            <w:vAlign w:val="bottom"/>
            <w:tcBorders>
              <w:top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640" w:type="dxa"/>
            <w:vAlign w:val="bottom"/>
            <w:tcBorders>
              <w:top w:val="single" w:sz="8" w:color="auto"/>
            </w:tcBorders>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540" w:type="dxa"/>
            <w:vAlign w:val="bottom"/>
            <w:tcBorders>
              <w:top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220" w:type="dxa"/>
            <w:vAlign w:val="bottom"/>
            <w:tcBorders>
              <w:right w:val="single" w:sz="8" w:color="CFF0FC"/>
            </w:tcBorders>
            <w:shd w:val="clear" w:color="auto" w:fill="CFF0FC"/>
          </w:tcPr>
          <w:p>
            <w:pPr>
              <w:spacing w:after="0"/>
              <w:rPr>
                <w:sz w:val="17"/>
                <w:szCs w:val="17"/>
                <w:color w:val="auto"/>
              </w:rPr>
            </w:pPr>
          </w:p>
        </w:tc>
        <w:tc>
          <w:tcPr>
            <w:tcW w:w="5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right w:val="single" w:sz="8" w:color="CFF0FC"/>
            </w:tcBorders>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3,972</w:t>
            </w:r>
          </w:p>
        </w:tc>
        <w:tc>
          <w:tcPr>
            <w:tcW w:w="140" w:type="dxa"/>
            <w:vAlign w:val="bottom"/>
            <w:tcBorders>
              <w:lef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right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92"/>
              </w:rPr>
              <w:t>97,089</w:t>
            </w:r>
          </w:p>
        </w:tc>
        <w:tc>
          <w:tcPr>
            <w:tcW w:w="18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(74,444 )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22,655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220" w:type="dxa"/>
            <w:vAlign w:val="bottom"/>
            <w:tcBorders>
              <w:top w:val="single" w:sz="8" w:color="CFF0FC"/>
            </w:tcBorders>
          </w:tcPr>
          <w:p>
            <w:pPr>
              <w:ind w:left="100"/>
              <w:spacing w:after="0" w:line="79" w:lineRule="exact"/>
              <w:rPr>
                <w:sz w:val="20"/>
                <w:szCs w:val="20"/>
                <w:color w:val="auto"/>
              </w:rPr>
            </w:pPr>
            <w:r>
              <w:rPr>
                <w:rFonts w:ascii="Times New Roman" w:cs="Times New Roman" w:eastAsia="Times New Roman" w:hAnsi="Times New Roman"/>
                <w:sz w:val="9"/>
                <w:szCs w:val="9"/>
                <w:color w:val="auto"/>
              </w:rPr>
              <w:t>Cashless exercise of common stock warrants</w:t>
            </w:r>
          </w:p>
        </w:tc>
        <w:tc>
          <w:tcPr>
            <w:tcW w:w="420" w:type="dxa"/>
            <w:vAlign w:val="bottom"/>
            <w:tcBorders>
              <w:top w:val="single" w:sz="8" w:color="auto"/>
            </w:tcBorders>
          </w:tcPr>
          <w:p>
            <w:pPr>
              <w:spacing w:after="0"/>
              <w:rPr>
                <w:sz w:val="6"/>
                <w:szCs w:val="6"/>
                <w:color w:val="auto"/>
              </w:rPr>
            </w:pPr>
          </w:p>
        </w:tc>
        <w:tc>
          <w:tcPr>
            <w:tcW w:w="120" w:type="dxa"/>
            <w:vAlign w:val="bottom"/>
            <w:tcBorders>
              <w:top w:val="single" w:sz="8" w:color="CFF0FC"/>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20" w:type="dxa"/>
            <w:vAlign w:val="bottom"/>
            <w:tcBorders>
              <w:top w:val="single" w:sz="8" w:color="CFF0FC"/>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20" w:type="dxa"/>
            <w:vAlign w:val="bottom"/>
            <w:tcBorders>
              <w:top w:val="single" w:sz="8" w:color="CFF0FC"/>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40" w:type="dxa"/>
            <w:vAlign w:val="bottom"/>
            <w:tcBorders>
              <w:top w:val="single" w:sz="8" w:color="CFF0FC"/>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Borders>
              <w:top w:val="single" w:sz="8" w:color="CFF0FC"/>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20" w:type="dxa"/>
            <w:vAlign w:val="bottom"/>
            <w:tcBorders>
              <w:top w:val="single" w:sz="8" w:color="CFF0FC"/>
            </w:tcBorders>
          </w:tcPr>
          <w:p>
            <w:pPr>
              <w:spacing w:after="0"/>
              <w:rPr>
                <w:sz w:val="6"/>
                <w:szCs w:val="6"/>
                <w:color w:val="auto"/>
              </w:rPr>
            </w:pPr>
          </w:p>
        </w:tc>
        <w:tc>
          <w:tcPr>
            <w:tcW w:w="540" w:type="dxa"/>
            <w:vAlign w:val="bottom"/>
            <w:tcBorders>
              <w:top w:val="single" w:sz="8" w:color="auto"/>
            </w:tcBorders>
          </w:tcPr>
          <w:p>
            <w:pPr>
              <w:jc w:val="right"/>
              <w:ind w:right="87"/>
              <w:spacing w:after="0" w:line="79" w:lineRule="exact"/>
              <w:rPr>
                <w:sz w:val="20"/>
                <w:szCs w:val="20"/>
                <w:color w:val="auto"/>
              </w:rPr>
            </w:pPr>
            <w:r>
              <w:rPr>
                <w:rFonts w:ascii="Times New Roman" w:cs="Times New Roman" w:eastAsia="Times New Roman" w:hAnsi="Times New Roman"/>
                <w:sz w:val="9"/>
                <w:szCs w:val="9"/>
                <w:color w:val="auto"/>
              </w:rPr>
              <w:t>999,18</w:t>
            </w:r>
          </w:p>
        </w:tc>
        <w:tc>
          <w:tcPr>
            <w:tcW w:w="1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20" w:type="dxa"/>
            <w:vAlign w:val="bottom"/>
            <w:tcBorders>
              <w:top w:val="single" w:sz="8" w:color="CFF0FC"/>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Borders>
              <w:top w:val="single" w:sz="8" w:color="CFF0FC"/>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Borders>
              <w:top w:val="single" w:sz="8" w:color="CFF0FC"/>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Borders>
              <w:top w:val="single" w:sz="8" w:color="CFF0FC"/>
            </w:tcBorders>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22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tcPr>
          <w:p>
            <w:pPr>
              <w:spacing w:after="0"/>
              <w:rPr>
                <w:sz w:val="13"/>
                <w:szCs w:val="13"/>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9"/>
        </w:trPr>
        <w:tc>
          <w:tcPr>
            <w:tcW w:w="2220" w:type="dxa"/>
            <w:vAlign w:val="bottom"/>
            <w:tcBorders>
              <w:right w:val="single" w:sz="8" w:color="CFF0FC"/>
            </w:tcBorders>
            <w:shd w:val="clear" w:color="auto" w:fill="CFF0FC"/>
          </w:tcPr>
          <w:p>
            <w:pPr>
              <w:ind w:left="100"/>
              <w:spacing w:after="0" w:line="99" w:lineRule="exact"/>
              <w:rPr>
                <w:sz w:val="20"/>
                <w:szCs w:val="20"/>
                <w:color w:val="auto"/>
              </w:rPr>
            </w:pPr>
            <w:r>
              <w:rPr>
                <w:rFonts w:ascii="Times New Roman" w:cs="Times New Roman" w:eastAsia="Times New Roman" w:hAnsi="Times New Roman"/>
                <w:sz w:val="11"/>
                <w:szCs w:val="11"/>
                <w:color w:val="auto"/>
              </w:rPr>
              <w:t>Issuance of common stock upon Merger, net of</w:t>
            </w:r>
          </w:p>
        </w:tc>
        <w:tc>
          <w:tcPr>
            <w:tcW w:w="420" w:type="dxa"/>
            <w:vAlign w:val="bottom"/>
            <w:tcBorders>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20" w:type="dxa"/>
            <w:vAlign w:val="bottom"/>
            <w:tcBorders>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420" w:type="dxa"/>
            <w:vAlign w:val="bottom"/>
            <w:tcBorders>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20" w:type="dxa"/>
            <w:vAlign w:val="bottom"/>
            <w:tcBorders>
              <w:right w:val="single" w:sz="8" w:color="CFF0FC"/>
            </w:tcBorders>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400" w:type="dxa"/>
            <w:vAlign w:val="bottom"/>
            <w:tcBorders>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20" w:type="dxa"/>
            <w:vAlign w:val="bottom"/>
            <w:tcBorders>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540" w:type="dxa"/>
            <w:vAlign w:val="bottom"/>
            <w:tcBorders>
              <w:right w:val="single" w:sz="8" w:color="CFF0FC"/>
            </w:tcBorders>
            <w:shd w:val="clear" w:color="auto" w:fill="CFF0FC"/>
          </w:tcPr>
          <w:p>
            <w:pPr>
              <w:jc w:val="right"/>
              <w:ind w:right="87"/>
              <w:spacing w:after="0" w:line="99" w:lineRule="exact"/>
              <w:rPr>
                <w:sz w:val="20"/>
                <w:szCs w:val="20"/>
                <w:color w:val="auto"/>
              </w:rPr>
            </w:pPr>
            <w:r>
              <w:rPr>
                <w:rFonts w:ascii="Times New Roman" w:cs="Times New Roman" w:eastAsia="Times New Roman" w:hAnsi="Times New Roman"/>
                <w:sz w:val="11"/>
                <w:szCs w:val="11"/>
                <w:color w:val="auto"/>
              </w:rPr>
              <w:t>10,525,</w:t>
            </w:r>
          </w:p>
        </w:tc>
        <w:tc>
          <w:tcPr>
            <w:tcW w:w="140" w:type="dxa"/>
            <w:vAlign w:val="bottom"/>
            <w:tcBorders>
              <w:left w:val="single" w:sz="8" w:color="CFF0FC"/>
            </w:tcBorders>
            <w:shd w:val="clear" w:color="auto" w:fill="CFF0FC"/>
          </w:tcPr>
          <w:p>
            <w:pPr>
              <w:spacing w:after="0"/>
              <w:rPr>
                <w:sz w:val="8"/>
                <w:szCs w:val="8"/>
                <w:color w:val="auto"/>
              </w:rPr>
            </w:pPr>
          </w:p>
        </w:tc>
        <w:tc>
          <w:tcPr>
            <w:tcW w:w="34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80" w:type="dxa"/>
            <w:vAlign w:val="bottom"/>
            <w:tcBorders>
              <w:right w:val="single" w:sz="8" w:color="CFF0FC"/>
            </w:tcBorders>
            <w:shd w:val="clear" w:color="auto" w:fill="CFF0FC"/>
          </w:tcPr>
          <w:p>
            <w:pPr>
              <w:spacing w:after="0"/>
              <w:rPr>
                <w:sz w:val="8"/>
                <w:szCs w:val="8"/>
                <w:color w:val="auto"/>
              </w:rPr>
            </w:pPr>
          </w:p>
        </w:tc>
        <w:tc>
          <w:tcPr>
            <w:tcW w:w="140" w:type="dxa"/>
            <w:vAlign w:val="bottom"/>
            <w:tcBorders>
              <w:left w:val="single" w:sz="8" w:color="CFF0FC"/>
            </w:tcBorders>
            <w:shd w:val="clear" w:color="auto" w:fill="CFF0FC"/>
          </w:tcPr>
          <w:p>
            <w:pPr>
              <w:spacing w:after="0"/>
              <w:rPr>
                <w:sz w:val="8"/>
                <w:szCs w:val="8"/>
                <w:color w:val="auto"/>
              </w:rPr>
            </w:pPr>
          </w:p>
        </w:tc>
        <w:tc>
          <w:tcPr>
            <w:tcW w:w="440" w:type="dxa"/>
            <w:vAlign w:val="bottom"/>
            <w:tcBorders>
              <w:right w:val="single" w:sz="8" w:color="CFF0FC"/>
            </w:tcBorders>
            <w:shd w:val="clear" w:color="auto" w:fill="CFF0FC"/>
          </w:tcPr>
          <w:p>
            <w:pPr>
              <w:spacing w:after="0"/>
              <w:rPr>
                <w:sz w:val="8"/>
                <w:szCs w:val="8"/>
                <w:color w:val="auto"/>
              </w:rPr>
            </w:pPr>
          </w:p>
        </w:tc>
        <w:tc>
          <w:tcPr>
            <w:tcW w:w="180" w:type="dxa"/>
            <w:vAlign w:val="bottom"/>
            <w:tcBorders>
              <w:left w:val="single" w:sz="8" w:color="CFF0FC"/>
            </w:tcBorders>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2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transaction costs</w:t>
            </w:r>
          </w:p>
        </w:tc>
        <w:tc>
          <w:tcPr>
            <w:tcW w:w="5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right w:val="single" w:sz="8" w:color="CFF0FC"/>
            </w:tcBorders>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990</w:t>
            </w:r>
          </w:p>
        </w:tc>
        <w:tc>
          <w:tcPr>
            <w:tcW w:w="140" w:type="dxa"/>
            <w:vAlign w:val="bottom"/>
            <w:tcBorders>
              <w:left w:val="single" w:sz="8" w:color="CFF0FC"/>
            </w:tcBorders>
            <w:shd w:val="clear" w:color="auto" w:fill="CFF0FC"/>
          </w:tcPr>
          <w:p>
            <w:pPr>
              <w:spacing w:after="0"/>
              <w:rPr>
                <w:sz w:val="14"/>
                <w:szCs w:val="14"/>
                <w:color w:val="auto"/>
              </w:rPr>
            </w:pPr>
          </w:p>
        </w:tc>
        <w:tc>
          <w:tcPr>
            <w:tcW w:w="34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FF0FC"/>
          </w:tcPr>
          <w:p>
            <w:pPr>
              <w:spacing w:after="0"/>
              <w:rPr>
                <w:sz w:val="14"/>
                <w:szCs w:val="14"/>
                <w:color w:val="auto"/>
              </w:rPr>
            </w:pPr>
          </w:p>
        </w:tc>
        <w:tc>
          <w:tcPr>
            <w:tcW w:w="42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440" w:type="dxa"/>
            <w:vAlign w:val="bottom"/>
            <w:tcBorders>
              <w:right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403</w:t>
            </w:r>
          </w:p>
        </w:tc>
        <w:tc>
          <w:tcPr>
            <w:tcW w:w="180" w:type="dxa"/>
            <w:vAlign w:val="bottom"/>
            <w:tcBorders>
              <w:left w:val="single" w:sz="8" w:color="CFF0FC"/>
            </w:tcBorders>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220" w:type="dxa"/>
            <w:vAlign w:val="bottom"/>
          </w:tcPr>
          <w:p>
            <w:pPr>
              <w:ind w:left="100"/>
              <w:spacing w:after="0" w:line="95" w:lineRule="exact"/>
              <w:rPr>
                <w:sz w:val="20"/>
                <w:szCs w:val="20"/>
                <w:color w:val="auto"/>
              </w:rPr>
            </w:pPr>
            <w:r>
              <w:rPr>
                <w:rFonts w:ascii="Times New Roman" w:cs="Times New Roman" w:eastAsia="Times New Roman" w:hAnsi="Times New Roman"/>
                <w:sz w:val="10"/>
                <w:szCs w:val="10"/>
                <w:color w:val="auto"/>
              </w:rPr>
              <w:t>Issuance of PIPE shares</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ind w:right="87"/>
              <w:spacing w:after="0" w:line="95" w:lineRule="exact"/>
              <w:rPr>
                <w:sz w:val="20"/>
                <w:szCs w:val="20"/>
                <w:color w:val="auto"/>
              </w:rPr>
            </w:pPr>
            <w:r>
              <w:rPr>
                <w:rFonts w:ascii="Times New Roman" w:cs="Times New Roman" w:eastAsia="Times New Roman" w:hAnsi="Times New Roman"/>
                <w:sz w:val="10"/>
                <w:szCs w:val="10"/>
                <w:color w:val="auto"/>
              </w:rPr>
              <w:t>22,000,</w:t>
            </w: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ind w:right="86"/>
              <w:spacing w:after="0" w:line="95" w:lineRule="exact"/>
              <w:rPr>
                <w:sz w:val="20"/>
                <w:szCs w:val="20"/>
                <w:color w:val="auto"/>
              </w:rPr>
            </w:pPr>
            <w:r>
              <w:rPr>
                <w:rFonts w:ascii="Times New Roman" w:cs="Times New Roman" w:eastAsia="Times New Roman" w:hAnsi="Times New Roman"/>
                <w:sz w:val="10"/>
                <w:szCs w:val="10"/>
                <w:color w:val="auto"/>
              </w:rPr>
              <w:t>219,99</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22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000</w:t>
            </w:r>
          </w:p>
        </w:tc>
        <w:tc>
          <w:tcPr>
            <w:tcW w:w="140" w:type="dxa"/>
            <w:vAlign w:val="bottom"/>
          </w:tcPr>
          <w:p>
            <w:pPr>
              <w:spacing w:after="0"/>
              <w:rPr>
                <w:sz w:val="13"/>
                <w:szCs w:val="13"/>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2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5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right w:val="single" w:sz="8" w:color="CFF0FC"/>
            </w:tcBorders>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34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2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92"/>
              </w:rPr>
              <w:t>30,367</w:t>
            </w:r>
          </w:p>
        </w:tc>
        <w:tc>
          <w:tcPr>
            <w:tcW w:w="180" w:type="dxa"/>
            <w:vAlign w:val="bottom"/>
            <w:tcBorders>
              <w:left w:val="single" w:sz="8" w:color="CFF0FC"/>
            </w:tcBorders>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30,367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128</w:t>
            </w:r>
          </w:p>
        </w:tc>
        <w:tc>
          <w:tcPr>
            <w:tcW w:w="14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4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2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5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right w:val="single" w:sz="8" w:color="CFF0FC"/>
            </w:tcBorders>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1"/>
                <w:szCs w:val="11"/>
                <w:color w:val="auto"/>
              </w:rPr>
            </w:pPr>
          </w:p>
        </w:tc>
        <w:tc>
          <w:tcPr>
            <w:tcW w:w="440" w:type="dxa"/>
            <w:vAlign w:val="bottom"/>
            <w:tcBorders>
              <w:right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left w:val="single" w:sz="8" w:color="CFF0FC"/>
            </w:tcBorders>
            <w:shd w:val="clear" w:color="auto" w:fill="CFF0FC"/>
          </w:tcPr>
          <w:p>
            <w:pPr>
              <w:spacing w:after="0"/>
              <w:rPr>
                <w:sz w:val="11"/>
                <w:szCs w:val="11"/>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(36,985 )</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(36,985 )</w:t>
            </w:r>
          </w:p>
        </w:tc>
        <w:tc>
          <w:tcPr>
            <w:tcW w:w="0" w:type="dxa"/>
            <w:vAlign w:val="bottom"/>
          </w:tcPr>
          <w:p>
            <w:pPr>
              <w:spacing w:after="0"/>
              <w:rPr>
                <w:sz w:val="1"/>
                <w:szCs w:val="1"/>
                <w:color w:val="auto"/>
              </w:rPr>
            </w:pPr>
          </w:p>
        </w:tc>
      </w:tr>
      <w:tr>
        <w:trPr>
          <w:trHeight w:val="88"/>
        </w:trPr>
        <w:tc>
          <w:tcPr>
            <w:tcW w:w="2220" w:type="dxa"/>
            <w:vAlign w:val="bottom"/>
            <w:tcBorders>
              <w:top w:val="single" w:sz="8" w:color="CFF0FC"/>
            </w:tcBorders>
          </w:tcPr>
          <w:p>
            <w:pPr>
              <w:ind w:left="20"/>
              <w:spacing w:after="0" w:line="88" w:lineRule="exact"/>
              <w:rPr>
                <w:sz w:val="20"/>
                <w:szCs w:val="20"/>
                <w:color w:val="auto"/>
              </w:rPr>
            </w:pPr>
            <w:r>
              <w:rPr>
                <w:rFonts w:ascii="Times New Roman" w:cs="Times New Roman" w:eastAsia="Times New Roman" w:hAnsi="Times New Roman"/>
                <w:sz w:val="10"/>
                <w:szCs w:val="10"/>
                <w:color w:val="auto"/>
              </w:rPr>
              <w:t>Balance at September 30, 2021</w:t>
            </w:r>
          </w:p>
        </w:tc>
        <w:tc>
          <w:tcPr>
            <w:tcW w:w="4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540" w:type="dxa"/>
            <w:vAlign w:val="bottom"/>
            <w:tcBorders>
              <w:top w:val="single" w:sz="8" w:color="auto"/>
            </w:tcBorders>
          </w:tcPr>
          <w:p>
            <w:pPr>
              <w:jc w:val="right"/>
              <w:ind w:right="87"/>
              <w:spacing w:after="0" w:line="88" w:lineRule="exact"/>
              <w:rPr>
                <w:sz w:val="20"/>
                <w:szCs w:val="20"/>
                <w:color w:val="auto"/>
              </w:rPr>
            </w:pPr>
            <w:r>
              <w:rPr>
                <w:rFonts w:ascii="Times New Roman" w:cs="Times New Roman" w:eastAsia="Times New Roman" w:hAnsi="Times New Roman"/>
                <w:sz w:val="10"/>
                <w:szCs w:val="10"/>
                <w:color w:val="auto"/>
              </w:rPr>
              <w:t>137,58</w:t>
            </w:r>
          </w:p>
        </w:tc>
        <w:tc>
          <w:tcPr>
            <w:tcW w:w="1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right"/>
              <w:ind w:right="86"/>
              <w:spacing w:after="0" w:line="88" w:lineRule="exact"/>
              <w:rPr>
                <w:sz w:val="20"/>
                <w:szCs w:val="20"/>
                <w:color w:val="auto"/>
              </w:rPr>
            </w:pPr>
            <w:r>
              <w:rPr>
                <w:rFonts w:ascii="Times New Roman" w:cs="Times New Roman" w:eastAsia="Times New Roman" w:hAnsi="Times New Roman"/>
                <w:sz w:val="10"/>
                <w:szCs w:val="10"/>
                <w:color w:val="auto"/>
              </w:rPr>
              <w:t>347,85</w:t>
            </w:r>
          </w:p>
        </w:tc>
        <w:tc>
          <w:tcPr>
            <w:tcW w:w="1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2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9,275</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(111,429 )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236,441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Addition</w:t>
            </w: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gridSpan w:val="9"/>
            <w:vMerge w:val="restart"/>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Convertible Preferred Stock</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gridSpan w:val="4"/>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2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9"/>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4"/>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2"/>
              </w:rPr>
              <w:t>al</w:t>
            </w:r>
          </w:p>
        </w:tc>
        <w:tc>
          <w:tcPr>
            <w:tcW w:w="18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99"/>
        </w:trPr>
        <w:tc>
          <w:tcPr>
            <w:tcW w:w="2220" w:type="dxa"/>
            <w:vAlign w:val="bottom"/>
          </w:tcPr>
          <w:p>
            <w:pPr>
              <w:spacing w:after="0"/>
              <w:rPr>
                <w:sz w:val="8"/>
                <w:szCs w:val="8"/>
                <w:color w:val="auto"/>
              </w:rPr>
            </w:pPr>
          </w:p>
        </w:tc>
        <w:tc>
          <w:tcPr>
            <w:tcW w:w="7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Series C</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gridSpan w:val="3"/>
          </w:tcPr>
          <w:p>
            <w:pPr>
              <w:ind w:left="80"/>
              <w:spacing w:after="0" w:line="100" w:lineRule="exact"/>
              <w:rPr>
                <w:sz w:val="20"/>
                <w:szCs w:val="20"/>
                <w:color w:val="auto"/>
              </w:rPr>
            </w:pPr>
            <w:r>
              <w:rPr>
                <w:rFonts w:ascii="Times New Roman" w:cs="Times New Roman" w:eastAsia="Times New Roman" w:hAnsi="Times New Roman"/>
                <w:sz w:val="11"/>
                <w:szCs w:val="11"/>
                <w:b w:val="1"/>
                <w:bCs w:val="1"/>
                <w:color w:val="auto"/>
              </w:rPr>
              <w:t>Comprehensi</w:t>
            </w:r>
          </w:p>
        </w:tc>
        <w:tc>
          <w:tcPr>
            <w:tcW w:w="680" w:type="dxa"/>
            <w:vAlign w:val="bottom"/>
            <w:gridSpan w:val="3"/>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Accumulate</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3"/>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37"/>
        </w:trPr>
        <w:tc>
          <w:tcPr>
            <w:tcW w:w="2220" w:type="dxa"/>
            <w:vAlign w:val="bottom"/>
          </w:tcPr>
          <w:p>
            <w:pPr>
              <w:spacing w:after="0"/>
              <w:rPr>
                <w:sz w:val="11"/>
                <w:szCs w:val="11"/>
                <w:color w:val="auto"/>
              </w:rPr>
            </w:pPr>
          </w:p>
        </w:tc>
        <w:tc>
          <w:tcPr>
            <w:tcW w:w="74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gridSpan w:val="2"/>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80" w:type="dxa"/>
            <w:vAlign w:val="bottom"/>
          </w:tcPr>
          <w:p>
            <w:pPr>
              <w:spacing w:after="0"/>
              <w:rPr>
                <w:sz w:val="11"/>
                <w:szCs w:val="11"/>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ve</w:t>
            </w:r>
          </w:p>
        </w:tc>
        <w:tc>
          <w:tcPr>
            <w:tcW w:w="100" w:type="dxa"/>
            <w:vAlign w:val="bottom"/>
          </w:tcPr>
          <w:p>
            <w:pPr>
              <w:spacing w:after="0"/>
              <w:rPr>
                <w:sz w:val="11"/>
                <w:szCs w:val="11"/>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d</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20" w:type="dxa"/>
            <w:vAlign w:val="bottom"/>
          </w:tcPr>
          <w:p>
            <w:pPr>
              <w:spacing w:after="0"/>
              <w:rPr>
                <w:sz w:val="11"/>
                <w:szCs w:val="11"/>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99"/>
        </w:trPr>
        <w:tc>
          <w:tcPr>
            <w:tcW w:w="2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gridSpan w:val="2"/>
          </w:tcPr>
          <w:p>
            <w:pPr>
              <w:jc w:val="right"/>
              <w:ind w:right="6"/>
              <w:spacing w:after="0" w:line="100" w:lineRule="exact"/>
              <w:rPr>
                <w:sz w:val="20"/>
                <w:szCs w:val="20"/>
                <w:color w:val="auto"/>
              </w:rPr>
            </w:pPr>
            <w:r>
              <w:rPr>
                <w:rFonts w:ascii="Times New Roman" w:cs="Times New Roman" w:eastAsia="Times New Roman" w:hAnsi="Times New Roman"/>
                <w:sz w:val="11"/>
                <w:szCs w:val="11"/>
                <w:b w:val="1"/>
                <w:bCs w:val="1"/>
                <w:color w:val="auto"/>
              </w:rPr>
              <w:t>Amoun</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2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4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3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t</w:t>
            </w:r>
          </w:p>
        </w:tc>
        <w:tc>
          <w:tcPr>
            <w:tcW w:w="80" w:type="dxa"/>
            <w:vAlign w:val="bottom"/>
          </w:tcPr>
          <w:p>
            <w:pPr>
              <w:spacing w:after="0"/>
              <w:rPr>
                <w:sz w:val="12"/>
                <w:szCs w:val="12"/>
                <w:color w:val="auto"/>
              </w:rPr>
            </w:pPr>
          </w:p>
        </w:tc>
        <w:tc>
          <w:tcPr>
            <w:tcW w:w="4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8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2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08"/>
        </w:trPr>
        <w:tc>
          <w:tcPr>
            <w:tcW w:w="222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Balance at December 31, 2021</w:t>
            </w:r>
          </w:p>
        </w:tc>
        <w:tc>
          <w:tcPr>
            <w:tcW w:w="4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top w:val="single" w:sz="8" w:color="auto"/>
            </w:tcBorders>
          </w:tcPr>
          <w:p>
            <w:pPr>
              <w:jc w:val="right"/>
              <w:ind w:right="7"/>
              <w:spacing w:after="0" w:line="108" w:lineRule="exact"/>
              <w:rPr>
                <w:sz w:val="20"/>
                <w:szCs w:val="20"/>
                <w:color w:val="auto"/>
              </w:rPr>
            </w:pPr>
            <w:r>
              <w:rPr>
                <w:rFonts w:ascii="Times New Roman" w:cs="Times New Roman" w:eastAsia="Times New Roman" w:hAnsi="Times New Roman"/>
                <w:sz w:val="11"/>
                <w:szCs w:val="11"/>
                <w:color w:val="auto"/>
              </w:rPr>
              <w:t>137,72</w:t>
            </w: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359,43</w:t>
            </w:r>
          </w:p>
        </w:tc>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2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2,658</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1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(145,491 )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213,962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5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Borders>
              <w:right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60" w:type="dxa"/>
            <w:vAlign w:val="bottom"/>
            <w:tcBorders>
              <w:right w:val="single" w:sz="8" w:color="CFF0FC"/>
            </w:tcBorders>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Borders>
              <w:right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10,850</w:t>
            </w:r>
          </w:p>
        </w:tc>
        <w:tc>
          <w:tcPr>
            <w:tcW w:w="180" w:type="dxa"/>
            <w:vAlign w:val="bottom"/>
            <w:tcBorders>
              <w:left w:val="single" w:sz="8" w:color="CFF0FC"/>
            </w:tcBorders>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2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w w:val="98"/>
              </w:rPr>
              <w:t>Common stock issued upon vesting of restricted</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ind w:right="7"/>
              <w:spacing w:after="0" w:line="108" w:lineRule="exact"/>
              <w:rPr>
                <w:sz w:val="20"/>
                <w:szCs w:val="20"/>
                <w:color w:val="auto"/>
              </w:rPr>
            </w:pPr>
            <w:r>
              <w:rPr>
                <w:rFonts w:ascii="Times New Roman" w:cs="Times New Roman" w:eastAsia="Times New Roman" w:hAnsi="Times New Roman"/>
                <w:sz w:val="11"/>
                <w:szCs w:val="11"/>
                <w:color w:val="auto"/>
              </w:rPr>
              <w:t>2,013,8</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 awards and restricted stock units</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93</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2"/>
        </w:trPr>
        <w:tc>
          <w:tcPr>
            <w:tcW w:w="2220" w:type="dxa"/>
            <w:vAlign w:val="bottom"/>
            <w:tcBorders>
              <w:right w:val="single" w:sz="8" w:color="CFF0FC"/>
            </w:tcBorders>
            <w:shd w:val="clear" w:color="auto" w:fill="CFF0FC"/>
          </w:tcPr>
          <w:p>
            <w:pPr>
              <w:ind w:left="100"/>
              <w:spacing w:after="0" w:line="112" w:lineRule="exact"/>
              <w:rPr>
                <w:sz w:val="20"/>
                <w:szCs w:val="20"/>
                <w:color w:val="auto"/>
              </w:rPr>
            </w:pPr>
            <w:r>
              <w:rPr>
                <w:rFonts w:ascii="Times New Roman" w:cs="Times New Roman" w:eastAsia="Times New Roman" w:hAnsi="Times New Roman"/>
                <w:sz w:val="11"/>
                <w:szCs w:val="11"/>
                <w:color w:val="auto"/>
              </w:rPr>
              <w:t>Shares repurchased for payment of tax</w:t>
            </w:r>
          </w:p>
        </w:tc>
        <w:tc>
          <w:tcPr>
            <w:tcW w:w="4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540" w:type="dxa"/>
            <w:vAlign w:val="bottom"/>
            <w:tcBorders>
              <w:right w:val="single" w:sz="8" w:color="CFF0FC"/>
            </w:tcBorders>
            <w:shd w:val="clear" w:color="auto" w:fill="CFF0FC"/>
          </w:tcPr>
          <w:p>
            <w:pPr>
              <w:jc w:val="right"/>
              <w:ind w:right="7"/>
              <w:spacing w:after="0" w:line="112" w:lineRule="exact"/>
              <w:rPr>
                <w:sz w:val="20"/>
                <w:szCs w:val="20"/>
                <w:color w:val="auto"/>
              </w:rPr>
            </w:pPr>
            <w:r>
              <w:rPr>
                <w:rFonts w:ascii="Times New Roman" w:cs="Times New Roman" w:eastAsia="Times New Roman" w:hAnsi="Times New Roman"/>
                <w:sz w:val="11"/>
                <w:szCs w:val="11"/>
                <w:color w:val="auto"/>
              </w:rPr>
              <w:t>(793,88</w:t>
            </w:r>
          </w:p>
        </w:tc>
        <w:tc>
          <w:tcPr>
            <w:tcW w:w="14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80" w:type="dxa"/>
            <w:vAlign w:val="bottom"/>
            <w:tcBorders>
              <w:right w:val="single" w:sz="8" w:color="CFF0FC"/>
            </w:tcBorders>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180" w:type="dxa"/>
            <w:vAlign w:val="bottom"/>
            <w:tcBorders>
              <w:left w:val="single" w:sz="8" w:color="CFF0FC"/>
            </w:tcBorders>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withholdings and other</w:t>
            </w:r>
          </w:p>
        </w:tc>
        <w:tc>
          <w:tcPr>
            <w:tcW w:w="5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Borders>
              <w:right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60" w:type="dxa"/>
            <w:vAlign w:val="bottom"/>
            <w:tcBorders>
              <w:right w:val="single" w:sz="8" w:color="CFF0FC"/>
            </w:tcBorders>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140" w:type="dxa"/>
            <w:vAlign w:val="bottom"/>
            <w:tcBorders>
              <w:left w:val="single" w:sz="8" w:color="CFF0FC"/>
            </w:tcBorders>
            <w:shd w:val="clear" w:color="auto" w:fill="CFF0FC"/>
          </w:tcPr>
          <w:p>
            <w:pPr>
              <w:spacing w:after="0"/>
              <w:rPr>
                <w:sz w:val="12"/>
                <w:szCs w:val="12"/>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(5,250 )</w:t>
            </w:r>
          </w:p>
        </w:tc>
        <w:tc>
          <w:tcPr>
            <w:tcW w:w="180" w:type="dxa"/>
            <w:vAlign w:val="bottom"/>
            <w:tcBorders>
              <w:left w:val="single" w:sz="8" w:color="CFF0FC"/>
            </w:tcBorders>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(5,250 )</w:t>
            </w:r>
          </w:p>
        </w:tc>
        <w:tc>
          <w:tcPr>
            <w:tcW w:w="0" w:type="dxa"/>
            <w:vAlign w:val="bottom"/>
          </w:tcPr>
          <w:p>
            <w:pPr>
              <w:spacing w:after="0"/>
              <w:rPr>
                <w:sz w:val="1"/>
                <w:szCs w:val="1"/>
                <w:color w:val="auto"/>
              </w:rPr>
            </w:pPr>
          </w:p>
        </w:tc>
      </w:tr>
      <w:tr>
        <w:trPr>
          <w:trHeight w:val="135"/>
        </w:trPr>
        <w:tc>
          <w:tcPr>
            <w:tcW w:w="2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83,582</w:t>
            </w:r>
          </w:p>
        </w:tc>
        <w:tc>
          <w:tcPr>
            <w:tcW w:w="1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w:t>
            </w:r>
          </w:p>
        </w:tc>
        <w:tc>
          <w:tcPr>
            <w:tcW w:w="18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right w:val="single" w:sz="8" w:color="CFF0FC"/>
            </w:tcBorders>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Borders>
              <w:right w:val="single" w:sz="8" w:color="CFF0FC"/>
            </w:tcBorders>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right w:val="single" w:sz="8" w:color="CFF0FC"/>
            </w:tcBorders>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1"/>
                <w:szCs w:val="11"/>
                <w:color w:val="auto"/>
              </w:rPr>
            </w:pPr>
          </w:p>
        </w:tc>
        <w:tc>
          <w:tcPr>
            <w:tcW w:w="4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left w:val="single" w:sz="8" w:color="CFF0FC"/>
            </w:tcBorders>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(19,202 )</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(19,202 )</w:t>
            </w:r>
          </w:p>
        </w:tc>
        <w:tc>
          <w:tcPr>
            <w:tcW w:w="0" w:type="dxa"/>
            <w:vAlign w:val="bottom"/>
          </w:tcPr>
          <w:p>
            <w:pPr>
              <w:spacing w:after="0"/>
              <w:rPr>
                <w:sz w:val="1"/>
                <w:szCs w:val="1"/>
                <w:color w:val="auto"/>
              </w:rPr>
            </w:pPr>
          </w:p>
        </w:tc>
      </w:tr>
      <w:tr>
        <w:trPr>
          <w:trHeight w:val="101"/>
        </w:trPr>
        <w:tc>
          <w:tcPr>
            <w:tcW w:w="2220" w:type="dxa"/>
            <w:vAlign w:val="bottom"/>
            <w:tcBorders>
              <w:top w:val="single" w:sz="8" w:color="CFF0FC"/>
            </w:tcBorders>
          </w:tcPr>
          <w:p>
            <w:pPr>
              <w:ind w:left="20"/>
              <w:spacing w:after="0" w:line="102" w:lineRule="exact"/>
              <w:rPr>
                <w:sz w:val="20"/>
                <w:szCs w:val="20"/>
                <w:color w:val="auto"/>
              </w:rPr>
            </w:pPr>
            <w:r>
              <w:rPr>
                <w:rFonts w:ascii="Times New Roman" w:cs="Times New Roman" w:eastAsia="Times New Roman" w:hAnsi="Times New Roman"/>
                <w:sz w:val="11"/>
                <w:szCs w:val="11"/>
                <w:color w:val="auto"/>
              </w:rPr>
              <w:t>Balance at March 31, 2022</w:t>
            </w:r>
          </w:p>
        </w:tc>
        <w:tc>
          <w:tcPr>
            <w:tcW w:w="42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40" w:type="dxa"/>
            <w:vAlign w:val="bottom"/>
            <w:tcBorders>
              <w:top w:val="single" w:sz="8" w:color="auto"/>
            </w:tcBorders>
          </w:tcPr>
          <w:p>
            <w:pPr>
              <w:jc w:val="right"/>
              <w:ind w:right="7"/>
              <w:spacing w:after="0" w:line="102" w:lineRule="exact"/>
              <w:rPr>
                <w:sz w:val="20"/>
                <w:szCs w:val="20"/>
                <w:color w:val="auto"/>
              </w:rPr>
            </w:pPr>
            <w:r>
              <w:rPr>
                <w:rFonts w:ascii="Times New Roman" w:cs="Times New Roman" w:eastAsia="Times New Roman" w:hAnsi="Times New Roman"/>
                <w:sz w:val="11"/>
                <w:szCs w:val="11"/>
                <w:color w:val="auto"/>
              </w:rPr>
              <w:t>139,02</w:t>
            </w:r>
          </w:p>
        </w:tc>
        <w:tc>
          <w:tcPr>
            <w:tcW w:w="1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ind w:right="6"/>
              <w:spacing w:after="0" w:line="102" w:lineRule="exact"/>
              <w:rPr>
                <w:sz w:val="20"/>
                <w:szCs w:val="20"/>
                <w:color w:val="auto"/>
              </w:rPr>
            </w:pPr>
            <w:r>
              <w:rPr>
                <w:rFonts w:ascii="Times New Roman" w:cs="Times New Roman" w:eastAsia="Times New Roman" w:hAnsi="Times New Roman"/>
                <w:sz w:val="11"/>
                <w:szCs w:val="11"/>
                <w:color w:val="auto"/>
              </w:rPr>
              <w:t>365,10</w:t>
            </w: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6,245</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1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(164,693 )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200,425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220" w:type="dxa"/>
            <w:vAlign w:val="bottom"/>
            <w:tcBorders>
              <w:right w:val="single" w:sz="8" w:color="CFF0FC"/>
            </w:tcBorders>
            <w:shd w:val="clear" w:color="auto" w:fill="CFF0FC"/>
          </w:tcPr>
          <w:p>
            <w:pPr>
              <w:ind w:left="100"/>
              <w:spacing w:after="0" w:line="120" w:lineRule="exact"/>
              <w:rPr>
                <w:sz w:val="20"/>
                <w:szCs w:val="20"/>
                <w:color w:val="auto"/>
              </w:rPr>
            </w:pPr>
            <w:r>
              <w:rPr>
                <w:rFonts w:ascii="Times New Roman" w:cs="Times New Roman" w:eastAsia="Times New Roman" w:hAnsi="Times New Roman"/>
                <w:sz w:val="11"/>
                <w:szCs w:val="11"/>
                <w:color w:val="auto"/>
              </w:rPr>
              <w:t>Stock-based compensation</w:t>
            </w:r>
          </w:p>
        </w:tc>
        <w:tc>
          <w:tcPr>
            <w:tcW w:w="420" w:type="dxa"/>
            <w:vAlign w:val="bottom"/>
            <w:tcBorders>
              <w:right w:val="single" w:sz="8" w:color="CFF0FC"/>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jc w:val="center"/>
              <w:ind w:left="26"/>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right w:val="single" w:sz="8" w:color="CFF0FC"/>
            </w:tcBorders>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ind w:left="300"/>
              <w:spacing w:after="0" w:line="120" w:lineRule="exact"/>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jc w:val="center"/>
              <w:ind w:left="26"/>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Borders>
              <w:right w:val="single" w:sz="8" w:color="CFF0FC"/>
            </w:tcBorders>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jc w:val="center"/>
              <w:ind w:left="26"/>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right w:val="single" w:sz="8" w:color="CFF0FC"/>
            </w:tcBorders>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jc w:val="right"/>
              <w:ind w:right="6"/>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jc w:val="right"/>
              <w:ind w:right="6"/>
              <w:spacing w:after="0" w:line="120" w:lineRule="exact"/>
              <w:rPr>
                <w:sz w:val="20"/>
                <w:szCs w:val="20"/>
                <w:color w:val="auto"/>
              </w:rPr>
            </w:pPr>
            <w:r>
              <w:rPr>
                <w:rFonts w:ascii="Times New Roman" w:cs="Times New Roman" w:eastAsia="Times New Roman" w:hAnsi="Times New Roman"/>
                <w:sz w:val="11"/>
                <w:szCs w:val="11"/>
                <w:color w:val="auto"/>
              </w:rPr>
              <w:t>10,270</w:t>
            </w:r>
          </w:p>
        </w:tc>
        <w:tc>
          <w:tcPr>
            <w:tcW w:w="180" w:type="dxa"/>
            <w:vAlign w:val="bottom"/>
            <w:tcBorders>
              <w:left w:val="single" w:sz="8" w:color="CFF0FC"/>
            </w:tcBorders>
            <w:shd w:val="clear" w:color="auto" w:fill="CFF0FC"/>
          </w:tcPr>
          <w:p>
            <w:pPr>
              <w:spacing w:after="0"/>
              <w:rPr>
                <w:sz w:val="10"/>
                <w:szCs w:val="10"/>
                <w:color w:val="auto"/>
              </w:rPr>
            </w:pPr>
          </w:p>
        </w:tc>
        <w:tc>
          <w:tcPr>
            <w:tcW w:w="54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10,270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w w:val="98"/>
              </w:rPr>
              <w:t>Common stock issued upon vesting of restricted</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ind w:right="7"/>
              <w:spacing w:after="0" w:line="108" w:lineRule="exact"/>
              <w:rPr>
                <w:sz w:val="20"/>
                <w:szCs w:val="20"/>
                <w:color w:val="auto"/>
              </w:rPr>
            </w:pPr>
            <w:r>
              <w:rPr>
                <w:rFonts w:ascii="Times New Roman" w:cs="Times New Roman" w:eastAsia="Times New Roman" w:hAnsi="Times New Roman"/>
                <w:sz w:val="11"/>
                <w:szCs w:val="11"/>
                <w:color w:val="auto"/>
              </w:rPr>
              <w:t>1,402,8</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 awards and restricted stock units</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63</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2"/>
        </w:trPr>
        <w:tc>
          <w:tcPr>
            <w:tcW w:w="2220" w:type="dxa"/>
            <w:vAlign w:val="bottom"/>
            <w:tcBorders>
              <w:right w:val="single" w:sz="8" w:color="CFF0FC"/>
            </w:tcBorders>
            <w:shd w:val="clear" w:color="auto" w:fill="CFF0FC"/>
          </w:tcPr>
          <w:p>
            <w:pPr>
              <w:ind w:left="100"/>
              <w:spacing w:after="0" w:line="112" w:lineRule="exact"/>
              <w:rPr>
                <w:sz w:val="20"/>
                <w:szCs w:val="20"/>
                <w:color w:val="auto"/>
              </w:rPr>
            </w:pPr>
            <w:r>
              <w:rPr>
                <w:rFonts w:ascii="Times New Roman" w:cs="Times New Roman" w:eastAsia="Times New Roman" w:hAnsi="Times New Roman"/>
                <w:sz w:val="11"/>
                <w:szCs w:val="11"/>
                <w:color w:val="auto"/>
              </w:rPr>
              <w:t>Shares repurchased for payment of tax</w:t>
            </w:r>
          </w:p>
        </w:tc>
        <w:tc>
          <w:tcPr>
            <w:tcW w:w="4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540" w:type="dxa"/>
            <w:vAlign w:val="bottom"/>
            <w:tcBorders>
              <w:right w:val="single" w:sz="8" w:color="CFF0FC"/>
            </w:tcBorders>
            <w:shd w:val="clear" w:color="auto" w:fill="CFF0FC"/>
          </w:tcPr>
          <w:p>
            <w:pPr>
              <w:jc w:val="right"/>
              <w:ind w:right="7"/>
              <w:spacing w:after="0" w:line="112" w:lineRule="exact"/>
              <w:rPr>
                <w:sz w:val="20"/>
                <w:szCs w:val="20"/>
                <w:color w:val="auto"/>
              </w:rPr>
            </w:pPr>
            <w:r>
              <w:rPr>
                <w:rFonts w:ascii="Times New Roman" w:cs="Times New Roman" w:eastAsia="Times New Roman" w:hAnsi="Times New Roman"/>
                <w:sz w:val="11"/>
                <w:szCs w:val="11"/>
                <w:color w:val="auto"/>
              </w:rPr>
              <w:t>(464,38</w:t>
            </w:r>
          </w:p>
        </w:tc>
        <w:tc>
          <w:tcPr>
            <w:tcW w:w="14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80" w:type="dxa"/>
            <w:vAlign w:val="bottom"/>
            <w:tcBorders>
              <w:right w:val="single" w:sz="8" w:color="CFF0FC"/>
            </w:tcBorders>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180" w:type="dxa"/>
            <w:vAlign w:val="bottom"/>
            <w:tcBorders>
              <w:left w:val="single" w:sz="8" w:color="CFF0FC"/>
            </w:tcBorders>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withholdings and other</w:t>
            </w:r>
          </w:p>
        </w:tc>
        <w:tc>
          <w:tcPr>
            <w:tcW w:w="5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Borders>
              <w:right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60" w:type="dxa"/>
            <w:vAlign w:val="bottom"/>
            <w:tcBorders>
              <w:right w:val="single" w:sz="8" w:color="CFF0FC"/>
            </w:tcBorders>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40" w:type="dxa"/>
            <w:vAlign w:val="bottom"/>
            <w:tcBorders>
              <w:left w:val="single" w:sz="8" w:color="CFF0FC"/>
            </w:tcBorders>
            <w:shd w:val="clear" w:color="auto" w:fill="CFF0FC"/>
          </w:tcPr>
          <w:p>
            <w:pPr>
              <w:spacing w:after="0"/>
              <w:rPr>
                <w:sz w:val="12"/>
                <w:szCs w:val="12"/>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(1,342 )</w:t>
            </w:r>
          </w:p>
        </w:tc>
        <w:tc>
          <w:tcPr>
            <w:tcW w:w="180" w:type="dxa"/>
            <w:vAlign w:val="bottom"/>
            <w:tcBorders>
              <w:left w:val="single" w:sz="8" w:color="CFF0FC"/>
            </w:tcBorders>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(1,342 )</w:t>
            </w:r>
          </w:p>
        </w:tc>
        <w:tc>
          <w:tcPr>
            <w:tcW w:w="0" w:type="dxa"/>
            <w:vAlign w:val="bottom"/>
          </w:tcPr>
          <w:p>
            <w:pPr>
              <w:spacing w:after="0"/>
              <w:rPr>
                <w:sz w:val="1"/>
                <w:szCs w:val="1"/>
                <w:color w:val="auto"/>
              </w:rPr>
            </w:pPr>
          </w:p>
        </w:tc>
      </w:tr>
      <w:tr>
        <w:trPr>
          <w:trHeight w:val="108"/>
        </w:trPr>
        <w:tc>
          <w:tcPr>
            <w:tcW w:w="222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rPr>
              <w:t>Exercise of stock options</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ind w:right="7"/>
              <w:spacing w:after="0" w:line="108" w:lineRule="exact"/>
              <w:rPr>
                <w:sz w:val="20"/>
                <w:szCs w:val="20"/>
                <w:color w:val="auto"/>
              </w:rPr>
            </w:pPr>
            <w:r>
              <w:rPr>
                <w:rFonts w:ascii="Times New Roman" w:cs="Times New Roman" w:eastAsia="Times New Roman" w:hAnsi="Times New Roman"/>
                <w:sz w:val="11"/>
                <w:szCs w:val="11"/>
                <w:color w:val="auto"/>
              </w:rPr>
              <w:t>1,492,4</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2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02</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486</w:t>
            </w:r>
          </w:p>
        </w:tc>
        <w:tc>
          <w:tcPr>
            <w:tcW w:w="1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20" w:type="dxa"/>
            <w:vAlign w:val="bottom"/>
            <w:tcBorders>
              <w:right w:val="single" w:sz="8" w:color="CFF0FC"/>
            </w:tcBorders>
            <w:shd w:val="clear" w:color="auto" w:fill="CFF0FC"/>
          </w:tcPr>
          <w:p>
            <w:pPr>
              <w:ind w:left="100"/>
              <w:spacing w:after="0" w:line="112" w:lineRule="exact"/>
              <w:rPr>
                <w:sz w:val="20"/>
                <w:szCs w:val="20"/>
                <w:color w:val="auto"/>
              </w:rPr>
            </w:pPr>
            <w:r>
              <w:rPr>
                <w:rFonts w:ascii="Times New Roman" w:cs="Times New Roman" w:eastAsia="Times New Roman" w:hAnsi="Times New Roman"/>
                <w:sz w:val="11"/>
                <w:szCs w:val="11"/>
                <w:color w:val="auto"/>
              </w:rPr>
              <w:t>Common stock and assumed equity awards in</w:t>
            </w:r>
          </w:p>
        </w:tc>
        <w:tc>
          <w:tcPr>
            <w:tcW w:w="4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540" w:type="dxa"/>
            <w:vAlign w:val="bottom"/>
            <w:tcBorders>
              <w:right w:val="single" w:sz="8" w:color="CFF0FC"/>
            </w:tcBorders>
            <w:shd w:val="clear" w:color="auto" w:fill="CFF0FC"/>
          </w:tcPr>
          <w:p>
            <w:pPr>
              <w:jc w:val="right"/>
              <w:ind w:right="7"/>
              <w:spacing w:after="0" w:line="112" w:lineRule="exact"/>
              <w:rPr>
                <w:sz w:val="20"/>
                <w:szCs w:val="20"/>
                <w:color w:val="auto"/>
              </w:rPr>
            </w:pPr>
            <w:r>
              <w:rPr>
                <w:rFonts w:ascii="Times New Roman" w:cs="Times New Roman" w:eastAsia="Times New Roman" w:hAnsi="Times New Roman"/>
                <w:sz w:val="11"/>
                <w:szCs w:val="11"/>
                <w:color w:val="auto"/>
              </w:rPr>
              <w:t>10,772,</w:t>
            </w:r>
          </w:p>
        </w:tc>
        <w:tc>
          <w:tcPr>
            <w:tcW w:w="14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80" w:type="dxa"/>
            <w:vAlign w:val="bottom"/>
            <w:tcBorders>
              <w:right w:val="single" w:sz="8" w:color="CFF0FC"/>
            </w:tcBorders>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180" w:type="dxa"/>
            <w:vAlign w:val="bottom"/>
            <w:tcBorders>
              <w:left w:val="single" w:sz="8" w:color="CFF0FC"/>
            </w:tcBorders>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connection with a business acquisition</w:t>
            </w:r>
          </w:p>
        </w:tc>
        <w:tc>
          <w:tcPr>
            <w:tcW w:w="5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Borders>
              <w:right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60" w:type="dxa"/>
            <w:vAlign w:val="bottom"/>
            <w:tcBorders>
              <w:right w:val="single" w:sz="8" w:color="CFF0FC"/>
            </w:tcBorders>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Borders>
              <w:right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674</w:t>
            </w:r>
          </w:p>
        </w:tc>
        <w:tc>
          <w:tcPr>
            <w:tcW w:w="140" w:type="dxa"/>
            <w:vAlign w:val="bottom"/>
            <w:tcBorders>
              <w:left w:val="single" w:sz="8" w:color="CFF0FC"/>
            </w:tcBorders>
            <w:shd w:val="clear" w:color="auto" w:fill="CFF0FC"/>
          </w:tcPr>
          <w:p>
            <w:pPr>
              <w:spacing w:after="0"/>
              <w:rPr>
                <w:sz w:val="12"/>
                <w:szCs w:val="12"/>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FF0FC"/>
          </w:tcPr>
          <w:p>
            <w:pPr>
              <w:spacing w:after="0"/>
              <w:rPr>
                <w:sz w:val="12"/>
                <w:szCs w:val="12"/>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59,555</w:t>
            </w:r>
          </w:p>
        </w:tc>
        <w:tc>
          <w:tcPr>
            <w:tcW w:w="180" w:type="dxa"/>
            <w:vAlign w:val="bottom"/>
            <w:tcBorders>
              <w:left w:val="single" w:sz="8" w:color="CFF0FC"/>
            </w:tcBorders>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59,556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(23,118 )</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(23,118 )</w:t>
            </w:r>
          </w:p>
        </w:tc>
        <w:tc>
          <w:tcPr>
            <w:tcW w:w="0" w:type="dxa"/>
            <w:vAlign w:val="bottom"/>
          </w:tcPr>
          <w:p>
            <w:pPr>
              <w:spacing w:after="0"/>
              <w:rPr>
                <w:sz w:val="1"/>
                <w:szCs w:val="1"/>
                <w:color w:val="auto"/>
              </w:rPr>
            </w:pPr>
          </w:p>
        </w:tc>
      </w:tr>
      <w:tr>
        <w:trPr>
          <w:trHeight w:val="101"/>
        </w:trPr>
        <w:tc>
          <w:tcPr>
            <w:tcW w:w="2220" w:type="dxa"/>
            <w:vAlign w:val="bottom"/>
            <w:tcBorders>
              <w:right w:val="single" w:sz="8" w:color="CFF0FC"/>
            </w:tcBorders>
            <w:shd w:val="clear" w:color="auto" w:fill="CFF0FC"/>
          </w:tcPr>
          <w:p>
            <w:pPr>
              <w:ind w:left="20"/>
              <w:spacing w:after="0" w:line="102" w:lineRule="exact"/>
              <w:rPr>
                <w:sz w:val="20"/>
                <w:szCs w:val="20"/>
                <w:color w:val="auto"/>
              </w:rPr>
            </w:pPr>
            <w:r>
              <w:rPr>
                <w:rFonts w:ascii="Times New Roman" w:cs="Times New Roman" w:eastAsia="Times New Roman" w:hAnsi="Times New Roman"/>
                <w:sz w:val="11"/>
                <w:szCs w:val="11"/>
                <w:color w:val="auto"/>
              </w:rPr>
              <w:t>Balance at June 30, 2022</w:t>
            </w:r>
          </w:p>
        </w:tc>
        <w:tc>
          <w:tcPr>
            <w:tcW w:w="42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42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right w:val="single" w:sz="8" w:color="CFF0FC"/>
            </w:tcBorders>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40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540" w:type="dxa"/>
            <w:vAlign w:val="bottom"/>
            <w:tcBorders>
              <w:top w:val="single" w:sz="8" w:color="auto"/>
              <w:right w:val="single" w:sz="8" w:color="CFF0FC"/>
            </w:tcBorders>
            <w:shd w:val="clear" w:color="auto" w:fill="CFF0FC"/>
          </w:tcPr>
          <w:p>
            <w:pPr>
              <w:jc w:val="right"/>
              <w:ind w:right="7"/>
              <w:spacing w:after="0" w:line="102" w:lineRule="exact"/>
              <w:rPr>
                <w:sz w:val="20"/>
                <w:szCs w:val="20"/>
                <w:color w:val="auto"/>
              </w:rPr>
            </w:pPr>
            <w:r>
              <w:rPr>
                <w:rFonts w:ascii="Times New Roman" w:cs="Times New Roman" w:eastAsia="Times New Roman" w:hAnsi="Times New Roman"/>
                <w:sz w:val="11"/>
                <w:szCs w:val="11"/>
                <w:color w:val="auto"/>
              </w:rPr>
              <w:t>152,22</w:t>
            </w:r>
          </w:p>
        </w:tc>
        <w:tc>
          <w:tcPr>
            <w:tcW w:w="140" w:type="dxa"/>
            <w:vAlign w:val="bottom"/>
            <w:tcBorders>
              <w:top w:val="single" w:sz="8" w:color="auto"/>
              <w:left w:val="single" w:sz="8" w:color="CFF0FC"/>
            </w:tcBorders>
            <w:shd w:val="clear" w:color="auto" w:fill="CFF0FC"/>
          </w:tcPr>
          <w:p>
            <w:pPr>
              <w:spacing w:after="0"/>
              <w:rPr>
                <w:sz w:val="8"/>
                <w:szCs w:val="8"/>
                <w:color w:val="auto"/>
              </w:rPr>
            </w:pPr>
          </w:p>
        </w:tc>
        <w:tc>
          <w:tcPr>
            <w:tcW w:w="340" w:type="dxa"/>
            <w:vAlign w:val="bottom"/>
            <w:tcBorders>
              <w:top w:val="single" w:sz="8" w:color="auto"/>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tcBorders>
              <w:top w:val="single" w:sz="8" w:color="auto"/>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auto"/>
              <w:right w:val="single" w:sz="8" w:color="CFF0FC"/>
            </w:tcBorders>
            <w:shd w:val="clear" w:color="auto" w:fill="CFF0FC"/>
          </w:tcPr>
          <w:p>
            <w:pPr>
              <w:spacing w:after="0"/>
              <w:rPr>
                <w:sz w:val="8"/>
                <w:szCs w:val="8"/>
                <w:color w:val="auto"/>
              </w:rPr>
            </w:pPr>
          </w:p>
        </w:tc>
        <w:tc>
          <w:tcPr>
            <w:tcW w:w="140" w:type="dxa"/>
            <w:vAlign w:val="bottom"/>
            <w:tcBorders>
              <w:top w:val="single" w:sz="8" w:color="auto"/>
              <w:left w:val="single" w:sz="8" w:color="CFF0FC"/>
            </w:tcBorders>
            <w:shd w:val="clear" w:color="auto" w:fill="CFF0FC"/>
          </w:tcPr>
          <w:p>
            <w:pPr>
              <w:spacing w:after="0"/>
              <w:rPr>
                <w:sz w:val="8"/>
                <w:szCs w:val="8"/>
                <w:color w:val="auto"/>
              </w:rPr>
            </w:pPr>
          </w:p>
        </w:tc>
        <w:tc>
          <w:tcPr>
            <w:tcW w:w="440" w:type="dxa"/>
            <w:vAlign w:val="bottom"/>
            <w:tcBorders>
              <w:top w:val="single" w:sz="8" w:color="auto"/>
              <w:right w:val="single" w:sz="8" w:color="CFF0FC"/>
            </w:tcBorders>
            <w:shd w:val="clear" w:color="auto" w:fill="CFF0FC"/>
          </w:tcPr>
          <w:p>
            <w:pPr>
              <w:jc w:val="right"/>
              <w:ind w:right="6"/>
              <w:spacing w:after="0" w:line="102" w:lineRule="exact"/>
              <w:rPr>
                <w:sz w:val="20"/>
                <w:szCs w:val="20"/>
                <w:color w:val="auto"/>
              </w:rPr>
            </w:pPr>
            <w:r>
              <w:rPr>
                <w:rFonts w:ascii="Times New Roman" w:cs="Times New Roman" w:eastAsia="Times New Roman" w:hAnsi="Times New Roman"/>
                <w:sz w:val="11"/>
                <w:szCs w:val="11"/>
                <w:color w:val="auto"/>
              </w:rPr>
              <w:t>434,07</w:t>
            </w:r>
          </w:p>
        </w:tc>
        <w:tc>
          <w:tcPr>
            <w:tcW w:w="180" w:type="dxa"/>
            <w:vAlign w:val="bottom"/>
            <w:tcBorders>
              <w:top w:val="single" w:sz="8" w:color="auto"/>
              <w:left w:val="single" w:sz="8" w:color="CFF0FC"/>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220" w:type="dxa"/>
            <w:vAlign w:val="bottom"/>
            <w:tcBorders>
              <w:right w:val="single" w:sz="8" w:color="CFF0FC"/>
            </w:tcBorders>
            <w:shd w:val="clear" w:color="auto" w:fill="CFF0FC"/>
          </w:tcPr>
          <w:p>
            <w:pPr>
              <w:spacing w:after="0"/>
              <w:rPr>
                <w:sz w:val="16"/>
                <w:szCs w:val="16"/>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right w:val="single" w:sz="8" w:color="CFF0FC"/>
            </w:tcBorders>
            <w:shd w:val="clear" w:color="auto" w:fill="CFF0FC"/>
          </w:tcPr>
          <w:p>
            <w:pPr>
              <w:spacing w:after="0"/>
              <w:rPr>
                <w:sz w:val="16"/>
                <w:szCs w:val="16"/>
                <w:color w:val="auto"/>
              </w:rPr>
            </w:pPr>
          </w:p>
        </w:tc>
        <w:tc>
          <w:tcPr>
            <w:tcW w:w="420" w:type="dxa"/>
            <w:vAlign w:val="bottom"/>
            <w:tcBorders>
              <w:right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Borders>
              <w:right w:val="single" w:sz="8" w:color="CFF0FC"/>
            </w:tcBorders>
            <w:shd w:val="clear" w:color="auto" w:fill="CFF0FC"/>
          </w:tcPr>
          <w:p>
            <w:pPr>
              <w:spacing w:after="0"/>
              <w:rPr>
                <w:sz w:val="16"/>
                <w:szCs w:val="16"/>
                <w:color w:val="auto"/>
              </w:rPr>
            </w:pPr>
          </w:p>
        </w:tc>
        <w:tc>
          <w:tcPr>
            <w:tcW w:w="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right w:val="single" w:sz="8" w:color="CFF0FC"/>
            </w:tcBorders>
            <w:shd w:val="clear" w:color="auto" w:fill="CFF0FC"/>
          </w:tcPr>
          <w:p>
            <w:pPr>
              <w:spacing w:after="0"/>
              <w:rPr>
                <w:sz w:val="16"/>
                <w:szCs w:val="16"/>
                <w:color w:val="auto"/>
              </w:rPr>
            </w:pPr>
          </w:p>
        </w:tc>
        <w:tc>
          <w:tcPr>
            <w:tcW w:w="540" w:type="dxa"/>
            <w:vAlign w:val="bottom"/>
            <w:tcBorders>
              <w:right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9,803</w:t>
            </w:r>
          </w:p>
        </w:tc>
        <w:tc>
          <w:tcPr>
            <w:tcW w:w="14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FF0FC"/>
          </w:tcPr>
          <w:p>
            <w:pPr>
              <w:spacing w:after="0"/>
              <w:rPr>
                <w:sz w:val="16"/>
                <w:szCs w:val="16"/>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8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(187,811 )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246,277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220" w:type="dxa"/>
            <w:vAlign w:val="bottom"/>
            <w:tcBorders>
              <w:top w:val="single" w:sz="8" w:color="CFF0FC"/>
            </w:tcBorders>
          </w:tcPr>
          <w:p>
            <w:pPr>
              <w:ind w:left="100"/>
              <w:spacing w:after="0" w:line="120" w:lineRule="exact"/>
              <w:rPr>
                <w:sz w:val="20"/>
                <w:szCs w:val="20"/>
                <w:color w:val="auto"/>
              </w:rPr>
            </w:pPr>
            <w:r>
              <w:rPr>
                <w:rFonts w:ascii="Times New Roman" w:cs="Times New Roman" w:eastAsia="Times New Roman" w:hAnsi="Times New Roman"/>
                <w:sz w:val="11"/>
                <w:szCs w:val="11"/>
                <w:color w:val="auto"/>
              </w:rPr>
              <w:t>Stock-based compensation</w:t>
            </w:r>
          </w:p>
        </w:tc>
        <w:tc>
          <w:tcPr>
            <w:tcW w:w="42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center"/>
              <w:ind w:left="26"/>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top w:val="single" w:sz="8" w:color="CFF0FC"/>
            </w:tcBorders>
          </w:tcPr>
          <w:p>
            <w:pPr>
              <w:spacing w:after="0"/>
              <w:rPr>
                <w:sz w:val="10"/>
                <w:szCs w:val="10"/>
                <w:color w:val="auto"/>
              </w:rPr>
            </w:pPr>
          </w:p>
        </w:tc>
        <w:tc>
          <w:tcPr>
            <w:tcW w:w="420" w:type="dxa"/>
            <w:vAlign w:val="bottom"/>
            <w:tcBorders>
              <w:top w:val="single" w:sz="8" w:color="auto"/>
            </w:tcBorders>
          </w:tcPr>
          <w:p>
            <w:pPr>
              <w:ind w:left="300"/>
              <w:spacing w:after="0" w:line="120" w:lineRule="exact"/>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center"/>
              <w:ind w:left="26"/>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Borders>
              <w:top w:val="single" w:sz="8" w:color="CFF0FC"/>
            </w:tcBorders>
          </w:tcPr>
          <w:p>
            <w:pPr>
              <w:spacing w:after="0"/>
              <w:rPr>
                <w:sz w:val="10"/>
                <w:szCs w:val="10"/>
                <w:color w:val="auto"/>
              </w:rPr>
            </w:pPr>
          </w:p>
        </w:tc>
        <w:tc>
          <w:tcPr>
            <w:tcW w:w="4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center"/>
              <w:ind w:left="26"/>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FF0FC"/>
            </w:tcBorders>
          </w:tcPr>
          <w:p>
            <w:pPr>
              <w:spacing w:after="0"/>
              <w:rPr>
                <w:sz w:val="10"/>
                <w:szCs w:val="10"/>
                <w:color w:val="auto"/>
              </w:rPr>
            </w:pPr>
          </w:p>
        </w:tc>
        <w:tc>
          <w:tcPr>
            <w:tcW w:w="42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jc w:val="right"/>
              <w:ind w:right="6"/>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6"/>
              <w:spacing w:after="0" w:line="120" w:lineRule="exact"/>
              <w:rPr>
                <w:sz w:val="20"/>
                <w:szCs w:val="20"/>
                <w:color w:val="auto"/>
              </w:rPr>
            </w:pPr>
            <w:r>
              <w:rPr>
                <w:rFonts w:ascii="Times New Roman" w:cs="Times New Roman" w:eastAsia="Times New Roman" w:hAnsi="Times New Roman"/>
                <w:sz w:val="11"/>
                <w:szCs w:val="11"/>
                <w:color w:val="auto"/>
              </w:rPr>
              <w:t>8,466</w:t>
            </w: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8,466</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right w:val="single" w:sz="8" w:color="CFF0FC"/>
            </w:tcBorders>
            <w:shd w:val="clear" w:color="auto" w:fill="CFF0FC"/>
          </w:tcPr>
          <w:p>
            <w:pPr>
              <w:ind w:left="100"/>
              <w:spacing w:after="0" w:line="108" w:lineRule="exact"/>
              <w:rPr>
                <w:sz w:val="20"/>
                <w:szCs w:val="20"/>
                <w:color w:val="auto"/>
              </w:rPr>
            </w:pPr>
            <w:r>
              <w:rPr>
                <w:rFonts w:ascii="Times New Roman" w:cs="Times New Roman" w:eastAsia="Times New Roman" w:hAnsi="Times New Roman"/>
                <w:sz w:val="11"/>
                <w:szCs w:val="11"/>
                <w:color w:val="auto"/>
                <w:w w:val="98"/>
              </w:rPr>
              <w:t>Common stock issued upon vesting of restricted</w:t>
            </w:r>
          </w:p>
        </w:tc>
        <w:tc>
          <w:tcPr>
            <w:tcW w:w="4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540" w:type="dxa"/>
            <w:vAlign w:val="bottom"/>
            <w:tcBorders>
              <w:right w:val="single" w:sz="8" w:color="CFF0FC"/>
            </w:tcBorders>
            <w:shd w:val="clear" w:color="auto" w:fill="CFF0FC"/>
          </w:tcPr>
          <w:p>
            <w:pPr>
              <w:jc w:val="right"/>
              <w:ind w:right="7"/>
              <w:spacing w:after="0" w:line="108" w:lineRule="exact"/>
              <w:rPr>
                <w:sz w:val="20"/>
                <w:szCs w:val="20"/>
                <w:color w:val="auto"/>
              </w:rPr>
            </w:pPr>
            <w:r>
              <w:rPr>
                <w:rFonts w:ascii="Times New Roman" w:cs="Times New Roman" w:eastAsia="Times New Roman" w:hAnsi="Times New Roman"/>
                <w:sz w:val="11"/>
                <w:szCs w:val="11"/>
                <w:color w:val="auto"/>
              </w:rPr>
              <w:t>2,572,0</w:t>
            </w:r>
          </w:p>
        </w:tc>
        <w:tc>
          <w:tcPr>
            <w:tcW w:w="14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80" w:type="dxa"/>
            <w:vAlign w:val="bottom"/>
            <w:tcBorders>
              <w:right w:val="single" w:sz="8" w:color="CFF0FC"/>
            </w:tcBorders>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180" w:type="dxa"/>
            <w:vAlign w:val="bottom"/>
            <w:tcBorders>
              <w:left w:val="single" w:sz="8" w:color="CFF0FC"/>
            </w:tcBorders>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stock awards and restricted stock units</w:t>
            </w:r>
          </w:p>
        </w:tc>
        <w:tc>
          <w:tcPr>
            <w:tcW w:w="5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Borders>
              <w:right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60" w:type="dxa"/>
            <w:vAlign w:val="bottom"/>
            <w:tcBorders>
              <w:right w:val="single" w:sz="8" w:color="CFF0FC"/>
            </w:tcBorders>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Borders>
              <w:right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92</w:t>
            </w:r>
          </w:p>
        </w:tc>
        <w:tc>
          <w:tcPr>
            <w:tcW w:w="140" w:type="dxa"/>
            <w:vAlign w:val="bottom"/>
            <w:tcBorders>
              <w:left w:val="single" w:sz="8" w:color="CFF0FC"/>
            </w:tcBorders>
            <w:shd w:val="clear" w:color="auto" w:fill="CFF0FC"/>
          </w:tcPr>
          <w:p>
            <w:pPr>
              <w:spacing w:after="0"/>
              <w:rPr>
                <w:sz w:val="12"/>
                <w:szCs w:val="12"/>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left w:val="single" w:sz="8" w:color="CFF0FC"/>
            </w:tcBorders>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22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rPr>
              <w:t>Shares repurchased for payment of tax</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ind w:right="7"/>
              <w:spacing w:after="0" w:line="108" w:lineRule="exact"/>
              <w:rPr>
                <w:sz w:val="20"/>
                <w:szCs w:val="20"/>
                <w:color w:val="auto"/>
              </w:rPr>
            </w:pPr>
            <w:r>
              <w:rPr>
                <w:rFonts w:ascii="Times New Roman" w:cs="Times New Roman" w:eastAsia="Times New Roman" w:hAnsi="Times New Roman"/>
                <w:sz w:val="11"/>
                <w:szCs w:val="11"/>
                <w:color w:val="auto"/>
              </w:rPr>
              <w:t>(444,65</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withholdings and other</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9 )</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(1,082 )</w:t>
            </w:r>
          </w:p>
        </w:tc>
        <w:tc>
          <w:tcPr>
            <w:tcW w:w="1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(1,082 )</w:t>
            </w:r>
          </w:p>
        </w:tc>
        <w:tc>
          <w:tcPr>
            <w:tcW w:w="0" w:type="dxa"/>
            <w:vAlign w:val="bottom"/>
          </w:tcPr>
          <w:p>
            <w:pPr>
              <w:spacing w:after="0"/>
              <w:rPr>
                <w:sz w:val="1"/>
                <w:szCs w:val="1"/>
                <w:color w:val="auto"/>
              </w:rPr>
            </w:pPr>
          </w:p>
        </w:tc>
      </w:tr>
      <w:tr>
        <w:trPr>
          <w:trHeight w:val="112"/>
        </w:trPr>
        <w:tc>
          <w:tcPr>
            <w:tcW w:w="2220" w:type="dxa"/>
            <w:vAlign w:val="bottom"/>
            <w:tcBorders>
              <w:right w:val="single" w:sz="8" w:color="CFF0FC"/>
            </w:tcBorders>
            <w:shd w:val="clear" w:color="auto" w:fill="CFF0FC"/>
          </w:tcPr>
          <w:p>
            <w:pPr>
              <w:ind w:left="100"/>
              <w:spacing w:after="0" w:line="112" w:lineRule="exact"/>
              <w:rPr>
                <w:sz w:val="20"/>
                <w:szCs w:val="20"/>
                <w:color w:val="auto"/>
              </w:rPr>
            </w:pPr>
            <w:r>
              <w:rPr>
                <w:rFonts w:ascii="Times New Roman" w:cs="Times New Roman" w:eastAsia="Times New Roman" w:hAnsi="Times New Roman"/>
                <w:sz w:val="11"/>
                <w:szCs w:val="11"/>
                <w:color w:val="auto"/>
              </w:rPr>
              <w:t>Exercise of stock options</w:t>
            </w:r>
          </w:p>
        </w:tc>
        <w:tc>
          <w:tcPr>
            <w:tcW w:w="4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540" w:type="dxa"/>
            <w:vAlign w:val="bottom"/>
            <w:tcBorders>
              <w:right w:val="single" w:sz="8" w:color="CFF0FC"/>
            </w:tcBorders>
            <w:shd w:val="clear" w:color="auto" w:fill="CFF0FC"/>
          </w:tcPr>
          <w:p>
            <w:pPr>
              <w:jc w:val="right"/>
              <w:ind w:right="7"/>
              <w:spacing w:after="0" w:line="112" w:lineRule="exact"/>
              <w:rPr>
                <w:sz w:val="20"/>
                <w:szCs w:val="20"/>
                <w:color w:val="auto"/>
              </w:rPr>
            </w:pPr>
            <w:r>
              <w:rPr>
                <w:rFonts w:ascii="Times New Roman" w:cs="Times New Roman" w:eastAsia="Times New Roman" w:hAnsi="Times New Roman"/>
                <w:sz w:val="11"/>
                <w:szCs w:val="11"/>
                <w:color w:val="auto"/>
              </w:rPr>
              <w:t>282,18</w:t>
            </w:r>
          </w:p>
        </w:tc>
        <w:tc>
          <w:tcPr>
            <w:tcW w:w="14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80" w:type="dxa"/>
            <w:vAlign w:val="bottom"/>
            <w:tcBorders>
              <w:right w:val="single" w:sz="8" w:color="CFF0FC"/>
            </w:tcBorders>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180" w:type="dxa"/>
            <w:vAlign w:val="bottom"/>
            <w:tcBorders>
              <w:left w:val="single" w:sz="8" w:color="CFF0FC"/>
            </w:tcBorders>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20" w:type="dxa"/>
            <w:vAlign w:val="bottom"/>
            <w:tcBorders>
              <w:right w:val="single" w:sz="8" w:color="CFF0FC"/>
            </w:tcBorders>
            <w:shd w:val="clear" w:color="auto" w:fill="CFF0FC"/>
          </w:tcPr>
          <w:p>
            <w:pPr>
              <w:spacing w:after="0"/>
              <w:rPr>
                <w:sz w:val="12"/>
                <w:szCs w:val="12"/>
                <w:color w:val="auto"/>
              </w:rPr>
            </w:pPr>
          </w:p>
        </w:tc>
        <w:tc>
          <w:tcPr>
            <w:tcW w:w="5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Borders>
              <w:right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60" w:type="dxa"/>
            <w:vAlign w:val="bottom"/>
            <w:tcBorders>
              <w:right w:val="single" w:sz="8" w:color="CFF0FC"/>
            </w:tcBorders>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Borders>
              <w:right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0</w:t>
            </w:r>
          </w:p>
        </w:tc>
        <w:tc>
          <w:tcPr>
            <w:tcW w:w="140" w:type="dxa"/>
            <w:vAlign w:val="bottom"/>
            <w:tcBorders>
              <w:left w:val="single" w:sz="8" w:color="CFF0FC"/>
            </w:tcBorders>
            <w:shd w:val="clear" w:color="auto" w:fill="CFF0FC"/>
          </w:tcPr>
          <w:p>
            <w:pPr>
              <w:spacing w:after="0"/>
              <w:rPr>
                <w:sz w:val="12"/>
                <w:szCs w:val="12"/>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112</w:t>
            </w:r>
          </w:p>
        </w:tc>
        <w:tc>
          <w:tcPr>
            <w:tcW w:w="180" w:type="dxa"/>
            <w:vAlign w:val="bottom"/>
            <w:tcBorders>
              <w:left w:val="single" w:sz="8" w:color="CFF0FC"/>
            </w:tcBorders>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2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rPr>
              <w:t>Common stock and assumed equity awards in</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connection with a business acquisition</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(146 )</w:t>
            </w:r>
          </w:p>
        </w:tc>
        <w:tc>
          <w:tcPr>
            <w:tcW w:w="1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(146 )</w:t>
            </w:r>
          </w:p>
        </w:tc>
        <w:tc>
          <w:tcPr>
            <w:tcW w:w="0" w:type="dxa"/>
            <w:vAlign w:val="bottom"/>
          </w:tcPr>
          <w:p>
            <w:pPr>
              <w:spacing w:after="0"/>
              <w:rPr>
                <w:sz w:val="1"/>
                <w:szCs w:val="1"/>
                <w:color w:val="auto"/>
              </w:rPr>
            </w:pPr>
          </w:p>
        </w:tc>
      </w:tr>
      <w:tr>
        <w:trPr>
          <w:trHeight w:val="139"/>
        </w:trPr>
        <w:tc>
          <w:tcPr>
            <w:tcW w:w="22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Other comprehensive loss</w:t>
            </w:r>
          </w:p>
        </w:tc>
        <w:tc>
          <w:tcPr>
            <w:tcW w:w="5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Borders>
              <w:right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60" w:type="dxa"/>
            <w:vAlign w:val="bottom"/>
            <w:tcBorders>
              <w:right w:val="single" w:sz="8" w:color="CFF0FC"/>
            </w:tcBorders>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Borders>
              <w:right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left w:val="single" w:sz="8" w:color="CFF0FC"/>
            </w:tcBorders>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(134 )</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(134 )</w:t>
            </w:r>
          </w:p>
        </w:tc>
        <w:tc>
          <w:tcPr>
            <w:tcW w:w="0" w:type="dxa"/>
            <w:vAlign w:val="bottom"/>
          </w:tcPr>
          <w:p>
            <w:pPr>
              <w:spacing w:after="0"/>
              <w:rPr>
                <w:sz w:val="1"/>
                <w:szCs w:val="1"/>
                <w:color w:val="auto"/>
              </w:rPr>
            </w:pPr>
          </w:p>
        </w:tc>
      </w:tr>
      <w:tr>
        <w:trPr>
          <w:trHeight w:val="135"/>
        </w:trPr>
        <w:tc>
          <w:tcPr>
            <w:tcW w:w="2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(22,499 )</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(22,499 )</w:t>
            </w:r>
          </w:p>
        </w:tc>
        <w:tc>
          <w:tcPr>
            <w:tcW w:w="0" w:type="dxa"/>
            <w:vAlign w:val="bottom"/>
          </w:tcPr>
          <w:p>
            <w:pPr>
              <w:spacing w:after="0"/>
              <w:rPr>
                <w:sz w:val="1"/>
                <w:szCs w:val="1"/>
                <w:color w:val="auto"/>
              </w:rPr>
            </w:pPr>
          </w:p>
        </w:tc>
      </w:tr>
      <w:tr>
        <w:trPr>
          <w:trHeight w:val="101"/>
        </w:trPr>
        <w:tc>
          <w:tcPr>
            <w:tcW w:w="2220" w:type="dxa"/>
            <w:vAlign w:val="bottom"/>
            <w:tcBorders>
              <w:right w:val="single" w:sz="8" w:color="CFF0FC"/>
            </w:tcBorders>
            <w:shd w:val="clear" w:color="auto" w:fill="CFF0FC"/>
          </w:tcPr>
          <w:p>
            <w:pPr>
              <w:ind w:left="20"/>
              <w:spacing w:after="0" w:line="102" w:lineRule="exact"/>
              <w:rPr>
                <w:sz w:val="20"/>
                <w:szCs w:val="20"/>
                <w:color w:val="auto"/>
              </w:rPr>
            </w:pPr>
            <w:r>
              <w:rPr>
                <w:rFonts w:ascii="Times New Roman" w:cs="Times New Roman" w:eastAsia="Times New Roman" w:hAnsi="Times New Roman"/>
                <w:sz w:val="11"/>
                <w:szCs w:val="11"/>
                <w:color w:val="auto"/>
              </w:rPr>
              <w:t>Balance at September 30, 2022</w:t>
            </w:r>
          </w:p>
        </w:tc>
        <w:tc>
          <w:tcPr>
            <w:tcW w:w="42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42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right w:val="single" w:sz="8" w:color="CFF0FC"/>
            </w:tcBorders>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40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540" w:type="dxa"/>
            <w:vAlign w:val="bottom"/>
            <w:tcBorders>
              <w:top w:val="single" w:sz="8" w:color="auto"/>
              <w:right w:val="single" w:sz="8" w:color="CFF0FC"/>
            </w:tcBorders>
            <w:shd w:val="clear" w:color="auto" w:fill="CFF0FC"/>
          </w:tcPr>
          <w:p>
            <w:pPr>
              <w:jc w:val="right"/>
              <w:ind w:right="7"/>
              <w:spacing w:after="0" w:line="102" w:lineRule="exact"/>
              <w:rPr>
                <w:sz w:val="20"/>
                <w:szCs w:val="20"/>
                <w:color w:val="auto"/>
              </w:rPr>
            </w:pPr>
            <w:r>
              <w:rPr>
                <w:rFonts w:ascii="Times New Roman" w:cs="Times New Roman" w:eastAsia="Times New Roman" w:hAnsi="Times New Roman"/>
                <w:sz w:val="11"/>
                <w:szCs w:val="11"/>
                <w:color w:val="auto"/>
              </w:rPr>
              <w:t>154,63</w:t>
            </w:r>
          </w:p>
        </w:tc>
        <w:tc>
          <w:tcPr>
            <w:tcW w:w="140" w:type="dxa"/>
            <w:vAlign w:val="bottom"/>
            <w:tcBorders>
              <w:top w:val="single" w:sz="8" w:color="auto"/>
              <w:left w:val="single" w:sz="8" w:color="CFF0FC"/>
            </w:tcBorders>
            <w:shd w:val="clear" w:color="auto" w:fill="CFF0FC"/>
          </w:tcPr>
          <w:p>
            <w:pPr>
              <w:spacing w:after="0"/>
              <w:rPr>
                <w:sz w:val="8"/>
                <w:szCs w:val="8"/>
                <w:color w:val="auto"/>
              </w:rPr>
            </w:pPr>
          </w:p>
        </w:tc>
        <w:tc>
          <w:tcPr>
            <w:tcW w:w="340" w:type="dxa"/>
            <w:vAlign w:val="bottom"/>
            <w:tcBorders>
              <w:top w:val="single" w:sz="8" w:color="auto"/>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tcBorders>
              <w:top w:val="single" w:sz="8" w:color="auto"/>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auto"/>
              <w:right w:val="single" w:sz="8" w:color="CFF0FC"/>
            </w:tcBorders>
            <w:shd w:val="clear" w:color="auto" w:fill="CFF0FC"/>
          </w:tcPr>
          <w:p>
            <w:pPr>
              <w:spacing w:after="0"/>
              <w:rPr>
                <w:sz w:val="8"/>
                <w:szCs w:val="8"/>
                <w:color w:val="auto"/>
              </w:rPr>
            </w:pPr>
          </w:p>
        </w:tc>
        <w:tc>
          <w:tcPr>
            <w:tcW w:w="140" w:type="dxa"/>
            <w:vAlign w:val="bottom"/>
            <w:tcBorders>
              <w:top w:val="single" w:sz="8" w:color="auto"/>
              <w:left w:val="single" w:sz="8" w:color="CFF0FC"/>
            </w:tcBorders>
            <w:shd w:val="clear" w:color="auto" w:fill="CFF0FC"/>
          </w:tcPr>
          <w:p>
            <w:pPr>
              <w:spacing w:after="0"/>
              <w:rPr>
                <w:sz w:val="8"/>
                <w:szCs w:val="8"/>
                <w:color w:val="auto"/>
              </w:rPr>
            </w:pPr>
          </w:p>
        </w:tc>
        <w:tc>
          <w:tcPr>
            <w:tcW w:w="440" w:type="dxa"/>
            <w:vAlign w:val="bottom"/>
            <w:tcBorders>
              <w:top w:val="single" w:sz="8" w:color="auto"/>
              <w:right w:val="single" w:sz="8" w:color="CFF0FC"/>
            </w:tcBorders>
            <w:shd w:val="clear" w:color="auto" w:fill="CFF0FC"/>
          </w:tcPr>
          <w:p>
            <w:pPr>
              <w:jc w:val="right"/>
              <w:ind w:right="6"/>
              <w:spacing w:after="0" w:line="102" w:lineRule="exact"/>
              <w:rPr>
                <w:sz w:val="20"/>
                <w:szCs w:val="20"/>
                <w:color w:val="auto"/>
              </w:rPr>
            </w:pPr>
            <w:r>
              <w:rPr>
                <w:rFonts w:ascii="Times New Roman" w:cs="Times New Roman" w:eastAsia="Times New Roman" w:hAnsi="Times New Roman"/>
                <w:sz w:val="11"/>
                <w:szCs w:val="11"/>
                <w:color w:val="auto"/>
              </w:rPr>
              <w:t>441,42</w:t>
            </w:r>
          </w:p>
        </w:tc>
        <w:tc>
          <w:tcPr>
            <w:tcW w:w="180" w:type="dxa"/>
            <w:vAlign w:val="bottom"/>
            <w:tcBorders>
              <w:top w:val="single" w:sz="8" w:color="auto"/>
              <w:left w:val="single" w:sz="8" w:color="CFF0FC"/>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220" w:type="dxa"/>
            <w:vAlign w:val="bottom"/>
            <w:tcBorders>
              <w:right w:val="single" w:sz="8" w:color="CFF0FC"/>
            </w:tcBorders>
            <w:shd w:val="clear" w:color="auto" w:fill="CFF0FC"/>
          </w:tcPr>
          <w:p>
            <w:pPr>
              <w:spacing w:after="0"/>
              <w:rPr>
                <w:sz w:val="14"/>
                <w:szCs w:val="14"/>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right w:val="single" w:sz="8" w:color="CFF0FC"/>
            </w:tcBorders>
            <w:shd w:val="clear" w:color="auto" w:fill="CFF0FC"/>
          </w:tcPr>
          <w:p>
            <w:pPr>
              <w:spacing w:after="0"/>
              <w:rPr>
                <w:sz w:val="14"/>
                <w:szCs w:val="14"/>
                <w:color w:val="auto"/>
              </w:rPr>
            </w:pPr>
          </w:p>
        </w:tc>
        <w:tc>
          <w:tcPr>
            <w:tcW w:w="420" w:type="dxa"/>
            <w:vAlign w:val="bottom"/>
            <w:tcBorders>
              <w:right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Borders>
              <w:right w:val="single" w:sz="8" w:color="CFF0FC"/>
            </w:tcBorders>
            <w:shd w:val="clear" w:color="auto" w:fill="CFF0FC"/>
          </w:tcPr>
          <w:p>
            <w:pPr>
              <w:spacing w:after="0"/>
              <w:rPr>
                <w:sz w:val="14"/>
                <w:szCs w:val="14"/>
                <w:color w:val="auto"/>
              </w:rPr>
            </w:pPr>
          </w:p>
        </w:tc>
        <w:tc>
          <w:tcPr>
            <w:tcW w:w="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right w:val="single" w:sz="8" w:color="CFF0FC"/>
            </w:tcBorders>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9,416</w:t>
            </w:r>
          </w:p>
        </w:tc>
        <w:tc>
          <w:tcPr>
            <w:tcW w:w="14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FF0FC"/>
          </w:tcPr>
          <w:p>
            <w:pPr>
              <w:spacing w:after="0"/>
              <w:rPr>
                <w:sz w:val="14"/>
                <w:szCs w:val="14"/>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8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(134 )</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(210,310 )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230,994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-5305425</wp:posOffset>
            </wp:positionV>
            <wp:extent cx="76835"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-5305425</wp:posOffset>
            </wp:positionV>
            <wp:extent cx="76835" cy="196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-5305425</wp:posOffset>
            </wp:positionV>
            <wp:extent cx="77470" cy="196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19685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-5305425</wp:posOffset>
            </wp:positionV>
            <wp:extent cx="76835"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-5305425</wp:posOffset>
            </wp:positionV>
            <wp:extent cx="76835" cy="196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-5305425</wp:posOffset>
            </wp:positionV>
            <wp:extent cx="68580" cy="196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-5305425</wp:posOffset>
            </wp:positionV>
            <wp:extent cx="68580" cy="196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-5305425</wp:posOffset>
            </wp:positionV>
            <wp:extent cx="68580" cy="196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-5305425</wp:posOffset>
            </wp:positionV>
            <wp:extent cx="68580" cy="196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-5305425</wp:posOffset>
            </wp:positionV>
            <wp:extent cx="6858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-5305425</wp:posOffset>
            </wp:positionV>
            <wp:extent cx="68580" cy="196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-5305425</wp:posOffset>
            </wp:positionV>
            <wp:extent cx="68580" cy="196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-5305425</wp:posOffset>
            </wp:positionV>
            <wp:extent cx="68580"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-5305425</wp:posOffset>
            </wp:positionV>
            <wp:extent cx="68580" cy="196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-5305425</wp:posOffset>
            </wp:positionV>
            <wp:extent cx="68580" cy="196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-4765675</wp:posOffset>
            </wp:positionV>
            <wp:extent cx="547751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77510" cy="18859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-3994150</wp:posOffset>
            </wp:positionV>
            <wp:extent cx="76835" cy="197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19748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-3994150</wp:posOffset>
            </wp:positionV>
            <wp:extent cx="76835" cy="1974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19748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-3994150</wp:posOffset>
            </wp:positionV>
            <wp:extent cx="77470" cy="1974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19748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-3994150</wp:posOffset>
            </wp:positionV>
            <wp:extent cx="76835" cy="1974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9748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-3994150</wp:posOffset>
            </wp:positionV>
            <wp:extent cx="76835" cy="1974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9748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-3994150</wp:posOffset>
            </wp:positionV>
            <wp:extent cx="68580" cy="197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-3994150</wp:posOffset>
            </wp:positionV>
            <wp:extent cx="68580" cy="197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-3994150</wp:posOffset>
            </wp:positionV>
            <wp:extent cx="68580" cy="1974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-3994150</wp:posOffset>
            </wp:positionV>
            <wp:extent cx="68580" cy="1974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-3994150</wp:posOffset>
            </wp:positionV>
            <wp:extent cx="68580" cy="1974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-3994150</wp:posOffset>
            </wp:positionV>
            <wp:extent cx="68580" cy="1974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-3994150</wp:posOffset>
            </wp:positionV>
            <wp:extent cx="68580" cy="1974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-3994150</wp:posOffset>
            </wp:positionV>
            <wp:extent cx="68580" cy="1974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-3994150</wp:posOffset>
            </wp:positionV>
            <wp:extent cx="68580" cy="1974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-3994150</wp:posOffset>
            </wp:positionV>
            <wp:extent cx="68580" cy="1974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-2322195</wp:posOffset>
            </wp:positionV>
            <wp:extent cx="76835" cy="196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-2322195</wp:posOffset>
            </wp:positionV>
            <wp:extent cx="76835" cy="196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-2322195</wp:posOffset>
            </wp:positionV>
            <wp:extent cx="76835"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-2322195</wp:posOffset>
            </wp:positionV>
            <wp:extent cx="76835" cy="196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-2322195</wp:posOffset>
            </wp:positionV>
            <wp:extent cx="77470" cy="196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19685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-2322195</wp:posOffset>
            </wp:positionV>
            <wp:extent cx="77470" cy="196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19685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-2322195</wp:posOffset>
            </wp:positionV>
            <wp:extent cx="68580" cy="196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-2322195</wp:posOffset>
            </wp:positionV>
            <wp:extent cx="68580" cy="196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-2322195</wp:posOffset>
            </wp:positionV>
            <wp:extent cx="68580" cy="196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-2322195</wp:posOffset>
            </wp:positionV>
            <wp:extent cx="68580" cy="1968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-2322195</wp:posOffset>
            </wp:positionV>
            <wp:extent cx="68580" cy="196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-2322195</wp:posOffset>
            </wp:positionV>
            <wp:extent cx="68580" cy="196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-2322195</wp:posOffset>
            </wp:positionV>
            <wp:extent cx="68580" cy="196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-2322195</wp:posOffset>
            </wp:positionV>
            <wp:extent cx="68580" cy="196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196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-1130935</wp:posOffset>
            </wp:positionV>
            <wp:extent cx="5460365" cy="1111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60365" cy="11112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-24765</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-8255</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-24765</wp:posOffset>
            </wp:positionV>
            <wp:extent cx="768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-8255</wp:posOffset>
            </wp:positionV>
            <wp:extent cx="76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-24765</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-8255</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-24765</wp:posOffset>
            </wp:positionV>
            <wp:extent cx="768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-8255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-24765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-8255</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-24765</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-8255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-24765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3500" w:type="dxa"/>
            <w:vAlign w:val="bottom"/>
            <w:gridSpan w:val="7"/>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77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(64,819 )</w:t>
            </w:r>
          </w:p>
        </w:tc>
        <w:tc>
          <w:tcPr>
            <w:tcW w:w="16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(47,446 )</w:t>
            </w: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30,758</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(12,011 )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(3,510 )</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forgiveness of notes payable</w:t>
            </w:r>
          </w:p>
        </w:tc>
        <w:tc>
          <w:tcPr>
            <w:tcW w:w="940" w:type="dxa"/>
            <w:vAlign w:val="bottom"/>
          </w:tcPr>
          <w:p>
            <w:pPr>
              <w:spacing w:after="0"/>
              <w:rPr>
                <w:sz w:val="17"/>
                <w:szCs w:val="17"/>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(2,394 )</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investment discount</w:t>
            </w: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Unbilled receivable</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(1,747 )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(607 )</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(331 )</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(134 )</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(4,031 )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17"/>
                <w:szCs w:val="17"/>
                <w:color w:val="auto"/>
              </w:rPr>
            </w:pPr>
          </w:p>
        </w:tc>
      </w:tr>
      <w:tr>
        <w:trPr>
          <w:trHeight w:val="196"/>
        </w:trPr>
        <w:tc>
          <w:tcPr>
            <w:tcW w:w="77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(44,448</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(20,908</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(1,046 )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(3,039 )</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 of a business, net of cash acquired</w:t>
            </w:r>
          </w:p>
        </w:tc>
        <w:tc>
          <w:tcPr>
            <w:tcW w:w="9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(29,687 )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(138,696 )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7"/>
              </w:rPr>
              <w:t>(149,429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notes payable</w:t>
            </w:r>
          </w:p>
        </w:tc>
        <w:tc>
          <w:tcPr>
            <w:tcW w:w="94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Shares repurchased for payment of tax withholdings</w:t>
            </w: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(7,677 )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non-controlling interest</w:t>
            </w:r>
          </w:p>
        </w:tc>
        <w:tc>
          <w:tcPr>
            <w:tcW w:w="940" w:type="dxa"/>
            <w:vAlign w:val="bottom"/>
          </w:tcPr>
          <w:p>
            <w:pPr>
              <w:spacing w:after="0"/>
              <w:rPr>
                <w:sz w:val="17"/>
                <w:szCs w:val="17"/>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(200 )</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 of obligations under capital leases</w:t>
            </w: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PIPE</w:t>
            </w:r>
          </w:p>
        </w:tc>
        <w:tc>
          <w:tcPr>
            <w:tcW w:w="940" w:type="dxa"/>
            <w:vAlign w:val="bottom"/>
          </w:tcPr>
          <w:p>
            <w:pPr>
              <w:spacing w:after="0"/>
              <w:rPr>
                <w:sz w:val="17"/>
                <w:szCs w:val="17"/>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220,000</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Merger</w:t>
            </w:r>
          </w:p>
        </w:tc>
        <w:tc>
          <w:tcPr>
            <w:tcW w:w="94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25,359</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for transaction costs</w:t>
            </w:r>
          </w:p>
        </w:tc>
        <w:tc>
          <w:tcPr>
            <w:tcW w:w="940" w:type="dxa"/>
            <w:vAlign w:val="bottom"/>
          </w:tcPr>
          <w:p>
            <w:pPr>
              <w:spacing w:after="0"/>
              <w:rPr>
                <w:sz w:val="17"/>
                <w:szCs w:val="17"/>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(15,705 )</w:t>
            </w:r>
          </w:p>
        </w:tc>
      </w:tr>
      <w:tr>
        <w:trPr>
          <w:trHeight w:val="19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231,471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w:t>
            </w:r>
          </w:p>
        </w:tc>
        <w:tc>
          <w:tcPr>
            <w:tcW w:w="9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(200,985 )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207,524</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at beginning of period</w:t>
            </w: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217,114</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33,664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at end of period</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241,188</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and assumed equity awards in connection with a business acquisition</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59,410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at period-end</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Leasehold improvements paid by lessor</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transaction costs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Assumption of warrant liabilities</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8,774</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-3826510</wp:posOffset>
            </wp:positionV>
            <wp:extent cx="7145020" cy="2870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5020" cy="28702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-2887980</wp:posOffset>
            </wp:positionV>
            <wp:extent cx="6858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-1585595</wp:posOffset>
            </wp:positionV>
            <wp:extent cx="6858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-1319530</wp:posOffset>
            </wp:positionV>
            <wp:extent cx="68580"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CORPORTATION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24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Sarcos Technology and Robotics Corporation (the “Company” or “Sarcos”), designs and produces highly dexterous mobile robotic systems for use in unstructured environments.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accordance with accounting principles generally accepted in the United States (“GAAP”).</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condensed consolidated financial statements as of September 30, 2022, are unaudited. The condensed consolidated balance sheet as of December 31, 2021, included herein was derived from the audited consolidated financial statements as of that date. Certain information and note disclosures normally included in financial statements prepared in accordance with GAAP have been condensed or omitted. As such, the information included herein should be read in conjunction with the consolidated financial statements and accompanying notes as of and for the year ended December 31, 2021, included in the Company’s Annual Report on Form 10-K, filed with the SEC on March 29, 2022, and as amended on Form 10-K/A filed with the SEC on September 30, 2022.</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accounts and transactions have been eliminated in consolidation. The Company’s fiscal year begins on January 1 and ends on December 31.</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the unaudited condensed consolidated financial statements include all adjustments necessary for fair financial statement presentation. All adjustments are of a normal recurring nature. Interim results are not necessarily indicative of the results to be expected for any subsequent quarter or for the fiscal year ending December 31,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September 24, 2021 (the “Closing Date”), the Company consummated the business combination (the “Business Combination”) pursuant to the terms of the Agreement and Plan of Merger, dated as of April 5, 2021, by and among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the Company, Merger Sub and Old Sarcos. Pursuant to the terms of the Merger Agreement, the Business Combination between the Company and Old Sarcos was effected through the merger of Merger Sub with and into Old Sarcos, with Old Sarcos continuing as the surviving corporation (the “Merger”) and a wholly-owned subsidiary of the Company. On the Closing Date, the registrant changed its name from Rotor Acquisition Corp. to Sarcos Technology and Robotics Corporation.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Immediately prior to the effective time of the Merger (the “Effective Time”), all issued and outstanding warrants to purchase shares of Class A common stock of Old Sarcos were net exercised and all issued and outstanding shares of preferred stock of Old Sarcos were converted into common stock of Old Sarcos (collectively, the “Old Sarcos Common Stock”). Pursuant to the terms of the Merger Agreement, at the Effective Time:</w:t>
      </w:r>
    </w:p>
    <w:p>
      <w:pPr>
        <w:spacing w:after="0" w:line="61" w:lineRule="exact"/>
        <w:rPr>
          <w:sz w:val="20"/>
          <w:szCs w:val="20"/>
          <w:color w:val="auto"/>
        </w:rPr>
      </w:pPr>
    </w:p>
    <w:p>
      <w:pPr>
        <w:jc w:val="both"/>
        <w:ind w:left="1020" w:hanging="503"/>
        <w:spacing w:after="0" w:line="24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Old Sarcos Common Stock, after giving effect to the conversion described above, was cancelled and converted into and became (i) the right to receive approximately 5.129222424 shares (the “Exchange Ratio”) of Common Stock of the Company, par value $0.0001 per share (the “Common Stock”), rounded down to the nearest whole share plus (ii) the contingent right to receive a portion of additional shares of Common Stock upon achievement of certain milestones (the “Contingent Merger Consideration”), as described below; and</w:t>
      </w:r>
    </w:p>
    <w:p>
      <w:pPr>
        <w:spacing w:after="0" w:line="7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options, restricted stock units (“RSUs”) and restricted stock award (“RSA”) of Old Sarcos, whether vested or unvested, were assumed by the Company and converted into options, RSUs and RSA of the Company.</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each holder of Old Sarcos capital stock (including the Old Sarcos RSA) was entitled to a right to Contingent Merger Consideration at the Closing Date in the form of earn-outs, up to an aggregate of 28,125,000 shares of Common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On the Closing Date, certain investors (the “PIPE Investors”) purchased from the Company an aggregate of 22,000,000 shares (the “PIPE Shares”) of Common Stock at a price of $10.00 per share, for an aggregate purchase price of $220.0 million (the “PIPE Financing”), in a private placement pursuant to separate subscription agreements (each, a “Subscription Agreement”) entered into effective as of April 5, 2021.</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27, 2021, the Common Stock and warrants of Sarcos Technology and Robotics Corporation (formerly those of Rotor Acquisition Corp.), ceased trading on the New York Stock Exchange and began trading on The Nasdaq Global Market (“Nasdaq”) as “STRC” and “STRCW”, respectively.</w:t>
      </w:r>
    </w:p>
    <w:p>
      <w:pPr>
        <w:spacing w:after="0" w:line="162"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On April 25, 2022, the Company acquired RE2, Inc., (“RE2”) a Pittsburgh, PA based developer of autonomous and teleoperated mobile robotic systems for use in the aviation, construction, defense, energy, and medical industries. The results presented herein include the activity of RE2 from the acquisition date through September 30, 2022. The Company's results do not include RE2’s financial information prior to the acquisition. For further detail see Note 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described in the annual consolidated financial statements for the year ended December 31, 2021 that have had a material impact on the Company’s condensed consolidated financial statements and related notes.</w:t>
      </w:r>
    </w:p>
    <w:p>
      <w:pPr>
        <w:spacing w:after="0" w:line="1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pandemic. Modifications continue to be made to the Company’s normal operations because of the COVID-19 pandemic and the Company continues to monitor its operations and government recommendations. Supply chain disruptions, difficulty hiring and other negative impacts, resulting from the COVID-19 pandemic and other macroeconomic conditions have caused and may continue to cause delays in the assessment and deployment of the Company’s products. Although it is widely expected that the impact of the pandemic will subside over time, the Company cannot predict the future extent or duration of the impact that the COVID-19 pandemic will have on its financial condition and operations. The impact of the COVID-19 pandemic on the Company’s financial performance, product development and release and business generally will depend on future developments, including the duration of the outbreak, the severity of new variants and related governmental advisories and restrictions. If the financial markets, the overall economy, working conditions and supply chain, among other things, continue to be negatively impacted, the Company’s operations and financial results will continue to be adversely affected.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cash equivalents and marketable securities were $135.4 million as of September 30, 2022, compared to $217.1 million as of December 31, 2021. The Company has historically incurred losses and negative cash flows from operations. As of September 30, 2022, the Company also had an accumulated deficit of approximately $210.3 million and working capital of $136.2 million.</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GAAP and this basis assumes the Company will continue as a going concern, which contemplates the realization of assets and the satisfaction of liabilities and commitments in the normal course of business. The Company’s main sources of liquidity have been cash generated by equity offerings and debt. The Company’s primary use of cash is for operations and administrative activities including employee-related expenses, and general, operating and overhead expenses. Future capital requirements will depend on many factors, including the Company’s timing and extent of development efforts, the expansion of sales and marketing activities, customer growth rate, customer retention, the introduction of new and enhanced product offerings and market acceptance of the Company’s products. The Company believes it has sufficient financial resources for at least the next 12 months from the date of this Report.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recognizes revenue from the sale of its products and from the delivery of goods and services arising out of its contractual arrangements to provide research and development services that are fully funded by the customer. The Company recognizes revenue when promised goods or services are transferred to customers in an amount that reflects the consideration to which the Company expects to be entitled in exchange for those goods or services by following a five-step process:</w:t>
      </w:r>
    </w:p>
    <w:p>
      <w:pPr>
        <w:spacing w:after="0" w:line="287" w:lineRule="exact"/>
        <w:rPr>
          <w:sz w:val="20"/>
          <w:szCs w:val="20"/>
          <w:color w:val="auto"/>
        </w:rPr>
      </w:pPr>
    </w:p>
    <w:p>
      <w:pPr>
        <w:jc w:val="both"/>
        <w:ind w:left="1020" w:hanging="503"/>
        <w:spacing w:after="0" w:line="254" w:lineRule="auto"/>
        <w:tabs>
          <w:tab w:leader="none" w:pos="102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contract with a customer: </w:t>
      </w:r>
      <w:r>
        <w:rPr>
          <w:rFonts w:ascii="Times New Roman" w:cs="Times New Roman" w:eastAsia="Times New Roman" w:hAnsi="Times New Roman"/>
          <w:sz w:val="18"/>
          <w:szCs w:val="18"/>
          <w:color w:val="auto"/>
        </w:rPr>
        <w:t>A contract with a customer exists when (i) the Company enters into an enforceable contract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that defines each party’s rights and obligations regarding the products and services to be transferred and identifies the payment</w:t>
      </w:r>
    </w:p>
    <w:p>
      <w:pPr>
        <w:spacing w:after="0" w:line="1" w:lineRule="exact"/>
        <w:rPr>
          <w:sz w:val="20"/>
          <w:szCs w:val="20"/>
          <w:color w:val="auto"/>
        </w:rPr>
      </w:pPr>
    </w:p>
    <w:p>
      <w:pPr>
        <w:jc w:val="both"/>
        <w:ind w:left="1020"/>
        <w:spacing w:after="0"/>
        <w:rPr>
          <w:sz w:val="20"/>
          <w:szCs w:val="20"/>
          <w:color w:val="auto"/>
        </w:rPr>
      </w:pPr>
      <w:r>
        <w:rPr>
          <w:rFonts w:ascii="Times New Roman" w:cs="Times New Roman" w:eastAsia="Times New Roman" w:hAnsi="Times New Roman"/>
          <w:sz w:val="18"/>
          <w:szCs w:val="18"/>
          <w:color w:val="auto"/>
        </w:rPr>
        <w:t>terms related to these products and services, (ii) the contract has commercial substance and (iii) the Company determines that collection of substantially all consideration for products and services that are transferred is probable based on the customer’s intent and ability to pay the promised consideration. Contract modifications may include</w:t>
      </w: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 w:name="page12"/>
    <w:bookmarkEnd w:id="11"/>
    <w:p>
      <w:pPr>
        <w:ind w:left="1020"/>
        <w:spacing w:after="0" w:line="282" w:lineRule="auto"/>
        <w:rPr>
          <w:sz w:val="20"/>
          <w:szCs w:val="20"/>
          <w:color w:val="auto"/>
        </w:rPr>
      </w:pPr>
      <w:r>
        <w:rPr>
          <w:rFonts w:ascii="Times New Roman" w:cs="Times New Roman" w:eastAsia="Times New Roman" w:hAnsi="Times New Roman"/>
          <w:sz w:val="18"/>
          <w:szCs w:val="18"/>
          <w:color w:val="auto"/>
        </w:rPr>
        <w:t>changes in scope of work, and/or the period of completion of the project. The Company analyzes contract modifications to determine if they should be accounted for as a modification to an existing contract or a new stand-alone contract.</w:t>
      </w:r>
    </w:p>
    <w:p>
      <w:pPr>
        <w:spacing w:after="0" w:line="241" w:lineRule="exact"/>
        <w:rPr>
          <w:sz w:val="20"/>
          <w:szCs w:val="20"/>
          <w:color w:val="auto"/>
        </w:rPr>
      </w:pPr>
    </w:p>
    <w:p>
      <w:pPr>
        <w:jc w:val="both"/>
        <w:ind w:left="1020" w:hanging="503"/>
        <w:spacing w:after="0" w:line="251" w:lineRule="auto"/>
        <w:tabs>
          <w:tab w:leader="none" w:pos="10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The Company enters into contracts that can include combinations of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which are either capable of being distinct and accounted for as separate performance obligations or as one performance obligation if the majority of tasks and services form a single project or capability. Determining whether products or services are considered distinct performance obligations that should be accounted for separately may require significant judgment.</w:t>
      </w:r>
    </w:p>
    <w:p>
      <w:pPr>
        <w:spacing w:after="0" w:line="281" w:lineRule="exact"/>
        <w:rPr>
          <w:rFonts w:ascii="Times New Roman" w:cs="Times New Roman" w:eastAsia="Times New Roman" w:hAnsi="Times New Roman"/>
          <w:sz w:val="18"/>
          <w:szCs w:val="18"/>
          <w:i w:val="1"/>
          <w:iCs w:val="1"/>
          <w:color w:val="auto"/>
        </w:rPr>
      </w:pPr>
    </w:p>
    <w:p>
      <w:pPr>
        <w:jc w:val="both"/>
        <w:ind w:left="1020" w:hanging="503"/>
        <w:spacing w:after="0" w:line="243" w:lineRule="auto"/>
        <w:tabs>
          <w:tab w:leader="none" w:pos="10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determined based on the consideration to which the Company will be entitled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w:t>
      </w:r>
    </w:p>
    <w:p>
      <w:pPr>
        <w:spacing w:after="0" w:line="280" w:lineRule="exact"/>
        <w:rPr>
          <w:rFonts w:ascii="Times New Roman" w:cs="Times New Roman" w:eastAsia="Times New Roman" w:hAnsi="Times New Roman"/>
          <w:sz w:val="18"/>
          <w:szCs w:val="18"/>
          <w:i w:val="1"/>
          <w:iCs w:val="1"/>
          <w:color w:val="auto"/>
        </w:rPr>
      </w:pPr>
    </w:p>
    <w:p>
      <w:pPr>
        <w:jc w:val="both"/>
        <w:ind w:left="1020" w:hanging="503"/>
        <w:spacing w:after="0" w:line="244" w:lineRule="auto"/>
        <w:tabs>
          <w:tab w:leader="none" w:pos="10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Allocate the transaction price to performance obligations in the contract: </w:t>
      </w:r>
      <w:r>
        <w:rPr>
          <w:rFonts w:ascii="Times New Roman" w:cs="Times New Roman" w:eastAsia="Times New Roman" w:hAnsi="Times New Roman"/>
          <w:sz w:val="18"/>
          <w:szCs w:val="18"/>
          <w:color w:val="auto"/>
        </w:rPr>
        <w:t>Once the Company has determined the transaction price,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the Company would sell the good(s) or service(s) to a customer on a standalone basis. For government contracts, the Company uses expected cost plus a margin as the standalone selling price. Because the Company's contract pricing with government customers is based on expected cost plus margin, the standalone selling price of the good(s) or service(s) in the Company's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spacing w:after="0" w:line="279" w:lineRule="exact"/>
        <w:rPr>
          <w:rFonts w:ascii="Times New Roman" w:cs="Times New Roman" w:eastAsia="Times New Roman" w:hAnsi="Times New Roman"/>
          <w:sz w:val="18"/>
          <w:szCs w:val="18"/>
          <w:i w:val="1"/>
          <w:iCs w:val="1"/>
          <w:color w:val="auto"/>
        </w:rPr>
      </w:pPr>
    </w:p>
    <w:p>
      <w:pPr>
        <w:jc w:val="both"/>
        <w:ind w:left="1020" w:hanging="503"/>
        <w:spacing w:after="0" w:line="244" w:lineRule="auto"/>
        <w:tabs>
          <w:tab w:leader="none" w:pos="10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Recognize revenue when or as the Company satisfies a performance obligation</w:t>
      </w:r>
      <w:r>
        <w:rPr>
          <w:rFonts w:ascii="Times New Roman" w:cs="Times New Roman" w:eastAsia="Times New Roman" w:hAnsi="Times New Roman"/>
          <w:sz w:val="18"/>
          <w:szCs w:val="18"/>
          <w:color w:val="auto"/>
        </w:rPr>
        <w:t>: For each performance obligation identified,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at contract inception whether we satisfy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 costs to satisfy the performance obligation. The Company believes that costs incurred as a portion of total estimated costs is an appropriate measure of progress towards satisfaction of the performance obligation since this measure reasonably depicts the progress of the work effort. Revenue for performance obligations that are not recognized over time are recognized at the point in time when 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derives its revenue from two sources. First, the Company enters into research and development agreements primarily relating to the commercialization of the Company’s core products. Second, the Company sells its products and related parts and repair services. Research and development services revenue includes revenue arising from different types of contractual arrangements, including cost-type contracts and fixed-price contracts. Product revenue primarily includes sales of the Company’s commercially available products.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Research, development and/or testing service contracts, including cost-plus-fixed-fee and time and material contracts, relate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development of technology in the areas of robotics, artificial intelligence and unmanned systems. Cost-type contracts are generally entered into with the U.S. government. These contracts are billed at cost plus a margin as defined by the contract and the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Fixed-price development contracts relate primarily to the development of technology in the area of robotic platforms. Fixed-price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we will generate more or less profit or could incur a loss. The Company will recognize losses at the contract level in earnings in the period in which they are incurred.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Product revenue relates to sales of the Company’s commercially available products, and certain miscellaneous parts, accessories and repair services. The Company provides a limited one-year warranty on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revenue recognized for Research and Development Services and Product Revenue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00" w:type="dxa"/>
            <w:vAlign w:val="bottom"/>
          </w:tcPr>
          <w:p>
            <w:pPr>
              <w:spacing w:after="0"/>
              <w:rPr>
                <w:sz w:val="16"/>
                <w:szCs w:val="16"/>
                <w:color w:val="auto"/>
              </w:rPr>
            </w:pPr>
          </w:p>
        </w:tc>
      </w:tr>
      <w:tr>
        <w:trPr>
          <w:trHeight w:val="212"/>
        </w:trPr>
        <w:tc>
          <w:tcPr>
            <w:tcW w:w="5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r>
      <w:tr>
        <w:trPr>
          <w:trHeight w:val="200"/>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 Services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4,488</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8,203</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100" w:type="dxa"/>
            <w:vAlign w:val="bottom"/>
            <w:shd w:val="clear" w:color="auto" w:fill="CFF0FC"/>
          </w:tcPr>
          <w:p>
            <w:pPr>
              <w:spacing w:after="0"/>
              <w:rPr>
                <w:sz w:val="17"/>
                <w:szCs w:val="17"/>
                <w:color w:val="auto"/>
              </w:rPr>
            </w:pPr>
          </w:p>
        </w:tc>
      </w:tr>
      <w:tr>
        <w:trPr>
          <w:trHeight w:val="20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17"/>
                <w:szCs w:val="17"/>
                <w:color w:val="auto"/>
              </w:rPr>
            </w:pPr>
          </w:p>
        </w:tc>
      </w:tr>
      <w:tr>
        <w:trPr>
          <w:trHeight w:val="236"/>
        </w:trPr>
        <w:tc>
          <w:tcPr>
            <w:tcW w:w="5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Revenue, net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4,667</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8,448</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 and cash collection results in the recognition of accounts receivable, unbilled receivables, contract assets and deferred revenue in the Company’s condensed consolidated balance sheets.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funds received in excess of revenue recognized that is contingent upon the satisfaction of performance obligations is accounted for as deferred revenue.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include unbilled receivables which are amounts resulting from timing differences between revenue recognition and billing in accordance with agreed-upon contractual terms, which typically occur subsequent to revenue being recognized.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our accounts receivable, unbilled receivables, contract assets and deferred revenue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00" w:type="dxa"/>
            <w:vAlign w:val="bottom"/>
          </w:tcPr>
          <w:p>
            <w:pPr>
              <w:spacing w:after="0"/>
              <w:rPr>
                <w:sz w:val="16"/>
                <w:szCs w:val="16"/>
                <w:color w:val="auto"/>
              </w:rPr>
            </w:pPr>
          </w:p>
        </w:tc>
      </w:tr>
      <w:tr>
        <w:trPr>
          <w:trHeight w:val="176"/>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159"/>
              <w:spacing w:after="0" w:line="175" w:lineRule="exact"/>
              <w:rPr>
                <w:sz w:val="20"/>
                <w:szCs w:val="20"/>
                <w:color w:val="auto"/>
              </w:rPr>
            </w:pPr>
            <w:r>
              <w:rPr>
                <w:rFonts w:ascii="Times New Roman" w:cs="Times New Roman" w:eastAsia="Times New Roman" w:hAnsi="Times New Roman"/>
                <w:sz w:val="16"/>
                <w:szCs w:val="16"/>
                <w:b w:val="1"/>
                <w:bCs w:val="1"/>
                <w:color w:val="auto"/>
              </w:rPr>
              <w:t>Accounts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Unbilled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540"/>
              <w:spacing w:after="0" w:line="175" w:lineRule="exact"/>
              <w:rPr>
                <w:sz w:val="20"/>
                <w:szCs w:val="20"/>
                <w:color w:val="auto"/>
              </w:rPr>
            </w:pPr>
            <w:r>
              <w:rPr>
                <w:rFonts w:ascii="Times New Roman" w:cs="Times New Roman" w:eastAsia="Times New Roman" w:hAnsi="Times New Roman"/>
                <w:sz w:val="16"/>
                <w:szCs w:val="16"/>
                <w:b w:val="1"/>
                <w:bCs w:val="1"/>
                <w:color w:val="auto"/>
              </w:rPr>
              <w:t>assets</w:t>
            </w:r>
          </w:p>
        </w:tc>
        <w:tc>
          <w:tcPr>
            <w:tcW w:w="112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Contract assets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5"/>
                <w:szCs w:val="15"/>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8"/>
                <w:szCs w:val="18"/>
                <w:color w:val="auto"/>
              </w:rPr>
            </w:pPr>
          </w:p>
        </w:tc>
      </w:tr>
      <w:tr>
        <w:trPr>
          <w:trHeight w:val="19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as of December 31, 2021</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Increase/(decrease), net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(30 )</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7"/>
                <w:szCs w:val="17"/>
                <w:color w:val="auto"/>
              </w:rPr>
            </w:pPr>
          </w:p>
        </w:tc>
      </w:tr>
      <w:tr>
        <w:trPr>
          <w:trHeight w:val="236"/>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as of September 30, 2022</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-8255</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recorded its current contract assets, long-term contract assets and current deferred revenue within prepaid expenses and other current assets, other non-current assets and accrued liabilities, respectively. During the three months ended September 30, 2022, the Company did not recognize any revenue related to deferred revenue which existed at December 31, 2021. During the nine months ended September 30, 2022, the Company recognized all of the deferred revenue which existed at December 31, 2021. During the three and nine months ended September 30, 2021, the Company recognized revenue related to $0.0 million and $0.1 million of deferred revenue which existed at December 31, 2020,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backlog, or revenue related to remaining performance obligations, of $8.1 million, the Company expects most of this backlog to be recognized over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2019-12, Simplifying the Accounting for Income Taxes, which simplifies the accounting for income taxes by removing certain exceptions to the previous guidance, and improving the consistent application of and simplification of other areas of the guidance. The Company adopted this ASU on January 1, 2022, using a prospective approach. The adoption of ASU 2019-12 did not have a material impact on the Company's condensed consolidated financial statements and related disclosures.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 Pronouncements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regarding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FASB has subsequently issued supplemental and/or clarifying ASUs inclusive of ASU 2020-05, which updated the effective date for certain non-public companies to annual reporting periods beginning after December 15, 2021, and interim periods within fiscal years beginning after December 15, 2022. These updates require an organization to recognize lease assets and lease liabilities on the balance sheet and disclose certain qualitative and quantitative information about leasing arrangements that allow the users of the financial statements to better understand the amount, timing, and uncertainty of cash flows arising from leases.</w:t>
      </w:r>
    </w:p>
    <w:p>
      <w:pPr>
        <w:spacing w:after="0" w:line="1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will adopt ASC 842 and all associated amendments as of January 1, 2022, using the optional transition method to recognize a cumulative-effect adjustment through opening retained earnings as of the date of adoption. The Company will present the impact of the new guidance in its annual statements as of December 31, 2022 and its interim statements thereafter. The Company plans to elect the package of practical expedients permitted under the transition guidance, which allow the Company to carryforward its historical assessments of: (1) whether contracts are or contain leases, (2) lease classification and (3) initial direct costs. The Company plans not to elect the hindsight practical expedient. The Company plans to elect a policy of not recording leases on its condensed consolidated balance sheets when the leases have a term of 12 months or less and the Company is not reasonably certain to elect an option to renew the leased asset. The Company expects to recognize an operating right-of-use assets and operating lease liabilities on the consolidated balance sheets as of the date of adoption. The adoption of ASC 842 is not anticipated to have a material impact on the Company’s results of operations or cash flows.</w:t>
      </w:r>
    </w:p>
    <w:p>
      <w:pPr>
        <w:spacing w:after="0" w:line="1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The new standard requires financial assets measured at amortized cost to be presented at the net amount expected to be collected, through an allowance for credit losses that is deducted from the amortized cost basis. The standard will be effective for the Company beginning January 1, 2023, with early application permitted. The Company does not expect adoption of this new guidance to have a material impact on its results of operations, financial condition and financial statement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ASC Topic 820, Fair Value Measurement,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1—Fair value is based on observable inputs such as quoted prices for identical assets or liabilities in active markets.</w:t>
      </w:r>
    </w:p>
    <w:p>
      <w:pPr>
        <w:spacing w:after="0" w:line="198" w:lineRule="exact"/>
        <w:rPr>
          <w:sz w:val="20"/>
          <w:szCs w:val="20"/>
          <w:color w:val="auto"/>
        </w:rPr>
      </w:pPr>
    </w:p>
    <w:p>
      <w:pPr>
        <w:ind w:left="1660" w:hanging="897"/>
        <w:spacing w:after="0" w:line="282" w:lineRule="auto"/>
        <w:rPr>
          <w:sz w:val="20"/>
          <w:szCs w:val="20"/>
          <w:color w:val="auto"/>
        </w:rPr>
      </w:pPr>
      <w:r>
        <w:rPr>
          <w:rFonts w:ascii="Times New Roman" w:cs="Times New Roman" w:eastAsia="Times New Roman" w:hAnsi="Times New Roman"/>
          <w:sz w:val="18"/>
          <w:szCs w:val="18"/>
          <w:color w:val="auto"/>
        </w:rPr>
        <w:t>Level 2—Fair value is determined using quoted prices for similar assets or liabilities in active markets or quoted prices for identical or similar assets or liabilities in markets that are not active or are directly or indirectly observable.</w:t>
      </w:r>
    </w:p>
    <w:p>
      <w:pPr>
        <w:spacing w:after="0" w:line="135" w:lineRule="exact"/>
        <w:rPr>
          <w:sz w:val="20"/>
          <w:szCs w:val="20"/>
          <w:color w:val="auto"/>
        </w:rPr>
      </w:pPr>
    </w:p>
    <w:p>
      <w:pPr>
        <w:ind w:left="1660" w:hanging="897"/>
        <w:spacing w:after="0" w:line="282" w:lineRule="auto"/>
        <w:rPr>
          <w:sz w:val="20"/>
          <w:szCs w:val="20"/>
          <w:color w:val="auto"/>
        </w:rPr>
      </w:pPr>
      <w:r>
        <w:rPr>
          <w:rFonts w:ascii="Times New Roman" w:cs="Times New Roman" w:eastAsia="Times New Roman" w:hAnsi="Times New Roman"/>
          <w:sz w:val="18"/>
          <w:szCs w:val="18"/>
          <w:color w:val="auto"/>
        </w:rPr>
        <w:t>Level 3—Fair value is determined using one or more significant inputs that are unobservable in active markets at the measurement date, such as an option pricing model, discounted cash flow or similar technique.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 on a Recurring Basis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 recurring basis, the Company measures certain of its financial assets and liabilities at fair value. The fair value of the Company’s financial assets and liabilities measured at fair value on a recurring basis was determined using the following inputs: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7"/>
                <w:szCs w:val="17"/>
                <w:color w:val="auto"/>
              </w:rPr>
            </w:pP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99,277</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4"/>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99,277</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Commercial Paper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19,975</w:t>
            </w:r>
          </w:p>
        </w:tc>
        <w:tc>
          <w:tcPr>
            <w:tcW w:w="100" w:type="dxa"/>
            <w:vAlign w:val="bottom"/>
          </w:tcPr>
          <w:p>
            <w:pPr>
              <w:spacing w:after="0"/>
              <w:rPr>
                <w:sz w:val="17"/>
                <w:szCs w:val="17"/>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119,252</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119,252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8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240" w:type="dxa"/>
            <w:vAlign w:val="bottom"/>
            <w:tcBorders>
              <w:bottom w:val="single" w:sz="8" w:color="auto"/>
            </w:tcBorders>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spacing w:after="0"/>
              <w:rPr>
                <w:sz w:val="17"/>
                <w:szCs w:val="17"/>
                <w:color w:val="auto"/>
              </w:rPr>
            </w:pPr>
          </w:p>
        </w:tc>
        <w:tc>
          <w:tcPr>
            <w:tcW w:w="24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0"/>
        </w:trPr>
        <w:tc>
          <w:tcPr>
            <w:tcW w:w="5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7"/>
                <w:szCs w:val="17"/>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4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100" w:type="dxa"/>
            <w:vAlign w:val="bottom"/>
          </w:tcPr>
          <w:p>
            <w:pPr>
              <w:spacing w:after="0"/>
              <w:rPr>
                <w:sz w:val="17"/>
                <w:szCs w:val="17"/>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top w:val="single" w:sz="8" w:color="auto"/>
              <w:bottom w:val="single" w:sz="8" w:color="auto"/>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gridSpan w:val="2"/>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-1397000</wp:posOffset>
            </wp:positionV>
            <wp:extent cx="2708910" cy="2832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08910" cy="28321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-985520</wp:posOffset>
            </wp:positionV>
            <wp:extent cx="7747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-985520</wp:posOffset>
            </wp:positionV>
            <wp:extent cx="68580"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-985520</wp:posOffset>
            </wp:positionV>
            <wp:extent cx="68580" cy="163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163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-25400</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-25400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-8255</wp:posOffset>
            </wp:positionV>
            <wp:extent cx="768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September 30, 2022, the Company held $119.3 million of available-for-sale debt securities with maturity dates within one year. The fair value of the Company's available-for-sale debt securities approximates their amortized cost basis. The Company considers all highly liquid investments purchased with an original maturity of three months or less to be cash equivalents. The carrying amounts of accounts payable and accrued expenses approximate their fair values because of the relatively short periods until they are required to be settled.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from the opening balances to the closing balances for Level 3 values: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100" w:type="dxa"/>
            <w:vAlign w:val="bottom"/>
            <w:shd w:val="clear" w:color="auto" w:fill="CFF0FC"/>
          </w:tcPr>
          <w:p>
            <w:pPr>
              <w:spacing w:after="0"/>
              <w:rPr>
                <w:sz w:val="17"/>
                <w:szCs w:val="17"/>
                <w:color w:val="auto"/>
              </w:rPr>
            </w:pPr>
          </w:p>
        </w:tc>
      </w:tr>
      <w:tr>
        <w:trPr>
          <w:trHeight w:val="203"/>
        </w:trPr>
        <w:tc>
          <w:tcPr>
            <w:tcW w:w="9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liability transferred out of Level 3</w:t>
            </w:r>
          </w:p>
        </w:tc>
        <w:tc>
          <w:tcPr>
            <w:tcW w:w="74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(13,701 )</w:t>
            </w:r>
          </w:p>
        </w:tc>
      </w:tr>
      <w:tr>
        <w:trPr>
          <w:trHeight w:val="236"/>
        </w:trPr>
        <w:tc>
          <w:tcPr>
            <w:tcW w:w="92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740" w:type="dxa"/>
            <w:vAlign w:val="bottom"/>
            <w:tcBorders>
              <w:top w:val="single" w:sz="8" w:color="auto"/>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in which a change in valuation technique or methodology occurs. During the first quarter of 2022 the trading price of the Public Warrants was used to value the Private Placement Warrants, and a third-party valuation was no longer deemed necessary resulting in the estimated fair value of the Private Placement Warrants being transferred from a Level 3 fair value measurement to a Level 2 fair value measurement.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8"/>
                <w:szCs w:val="18"/>
                <w:color w:val="auto"/>
              </w:rPr>
            </w:pPr>
          </w:p>
        </w:tc>
      </w:tr>
      <w:tr>
        <w:trPr>
          <w:trHeight w:val="19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r>
      <w:tr>
        <w:trPr>
          <w:trHeight w:val="20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Finished goods, net</w:t>
            </w:r>
          </w:p>
        </w:tc>
        <w:tc>
          <w:tcPr>
            <w:tcW w:w="1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inventories,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-162560</wp:posOffset>
            </wp:positionV>
            <wp:extent cx="77470"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inventory reserves of $0.3 million as of September 30, 2022 and December 31, 2021.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8"/>
                <w:szCs w:val="18"/>
                <w:color w:val="auto"/>
              </w:rPr>
            </w:pPr>
          </w:p>
        </w:tc>
      </w:tr>
      <w:tr>
        <w:trPr>
          <w:trHeight w:val="19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insurance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4,786</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prepaid expense</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7"/>
                <w:szCs w:val="17"/>
                <w:color w:val="auto"/>
              </w:rPr>
            </w:pPr>
          </w:p>
        </w:tc>
      </w:tr>
      <w:tr>
        <w:trPr>
          <w:trHeight w:val="236"/>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Robotics and manufacturing equipment</w:t>
            </w:r>
          </w:p>
        </w:tc>
        <w:tc>
          <w:tcPr>
            <w:tcW w:w="600" w:type="dxa"/>
            <w:vAlign w:val="bottom"/>
            <w:tcBorders>
              <w:top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Computer equipment</w:t>
            </w:r>
          </w:p>
        </w:tc>
        <w:tc>
          <w:tcPr>
            <w:tcW w:w="6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leased computer equipment</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6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 and other fixed assets</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6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6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(2,190 )</w:t>
            </w:r>
          </w:p>
        </w:tc>
        <w:tc>
          <w:tcPr>
            <w:tcW w:w="1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(1,236 )</w:t>
            </w:r>
          </w:p>
        </w:tc>
      </w:tr>
      <w:tr>
        <w:trPr>
          <w:trHeight w:val="196"/>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7,636</w:t>
            </w: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7,051</w:t>
            </w:r>
          </w:p>
        </w:tc>
        <w:tc>
          <w:tcPr>
            <w:tcW w:w="100" w:type="dxa"/>
            <w:vAlign w:val="bottom"/>
            <w:tcBorders>
              <w:top w:val="single" w:sz="8" w:color="CFF0FC"/>
            </w:tcBorders>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-427990</wp:posOffset>
            </wp:positionV>
            <wp:extent cx="6858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-162560</wp:posOffset>
            </wp:positionV>
            <wp:extent cx="68580"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20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Depreciation expenses were $0.4 million and $0.1 million, for the three months ended September 30, 2022 and 2021, respectively. Depreciation expenses were $1.0 million and $0.3 million, for the nine months ended September 30, 2022 and 2021,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September 30, 2022</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8"/>
                <w:szCs w:val="18"/>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Payroll and related costs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Consulting and professional services</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Legal accrual</w:t>
            </w: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7,233</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8"/>
                <w:szCs w:val="18"/>
                <w:color w:val="auto"/>
              </w:rPr>
            </w:pPr>
          </w:p>
        </w:tc>
      </w:tr>
      <w:tr>
        <w:trPr>
          <w:trHeight w:val="19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leases and other</w:t>
            </w:r>
          </w:p>
        </w:tc>
        <w:tc>
          <w:tcPr>
            <w:tcW w:w="36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17"/>
                <w:szCs w:val="17"/>
                <w:color w:val="auto"/>
              </w:rPr>
            </w:pPr>
          </w:p>
        </w:tc>
      </w:tr>
      <w:tr>
        <w:trPr>
          <w:trHeight w:val="20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rent</w:t>
            </w:r>
          </w:p>
        </w:tc>
        <w:tc>
          <w:tcPr>
            <w:tcW w:w="3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100" w:type="dxa"/>
            <w:vAlign w:val="bottom"/>
          </w:tcPr>
          <w:p>
            <w:pPr>
              <w:spacing w:after="0"/>
              <w:rPr>
                <w:sz w:val="17"/>
                <w:szCs w:val="17"/>
                <w:color w:val="auto"/>
              </w:rPr>
            </w:pPr>
          </w:p>
        </w:tc>
      </w:tr>
      <w:tr>
        <w:trPr>
          <w:trHeight w:val="236"/>
        </w:trPr>
        <w:tc>
          <w:tcPr>
            <w:tcW w:w="3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other non-current liabilities</w:t>
            </w:r>
          </w:p>
        </w:tc>
        <w:tc>
          <w:tcPr>
            <w:tcW w:w="36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13"/>
        </w:trPr>
        <w:tc>
          <w:tcPr>
            <w:tcW w:w="3940" w:type="dxa"/>
            <w:vAlign w:val="bottom"/>
          </w:tcPr>
          <w:p>
            <w:pPr>
              <w:spacing w:after="0"/>
              <w:rPr>
                <w:sz w:val="24"/>
                <w:szCs w:val="24"/>
                <w:color w:val="auto"/>
              </w:rPr>
            </w:pPr>
          </w:p>
        </w:tc>
        <w:tc>
          <w:tcPr>
            <w:tcW w:w="36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94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-376555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-359410</wp:posOffset>
            </wp:positionV>
            <wp:extent cx="774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April 25, 2022, the Company acquired RE2, Inc. a Pittsburgh, PA based developer of autonomous and teleoperated mobile robotic systems. This acquisition significantly increased our engineering team and added additional products and target markets to the Company’s total addressable market. The aggregate consideration transferred was $90.1 million, of which $30.7 million was paid in cash, $44.0 million was comprised of 9,372,674 shares of common stock and $15.4 million was comprised of assumed options to purchase 3,877,039 shares of common stock. Additionally, 1,400,000 shares of common stock were issued with a fair value of $6.6 million at the time of grant. These shares are subject to risk of forfeiture which lapses in full four years after the acquisition date. These shares were excluded from the consideration transferred and will be recorded as stock-based compensation expense.</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the total purchase consideration was allocated to the net tangible and intangible assets and liabilities based on their fair values on the acquisition date and the excess was recorded as goodwill. The values assigned to the assets acquired and liabilities assumed are based on preliminary estimates of fair value available as of the issuance date of these consolidated financial statements and may be adjusted during the measurement period of up to 12 months from the date of acquisition as further information becomes available. Any changes in the fair values of the assets acquired and liabilities assumed during the measurement period may result in adjustments to goodwill. As of September 30, 2022, the primary areas that remain preliminary relate to the valuation of certain intangible items and various tax implications resulting from the acquisition.</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preliminary purchase consideration allocation recorded in the Company’s consolidated balance sheet as of the acquisition date: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Borders>
              <w:top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3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00" w:type="dxa"/>
            <w:vAlign w:val="bottom"/>
            <w:shd w:val="clear" w:color="auto" w:fill="CFF0FC"/>
          </w:tcPr>
          <w:p>
            <w:pPr>
              <w:spacing w:after="0"/>
              <w:rPr>
                <w:sz w:val="17"/>
                <w:szCs w:val="17"/>
                <w:color w:val="auto"/>
              </w:rPr>
            </w:pPr>
          </w:p>
        </w:tc>
      </w:tr>
      <w:tr>
        <w:trPr>
          <w:trHeight w:val="202"/>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3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3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21,300</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70,660</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Pr>
          <w:p>
            <w:pPr>
              <w:spacing w:after="0"/>
              <w:rPr>
                <w:sz w:val="17"/>
                <w:szCs w:val="17"/>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(822 )</w:t>
            </w:r>
          </w:p>
        </w:tc>
      </w:tr>
      <w:tr>
        <w:trPr>
          <w:trHeight w:val="20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liabilities</w:t>
            </w:r>
          </w:p>
        </w:tc>
        <w:tc>
          <w:tcPr>
            <w:tcW w:w="3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(2,334 )</w:t>
            </w: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80" w:type="dxa"/>
            <w:vAlign w:val="bottom"/>
          </w:tcPr>
          <w:p>
            <w:pPr>
              <w:spacing w:after="0"/>
              <w:rPr>
                <w:sz w:val="17"/>
                <w:szCs w:val="17"/>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(4,319 )</w:t>
            </w:r>
          </w:p>
        </w:tc>
      </w:tr>
      <w:tr>
        <w:trPr>
          <w:trHeight w:val="236"/>
        </w:trPr>
        <w:tc>
          <w:tcPr>
            <w:tcW w:w="9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acquisition consideration</w:t>
            </w:r>
          </w:p>
        </w:tc>
        <w:tc>
          <w:tcPr>
            <w:tcW w:w="38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90,078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240" w:type="dxa"/>
            <w:vAlign w:val="bottom"/>
          </w:tcPr>
          <w:p>
            <w:pPr>
              <w:spacing w:after="0"/>
              <w:rPr>
                <w:sz w:val="18"/>
                <w:szCs w:val="18"/>
                <w:color w:val="auto"/>
              </w:rPr>
            </w:pPr>
          </w:p>
        </w:tc>
        <w:tc>
          <w:tcPr>
            <w:tcW w:w="1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100" w:type="dxa"/>
            <w:vAlign w:val="bottom"/>
          </w:tcPr>
          <w:p>
            <w:pPr>
              <w:spacing w:after="0"/>
              <w:rPr>
                <w:sz w:val="18"/>
                <w:szCs w:val="18"/>
                <w:color w:val="auto"/>
              </w:rPr>
            </w:pPr>
          </w:p>
        </w:tc>
      </w:tr>
      <w:tr>
        <w:trPr>
          <w:trHeight w:val="19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name and trademarks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10,700</w:t>
            </w:r>
          </w:p>
        </w:tc>
        <w:tc>
          <w:tcPr>
            <w:tcW w:w="1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intangible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21,300</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-162560</wp:posOffset>
            </wp:positionV>
            <wp:extent cx="68580"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that could not be individually identified and separately recognized, such as the acquired assembled workforce and synergies expected to be achieved from the integration of RE2. Goodwill is not deductible for tax purposes.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results of operations of RE2 from the date of acquisition have been included in the Company’s consolidated financial statements. Pro forma revenue and results of operations have not been presented because the historical results of RE2 are not material to the Company’s consolidated financial statements in any period presented.</w:t>
      </w:r>
    </w:p>
    <w:p>
      <w:pPr>
        <w:spacing w:after="0" w:line="173" w:lineRule="exact"/>
        <w:rPr>
          <w:sz w:val="20"/>
          <w:szCs w:val="20"/>
          <w:color w:val="auto"/>
        </w:rPr>
      </w:pPr>
    </w:p>
    <w:p>
      <w:pPr>
        <w:ind w:right="8660" w:firstLine="8"/>
        <w:spacing w:after="0" w:line="479" w:lineRule="auto"/>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Goodwill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nine months ended September 30, 2022 was as follows: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8"/>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100" w:type="dxa"/>
            <w:vAlign w:val="bottom"/>
          </w:tcPr>
          <w:p>
            <w:pPr>
              <w:spacing w:after="0"/>
              <w:rPr>
                <w:sz w:val="18"/>
                <w:szCs w:val="18"/>
                <w:color w:val="auto"/>
              </w:rPr>
            </w:pPr>
          </w:p>
        </w:tc>
      </w:tr>
      <w:tr>
        <w:trPr>
          <w:trHeight w:val="19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Acquisitions</w:t>
            </w:r>
          </w:p>
        </w:tc>
        <w:tc>
          <w:tcPr>
            <w:tcW w:w="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70,660</w:t>
            </w:r>
          </w:p>
        </w:tc>
        <w:tc>
          <w:tcPr>
            <w:tcW w:w="100" w:type="dxa"/>
            <w:vAlign w:val="bottom"/>
          </w:tcPr>
          <w:p>
            <w:pPr>
              <w:spacing w:after="0"/>
              <w:rPr>
                <w:sz w:val="17"/>
                <w:szCs w:val="17"/>
                <w:color w:val="auto"/>
              </w:rPr>
            </w:pPr>
          </w:p>
        </w:tc>
      </w:tr>
      <w:tr>
        <w:trPr>
          <w:trHeight w:val="236"/>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70,660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impairment of goodwill recorded during the nine months ended September 30, 2022 and 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Acquired Intangible Assets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intangible assets, net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45"/>
        </w:trPr>
        <w:tc>
          <w:tcPr>
            <w:tcW w:w="3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100" w:type="dxa"/>
            <w:vAlign w:val="bottom"/>
          </w:tcPr>
          <w:p>
            <w:pPr>
              <w:spacing w:after="0"/>
              <w:rPr>
                <w:sz w:val="12"/>
                <w:szCs w:val="12"/>
                <w:color w:val="auto"/>
              </w:rPr>
            </w:pP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359"/>
              <w:spacing w:after="0" w:line="17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Remaining Useful Life</w:t>
            </w:r>
          </w:p>
        </w:tc>
        <w:tc>
          <w:tcPr>
            <w:tcW w:w="100" w:type="dxa"/>
            <w:vAlign w:val="bottom"/>
          </w:tcPr>
          <w:p>
            <w:pPr>
              <w:spacing w:after="0"/>
              <w:rPr>
                <w:sz w:val="15"/>
                <w:szCs w:val="15"/>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Net Carrying Amount</w:t>
            </w:r>
          </w:p>
        </w:tc>
        <w:tc>
          <w:tcPr>
            <w:tcW w:w="300" w:type="dxa"/>
            <w:vAlign w:val="bottom"/>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100" w:type="dxa"/>
            <w:vAlign w:val="bottom"/>
          </w:tcPr>
          <w:p>
            <w:pPr>
              <w:spacing w:after="0"/>
              <w:rPr>
                <w:sz w:val="18"/>
                <w:szCs w:val="18"/>
                <w:color w:val="auto"/>
              </w:rPr>
            </w:pPr>
          </w:p>
        </w:tc>
      </w:tr>
      <w:tr>
        <w:trPr>
          <w:trHeight w:val="19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name and trademarks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30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FF0FC"/>
          </w:tcPr>
          <w:p>
            <w:pPr>
              <w:spacing w:after="0"/>
              <w:rPr>
                <w:sz w:val="17"/>
                <w:szCs w:val="17"/>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7"/>
                <w:szCs w:val="17"/>
                <w:color w:val="auto"/>
              </w:rPr>
            </w:pPr>
          </w:p>
        </w:tc>
      </w:tr>
      <w:tr>
        <w:trPr>
          <w:trHeight w:val="203"/>
        </w:trPr>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10,700</w:t>
            </w:r>
          </w:p>
        </w:tc>
        <w:tc>
          <w:tcPr>
            <w:tcW w:w="3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3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10,204</w:t>
            </w:r>
          </w:p>
        </w:tc>
        <w:tc>
          <w:tcPr>
            <w:tcW w:w="21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21,300</w:t>
            </w:r>
          </w:p>
        </w:tc>
        <w:tc>
          <w:tcPr>
            <w:tcW w:w="5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160" w:type="dxa"/>
            <w:vAlign w:val="bottom"/>
            <w:gridSpan w:val="2"/>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19,935</w:t>
            </w: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-162560</wp:posOffset>
            </wp:positionV>
            <wp:extent cx="77470" cy="163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-162560</wp:posOffset>
            </wp:positionV>
            <wp:extent cx="68580"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-162560</wp:posOffset>
            </wp:positionV>
            <wp:extent cx="68580"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6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Company recorded $0.8 million and $1.4 million of amortization expense during the three and nine months ended September 30, 2022, respectively, which was recorded as intangible amortization expense in the condensed consolidated statement of operations. There was no amortization expense during the three and nine months ended September 30, 2021. There was no impairment of intangible assets recorded for the nine months ended September 30, 2022 and 2021.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future amortization expense related to acquired intangible assets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Amortization Expense</w:t>
            </w:r>
          </w:p>
        </w:tc>
        <w:tc>
          <w:tcPr>
            <w:tcW w:w="100" w:type="dxa"/>
            <w:vAlign w:val="bottom"/>
          </w:tcPr>
          <w:p>
            <w:pPr>
              <w:spacing w:after="0"/>
              <w:rPr>
                <w:sz w:val="18"/>
                <w:szCs w:val="18"/>
                <w:color w:val="auto"/>
              </w:rPr>
            </w:pPr>
          </w:p>
        </w:tc>
      </w:tr>
      <w:tr>
        <w:trPr>
          <w:trHeight w:val="19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tcPr>
          <w:p>
            <w:pPr>
              <w:spacing w:after="0"/>
              <w:rPr>
                <w:sz w:val="17"/>
                <w:szCs w:val="17"/>
                <w:color w:val="auto"/>
              </w:rPr>
            </w:pPr>
          </w:p>
        </w:tc>
      </w:tr>
      <w:tr>
        <w:trPr>
          <w:trHeight w:val="203"/>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shd w:val="clear" w:color="auto" w:fill="CFF0FC"/>
          </w:tcPr>
          <w:p>
            <w:pPr>
              <w:spacing w:after="0"/>
              <w:rPr>
                <w:sz w:val="17"/>
                <w:szCs w:val="17"/>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tcPr>
          <w:p>
            <w:pPr>
              <w:spacing w:after="0"/>
              <w:rPr>
                <w:sz w:val="17"/>
                <w:szCs w:val="17"/>
                <w:color w:val="auto"/>
              </w:rPr>
            </w:pPr>
          </w:p>
        </w:tc>
      </w:tr>
      <w:tr>
        <w:trPr>
          <w:trHeight w:val="203"/>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shd w:val="clear" w:color="auto" w:fill="CFF0FC"/>
          </w:tcPr>
          <w:p>
            <w:pPr>
              <w:spacing w:after="0"/>
              <w:rPr>
                <w:sz w:val="17"/>
                <w:szCs w:val="17"/>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 and thereafter</w:t>
            </w: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6,012</w:t>
            </w:r>
          </w:p>
        </w:tc>
        <w:tc>
          <w:tcPr>
            <w:tcW w:w="100" w:type="dxa"/>
            <w:vAlign w:val="bottom"/>
          </w:tcPr>
          <w:p>
            <w:pPr>
              <w:spacing w:after="0"/>
              <w:rPr>
                <w:sz w:val="17"/>
                <w:szCs w:val="17"/>
                <w:color w:val="auto"/>
              </w:rPr>
            </w:pPr>
          </w:p>
        </w:tc>
      </w:tr>
      <w:tr>
        <w:trPr>
          <w:trHeight w:val="236"/>
        </w:trPr>
        <w:tc>
          <w:tcPr>
            <w:tcW w:w="9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19,935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Notes Payable</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Old Sarcos received two unsecured loans under the Paycheck Protection Program (“PPP”) administered by the Small Business Administration, pursuant to the Coronavirus Aid, Relief, and Economic Security Act. The first loan, with a principal amount of $2.4 million, was received in April 2020, and the second loan, with a principal amount of $2.0 million, was received in March 2021. These PPP loans had an interest rate of 1.00% per year. The first PPP loan of $2.4 million was forgiven during June 2021, and the second PPP loan of $2.0 million was forgiven during November 2021. As of September 30, 2022, the Company did not have any outstanding debt.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Reverse Recapitalization</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Pursuant to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Business Combination was accounted for as a reverse recapitalization, rather than a business combination, for financial accounting and reporting purposes. Accordingly, Old Sarcos was deemed the accounting acquirer (and legal acquiree) and Rotor was treated as the accounting acquiree (and legal acquirer). Under this method of accounting, the reverse recapitalization was treated as the equivalent of Old Sarcos issuing stock for the net assets of Rotor, accompanied by a recapitalization. The net assets of Rotor are stated at historical cost, with no goodwill or other intangible assets recorded. The consolidated assets, liabilities and results of operations prior to the Merger are those of Old Sarcos. The shares, and corresponding capital amounts and earnings per share available for common stockholders, prior to the Merger have been retroactively restated as shares reflecting the Exchange Ratio.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holder of Old Sarcos capital stock (including the Old Sarcos RSA) is entitled to a right to Contingent Merger Consideration following the closing of the Business Combination in the form of earn-outs, up to an aggregate of 28,125,000 shares of Common Stock (the “Earn-Out Shares”). The Earn-Out Shares will become payable as follows:</w:t>
      </w:r>
    </w:p>
    <w:p>
      <w:pPr>
        <w:spacing w:after="0" w:line="61" w:lineRule="exact"/>
        <w:rPr>
          <w:sz w:val="20"/>
          <w:szCs w:val="20"/>
          <w:color w:val="auto"/>
        </w:rPr>
      </w:pPr>
    </w:p>
    <w:p>
      <w:pPr>
        <w:jc w:val="both"/>
        <w:ind w:left="1020" w:hanging="503"/>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14,062,500 shares of Common Stock of the Company in the aggregate if the closing share price of a share of Common Stock of the Company is equal to or exceeds $15.00 for 20 trading days in any 30 consecutive trading day period at any time during the period beginning on the first anniversary of the Closing Date and ending on the fourth anniversary of the Closing Date.</w:t>
      </w:r>
    </w:p>
    <w:p>
      <w:pPr>
        <w:spacing w:after="0" w:line="6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14,062,500 shares of Common Stock of the Company if the closing share price of a share of Common Stock of the Company is equal to or exceeds $20.00 for 20 trading days in any 30 consecutive trading day period at any time during the period beginning on the first anniversary of the Closing Date and ending on the fifth anniversary of the Closing Date.</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Earn-Out Shares issuable to holders of Old Sarcos capital stock are accounted for as equity-linked instruments and recorded in additional paid-in capital, and the Earn-Out Shares issuable to holders of Old Sarcos capital stock subject to restricted stock awards are accounted for as share-based compensation. The Earn-Out Shares are treated as equity-linked instruments as opposed to shares outstanding, and as such are not included in shares outstanding on the Company’s condensed consolidated balance sheets.</w:t>
      </w:r>
    </w:p>
    <w:p>
      <w:pPr>
        <w:spacing w:after="0" w:line="17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Immediately following the Business Combination, the Company had 137,589,275 shares issued and outstanding of Common Stock. The following table presents the number of shares of the Company’s Common Stock outstanding immediately following the Business Combination: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20" w:type="dxa"/>
            <w:vAlign w:val="bottom"/>
          </w:tcPr>
          <w:p>
            <w:pPr>
              <w:spacing w:after="0"/>
              <w:rPr>
                <w:sz w:val="18"/>
                <w:szCs w:val="18"/>
                <w:color w:val="auto"/>
              </w:rPr>
            </w:pPr>
          </w:p>
        </w:tc>
        <w:tc>
          <w:tcPr>
            <w:tcW w:w="20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Number of Shares</w:t>
            </w:r>
          </w:p>
        </w:tc>
      </w:tr>
      <w:tr>
        <w:trPr>
          <w:trHeight w:val="202"/>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Rotor Class A Common Stock, outstanding prior to the Business Combination</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27,600,000</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Rotor Class B Common Stock, outstanding prior to the Business Combination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6,405,960</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Class A common stock issued to PIPE Investors</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22,000,000</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redemption of Rotor Common Stock</w:t>
            </w: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(23,479,970 )</w:t>
            </w:r>
          </w:p>
        </w:tc>
      </w:tr>
      <w:tr>
        <w:trPr>
          <w:trHeight w:val="19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shares from the Business Combination and PIPE financing</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32,525,990</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Recapitalization of Old Sarcos common stock into Class A common stock</w:t>
            </w:r>
            <w:r>
              <w:rPr>
                <w:rFonts w:ascii="Times New Roman" w:cs="Times New Roman" w:eastAsia="Times New Roman" w:hAnsi="Times New Roman"/>
                <w:sz w:val="21"/>
                <w:szCs w:val="21"/>
                <w:color w:val="auto"/>
                <w:vertAlign w:val="superscript"/>
              </w:rPr>
              <w:t>(1)</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105,063,285</w:t>
            </w:r>
          </w:p>
        </w:tc>
        <w:tc>
          <w:tcPr>
            <w:tcW w:w="100" w:type="dxa"/>
            <w:vAlign w:val="bottom"/>
          </w:tcPr>
          <w:p>
            <w:pPr>
              <w:spacing w:after="0"/>
              <w:rPr>
                <w:sz w:val="17"/>
                <w:szCs w:val="17"/>
                <w:color w:val="auto"/>
              </w:rPr>
            </w:pPr>
          </w:p>
        </w:tc>
      </w:tr>
      <w:tr>
        <w:trPr>
          <w:trHeight w:val="236"/>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shares of Common Stock immediately after the Business Combination</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137,589,275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ind w:left="600" w:hanging="218"/>
        <w:spacing w:after="0" w:line="254" w:lineRule="auto"/>
        <w:tabs>
          <w:tab w:leader="none" w:pos="563" w:val="left"/>
        </w:tabs>
        <w:numPr>
          <w:ilvl w:val="1"/>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number of Old Sarcos shares was determined from the 21,483,286 shares of Old Sarcos Common Stock warrants, Common Stock and Preferred Stock outstanding immediately prior to the closing of the Business Combination, which are presented net of the Common and Preferred Stock redeemed, converted at the Exchange Ratio of 5.129222424. This excludes a restricted stock award for 5,129,222 shares that was unvested as of the date of the Business Combination. All fractional shares were rounded down.</w:t>
      </w:r>
    </w:p>
    <w:p>
      <w:pPr>
        <w:spacing w:after="0" w:line="171" w:lineRule="exact"/>
        <w:rPr>
          <w:rFonts w:ascii="Times New Roman" w:cs="Times New Roman" w:eastAsia="Times New Roman" w:hAnsi="Times New Roman"/>
          <w:sz w:val="23"/>
          <w:szCs w:val="23"/>
          <w:color w:val="auto"/>
          <w:vertAlign w:val="superscript"/>
        </w:rPr>
      </w:pPr>
    </w:p>
    <w:p>
      <w:pPr>
        <w:ind w:left="180" w:hanging="172"/>
        <w:spacing w:after="0"/>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January 31, 2020, Old Sarcos issued 250,000 Class A Common Stock warrants to one of the Series C Preferred Stock investors, at an exercise price of $11.3243 per share with an expiration date of January 31, 2030. Immediately prior to the Effective Time, all of the issued and outstanding warrants to purchase 250,000 shares of Class A Stock of Old Sarcos warrants were net exercised and then upon the Closing were exchanged for shares of the Company’s Common Stock in an amount determined by application of the Exchange Ratio, as discussed in Note 1.</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January 20, 2021, Rotor consummated the initial public offering (“IPO”) of 27,600,000 units (the “Units”), including the full exercise by the underwriters of their over-allotment option. Each Unit included one share of Class A Common Stock and one half of one warrant (the “Public Warrants”). Simultaneously with the closing of the IPO, Rotor consummated the sale of 7,270,000 warrants (the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Public Warrants, that were recorded as equity instruments, and the Private Placement Warrants, that were recorded as warrant liabilities (together the “Warrants”).</w:t>
      </w:r>
    </w:p>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share of the Company's Common Stock at a price of $11.50 per share, subject to adjustment as discussed below, at any time commencing on January 20, 2022, provided that the Company has an effective registration statement under the Securities Act of 1933, as amended (the “Securities Act”) covering the shares of the Common Stock issuable upon exercise of the Warrants and a current prospectus relating to them is available (or the Company permits holders to exercise their Warrants on a cashless basis under the circumstances specified in the warrant agreement (the “Warrant Agreement”) entered into between Continental Stock Transfer &amp; Trust Company and Rotor and such shares are registered, qualified or exempt from registration under the securities laws of the state of residence of the holder. Pursuant to the Warrant Agreement, a Warrant holder may exercise its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Warrants only for a whole number of shares of the Company's Common Stock. The Warrants will expire five years after the completion of the Business Combination, or September 24, 2026, at 5:00 p.m., New York City time, or earlier upon redemption or liquidation.</w:t>
      </w:r>
    </w:p>
    <w:p>
      <w:pPr>
        <w:spacing w:after="0" w:line="13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will not be obligated to deliver any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the Company satisfying its obligations described below with respect to registration, or a valid exemption from registration is available. No Warrant will be exercisable, and the Company will not be obligated to issue a share of Common Stock upon exercise of a Warrant unless the share of the Company's Common Stock issuable upon such Warrant exercise has been registered, qualified or deemed to be exempt under the securities laws of the state of residence of the registered holder of the Warrants. If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a registration statement is not effective for the exercised Warrants, the purchaser in the Rotor IPO of a Unit containing such Warrant will have paid the full purchase price for the Unit solely for the share of the Company's Common Stock underlying such Unit.</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Except as described herein, the Private Placement Warrants have terms and provisions that are identical to those of the Public Warrants. If the Private Placement Warrants are held by holders other than the initial purchasers or their permitted transferees, the Private Placement Warrants will be redeemable by the Company in all redemption scenarios and exercisable by the holders on the same basis as the Public Warrants. The Private Placement Warrants will not be redeemable by the Company so long as they are held by the initial purchasers or their permitted transferees, subject to certain exceptions. The initial purchasers or their permitted transferees, have the option to exercise the Private Placement Warrants on a cashless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the Company's Common Stock Equals or Exceeds $18.00. </w:t>
      </w:r>
      <w:r>
        <w:rPr>
          <w:rFonts w:ascii="Times New Roman" w:cs="Times New Roman" w:eastAsia="Times New Roman" w:hAnsi="Times New Roman"/>
          <w:sz w:val="18"/>
          <w:szCs w:val="18"/>
          <w:color w:val="auto"/>
        </w:rPr>
        <w:t>Once the Warrants become exercisable,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call the Warrants for redemption:</w:t>
      </w:r>
    </w:p>
    <w:p>
      <w:pPr>
        <w:spacing w:after="0" w:line="165"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171"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shares of the Company's Common Stock for any 20 trading days within a 30-trading day period commencing after the Warrants become exercisable and ending three business days before the Company sends the notice of redemption to the Warrant holders (which is referred to as the “Reference Value”) equals or exceeds $18.00 per share (as adjusted for stock splits, stock dividends, reorganizations, recapitalizations and the like).</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and when the Warrants become redeemable by the Company, the Company may exercise its redemption right even if it is unable to register or qualify the underlying securities for sale under all applicable state securities laws. However, the Company will not redeem the Warrants unless an effective registration statement under the Securities Act covering the shares of the Company's Common Stock issuable upon exercise of the Warrants is effective and a current prospectus relating to those shares of the Company's Common Stock is available throughout the 30-day redemption period.</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Our Common Stock Equals or Exceeds $10.00. </w:t>
      </w:r>
      <w:r>
        <w:rPr>
          <w:rFonts w:ascii="Times New Roman" w:cs="Times New Roman" w:eastAsia="Times New Roman" w:hAnsi="Times New Roman"/>
          <w:sz w:val="18"/>
          <w:szCs w:val="18"/>
          <w:color w:val="auto"/>
        </w:rPr>
        <w:t>Once the Warrants become exercisable,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Warrants (except as described herein with respect to the Private Placement Warrants if the Company does not utilize this redemption provision):</w:t>
      </w:r>
    </w:p>
    <w:p>
      <w:pPr>
        <w:spacing w:after="0" w:line="149"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the Company's Common Stock;</w:t>
      </w:r>
    </w:p>
    <w:p>
      <w:pPr>
        <w:spacing w:after="0" w:line="142"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(as defined above) equals or exceeds $10.00 per share (as adjusted for stock splits, stock dividends, reorganizations, recapitalizations and the like); and</w:t>
      </w:r>
    </w:p>
    <w:p>
      <w:pPr>
        <w:spacing w:after="0" w:line="135" w:lineRule="exact"/>
        <w:rPr>
          <w:rFonts w:ascii="Times New Roman" w:cs="Times New Roman" w:eastAsia="Times New Roman" w:hAnsi="Times New Roman"/>
          <w:sz w:val="18"/>
          <w:szCs w:val="18"/>
          <w:color w:val="auto"/>
        </w:rPr>
      </w:pPr>
    </w:p>
    <w:p>
      <w:pPr>
        <w:jc w:val="both"/>
        <w:ind w:left="760" w:hanging="378"/>
        <w:spacing w:after="0" w:line="247"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stock splits, stock dividends, reorganizations, recapitalizations and the like) the Private Placement Warrants must also be concurrently called for redemption on the same terms (except as described above with respect to a holder’s ability to cashless exercise its Warrants) as the outstanding Public Warrants, as described above.</w:t>
      </w: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 w:name="page21"/>
    <w:bookmarkEnd w:id="20"/>
    <w:p>
      <w:pPr>
        <w:ind w:right="8960" w:firstLine="8"/>
        <w:spacing w:after="0" w:line="487" w:lineRule="auto"/>
        <w:tabs>
          <w:tab w:leader="none" w:pos="1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2021 Stock Plan</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September 15, 2021, the stockholders of the Company approved the Sarcos Technology and Robotics Corporation 2021 Equity Incentive Plan (the “2021 Plan”), and on the Closing Date, the 2021 Plan was approved by the board of directors. The 2021 Plan provides stock option awards, RSUs and RSAs for issuance to Company employees, officers, directors, non-employee agents and consultants. In general, these awards vest over one to four years and, in the case of options, are exercisable up to 10 years from the date of grant. The maximum number of shares of Common Stock that may be issued pursuant to the 2021 Plan is (i) 30.0 million shares of Common Stock of the Company plus (ii) any shares of Common Stock subject to stock options and other awards that were assumed in the Business Combination and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pursuant to clause (ii) equal to 12.8 million shares of Common Stock. As of September 30, 2022, 26.0 million shares were available to grant under the 2021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Old Sarcos 2015 Equity Incentive Plan (the “2015 Plan”) provided stock option awards, RSUs and RSAs for issuance to Company employees, officers, directors, non-employee agents and consultants. These awards generally vest over three to five years and are exercisable up to 10 years from the date of grant. Unvested options are forfeited upon termination. Following the closing of the Business Combination, no further awards may be made under the 2015 Plan. Any forfeited awards will be added to the 2021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RE2 Stock Plans</w:t>
      </w:r>
    </w:p>
    <w:p>
      <w:pPr>
        <w:spacing w:after="0" w:line="21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RE2, the Company assumed the outstanding stock plans and certain outstanding stock options of RE2. These stock options are governed by the plans and agreements under which they were originally issued, but are now exercisable for shares of Common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Activity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stock option activity for the nine months ended September 30,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366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Contractual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40" w:type="dxa"/>
            <w:vAlign w:val="bottom"/>
          </w:tcPr>
          <w:p>
            <w:pPr>
              <w:spacing w:after="0"/>
              <w:rPr>
                <w:sz w:val="15"/>
                <w:szCs w:val="15"/>
                <w:color w:val="auto"/>
              </w:rPr>
            </w:pPr>
          </w:p>
        </w:tc>
        <w:tc>
          <w:tcPr>
            <w:tcW w:w="19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5"/>
                <w:szCs w:val="15"/>
                <w:color w:val="auto"/>
              </w:rPr>
            </w:pPr>
          </w:p>
        </w:tc>
        <w:tc>
          <w:tcPr>
            <w:tcW w:w="1600" w:type="dxa"/>
            <w:vAlign w:val="bottom"/>
          </w:tcPr>
          <w:p>
            <w:pPr>
              <w:jc w:val="right"/>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260" w:type="dxa"/>
            <w:vAlign w:val="bottom"/>
          </w:tcPr>
          <w:p>
            <w:pPr>
              <w:spacing w:after="0"/>
              <w:rPr>
                <w:sz w:val="15"/>
                <w:szCs w:val="15"/>
                <w:color w:val="auto"/>
              </w:rPr>
            </w:pPr>
          </w:p>
        </w:tc>
        <w:tc>
          <w:tcPr>
            <w:tcW w:w="1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center"/>
              <w:ind w:right="99"/>
              <w:spacing w:after="0" w:line="175"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2021</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10,027,094</w:t>
            </w:r>
          </w:p>
        </w:tc>
        <w:tc>
          <w:tcPr>
            <w:tcW w:w="3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60" w:type="dxa"/>
            <w:vAlign w:val="bottom"/>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3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00"/>
              <w:spacing w:after="0" w:line="203" w:lineRule="exact"/>
              <w:rPr>
                <w:sz w:val="20"/>
                <w:szCs w:val="20"/>
                <w:color w:val="auto"/>
              </w:rPr>
            </w:pPr>
            <w:r>
              <w:rPr>
                <w:rFonts w:ascii="Times New Roman" w:cs="Times New Roman" w:eastAsia="Times New Roman" w:hAnsi="Times New Roman"/>
                <w:sz w:val="16"/>
                <w:szCs w:val="16"/>
                <w:color w:val="auto"/>
              </w:rPr>
              <w:t xml:space="preserve">Granted </w:t>
            </w:r>
            <w:r>
              <w:rPr>
                <w:rFonts w:ascii="Times New Roman" w:cs="Times New Roman" w:eastAsia="Times New Roman" w:hAnsi="Times New Roman"/>
                <w:sz w:val="21"/>
                <w:szCs w:val="21"/>
                <w:color w:val="auto"/>
                <w:vertAlign w:val="superscript"/>
              </w:rPr>
              <w:t>(a)</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6,217,705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Exercised</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(1,858,164 )</w:t>
            </w: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26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(1,139,748 )</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September 30, 2022</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13,246,887</w:t>
            </w:r>
          </w:p>
        </w:tc>
        <w:tc>
          <w:tcPr>
            <w:tcW w:w="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26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3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11,555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 December 31, 2021</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5,176,464</w:t>
            </w: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Exercisable – September 30, 2022</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8,039,111</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6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10,973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-299720</wp:posOffset>
            </wp:positionV>
            <wp:extent cx="77470" cy="145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-299720</wp:posOffset>
            </wp:positionV>
            <wp:extent cx="77470" cy="145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-299720</wp:posOffset>
            </wp:positionV>
            <wp:extent cx="68580" cy="145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145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-25400</wp:posOffset>
            </wp:positionV>
            <wp:extent cx="77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-8255</wp:posOffset>
            </wp:positionV>
            <wp:extent cx="774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77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40" w:firstLine="8"/>
        <w:spacing w:after="0" w:line="296" w:lineRule="auto"/>
        <w:tabs>
          <w:tab w:leader="none" w:pos="24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acquisition of RE2, the Company assumed certain outstanding options to acquire RE2 common stock which, following such assumption, were converted to rights to acquire 3.9 million shares of the Company's common stock at a weighted-average exercise price of $1.05 per share.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Restricted Stock Units Activity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RSU activity for the nine months ended September 30,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342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7720" w:type="dxa"/>
            <w:vAlign w:val="bottom"/>
          </w:tcPr>
          <w:p>
            <w:pPr>
              <w:spacing w:after="0"/>
              <w:rPr>
                <w:sz w:val="12"/>
                <w:szCs w:val="12"/>
                <w:color w:val="auto"/>
              </w:rPr>
            </w:pPr>
          </w:p>
        </w:tc>
        <w:tc>
          <w:tcPr>
            <w:tcW w:w="17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12"/>
                <w:szCs w:val="12"/>
                <w:color w:val="auto"/>
              </w:rPr>
            </w:pPr>
          </w:p>
        </w:tc>
        <w:tc>
          <w:tcPr>
            <w:tcW w:w="1520" w:type="dxa"/>
            <w:vAlign w:val="bottom"/>
          </w:tcPr>
          <w:p>
            <w:pPr>
              <w:jc w:val="right"/>
              <w:ind w:right="139"/>
              <w:spacing w:after="0" w:line="145"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72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Grant-Date Fair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2021</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1,797,474</w:t>
            </w: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2,524,836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Released</w:t>
            </w: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(832,761 )</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(276,986 )</w:t>
            </w: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September 30, 2022</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3,212,563</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 Activity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RSA activity for the nine months ended September 30, 2022: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346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Restricted Stock Awards Outstanding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680" w:type="dxa"/>
            <w:vAlign w:val="bottom"/>
          </w:tcPr>
          <w:p>
            <w:pPr>
              <w:spacing w:after="0"/>
              <w:rPr>
                <w:sz w:val="13"/>
                <w:szCs w:val="13"/>
                <w:color w:val="auto"/>
              </w:rPr>
            </w:pPr>
          </w:p>
        </w:tc>
        <w:tc>
          <w:tcPr>
            <w:tcW w:w="18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13"/>
                <w:szCs w:val="13"/>
                <w:color w:val="auto"/>
              </w:rPr>
            </w:pPr>
          </w:p>
        </w:tc>
        <w:tc>
          <w:tcPr>
            <w:tcW w:w="1520" w:type="dxa"/>
            <w:vAlign w:val="bottom"/>
          </w:tcPr>
          <w:p>
            <w:pPr>
              <w:jc w:val="right"/>
              <w:ind w:right="139"/>
              <w:spacing w:after="0" w:line="156"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68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Grant-Date Fair 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2021</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5,129,222</w:t>
            </w: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Released</w:t>
            </w: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(3,873,781 )</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Outstanding – September 30, 2022</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1,282,306</w:t>
            </w:r>
          </w:p>
        </w:tc>
        <w:tc>
          <w:tcPr>
            <w:tcW w:w="2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-161925</wp:posOffset>
            </wp:positionV>
            <wp:extent cx="68580"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Sarcos RSA holder is eligible to receive additional shares upon achievement of earn-out targets as discussed in Note 7 above.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expense in the condensed consolidated statement of operations and comprehensive loss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100" w:type="dxa"/>
            <w:vAlign w:val="bottom"/>
          </w:tcPr>
          <w:p>
            <w:pPr>
              <w:spacing w:after="0"/>
              <w:rPr>
                <w:sz w:val="18"/>
                <w:szCs w:val="18"/>
                <w:color w:val="auto"/>
              </w:rPr>
            </w:pPr>
          </w:p>
        </w:tc>
      </w:tr>
      <w:tr>
        <w:trPr>
          <w:trHeight w:val="202"/>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3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FF0FC"/>
          </w:tcPr>
          <w:p>
            <w:pPr>
              <w:spacing w:after="0"/>
              <w:rPr>
                <w:sz w:val="17"/>
                <w:szCs w:val="17"/>
                <w:color w:val="auto"/>
              </w:rPr>
            </w:pPr>
          </w:p>
        </w:tc>
      </w:tr>
      <w:tr>
        <w:trPr>
          <w:trHeight w:val="202"/>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7"/>
                <w:szCs w:val="17"/>
                <w:color w:val="auto"/>
              </w:rPr>
            </w:pPr>
          </w:p>
        </w:tc>
      </w:tr>
      <w:tr>
        <w:trPr>
          <w:trHeight w:val="203"/>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3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3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shd w:val="clear" w:color="auto" w:fill="CFF0FC"/>
          </w:tcPr>
          <w:p>
            <w:pPr>
              <w:spacing w:after="0"/>
              <w:rPr>
                <w:sz w:val="17"/>
                <w:szCs w:val="17"/>
                <w:color w:val="auto"/>
              </w:rPr>
            </w:pPr>
          </w:p>
        </w:tc>
      </w:tr>
      <w:tr>
        <w:trPr>
          <w:trHeight w:val="203"/>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8,021</w:t>
            </w:r>
          </w:p>
        </w:tc>
        <w:tc>
          <w:tcPr>
            <w:tcW w:w="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29,440</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28,406</w:t>
            </w:r>
          </w:p>
        </w:tc>
        <w:tc>
          <w:tcPr>
            <w:tcW w:w="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29,632</w:t>
            </w:r>
          </w:p>
        </w:tc>
        <w:tc>
          <w:tcPr>
            <w:tcW w:w="100" w:type="dxa"/>
            <w:vAlign w:val="bottom"/>
          </w:tcPr>
          <w:p>
            <w:pPr>
              <w:spacing w:after="0"/>
              <w:rPr>
                <w:sz w:val="17"/>
                <w:szCs w:val="17"/>
                <w:color w:val="auto"/>
              </w:rPr>
            </w:pPr>
          </w:p>
        </w:tc>
      </w:tr>
      <w:tr>
        <w:trPr>
          <w:trHeight w:val="236"/>
        </w:trPr>
        <w:tc>
          <w:tcPr>
            <w:tcW w:w="3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8,466</w:t>
            </w:r>
          </w:p>
        </w:tc>
        <w:tc>
          <w:tcPr>
            <w:tcW w:w="3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30,367</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29,586</w:t>
            </w:r>
          </w:p>
        </w:tc>
        <w:tc>
          <w:tcPr>
            <w:tcW w:w="3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30,758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-24765</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for the three and nine months ended September 30, 2022 and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5"/>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00" w:type="dxa"/>
            <w:vAlign w:val="bottom"/>
          </w:tcPr>
          <w:p>
            <w:pPr>
              <w:spacing w:after="0"/>
              <w:rPr>
                <w:sz w:val="16"/>
                <w:szCs w:val="16"/>
                <w:color w:val="auto"/>
              </w:rPr>
            </w:pPr>
          </w:p>
        </w:tc>
        <w:tc>
          <w:tcPr>
            <w:tcW w:w="2400" w:type="dxa"/>
            <w:vAlign w:val="bottom"/>
            <w:gridSpan w:val="5"/>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5"/>
        </w:trPr>
        <w:tc>
          <w:tcPr>
            <w:tcW w:w="5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gridSpan w:val="5"/>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7"/>
                <w:szCs w:val="17"/>
                <w:color w:val="auto"/>
              </w:rPr>
            </w:pPr>
          </w:p>
        </w:tc>
        <w:tc>
          <w:tcPr>
            <w:tcW w:w="2400" w:type="dxa"/>
            <w:vAlign w:val="bottom"/>
            <w:gridSpan w:val="5"/>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(22,499 )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(36,985 )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(64,819 )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(47,446 )</w:t>
            </w: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Weighted average shares outstanding, basic and diluted</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150,940,534</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106,614,893</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145,082,671</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104,922,111</w:t>
            </w:r>
          </w:p>
        </w:tc>
        <w:tc>
          <w:tcPr>
            <w:tcW w:w="10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Anti-dilutive securities, excluded</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67,816,209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63,604,202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67,816,209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63,604,202</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-167005</wp:posOffset>
            </wp:positionV>
            <wp:extent cx="2717165"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717165" cy="171450"/>
                    </a:xfrm>
                    <a:prstGeom prst="rect">
                      <a:avLst/>
                    </a:prstGeom>
                    <a:noFill/>
                  </pic:spPr>
                </pic:pic>
              </a:graphicData>
            </a:graphic>
          </wp:anchor>
        </w:drawing>
      </w:r>
    </w:p>
    <w:p>
      <w:pPr>
        <w:spacing w:after="0" w:line="18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The Company has presented the unaudited basic and diluted net loss per share for the three and nine months ended September 30, 2021, which has been adjusted to give effect to the conversion of the Old Sarcos Class B common stock and all convertible preferred stock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into Old Sarcos Class A common stock as though the conversion had occurred as of the beginning of the period or the original date of issuance, if later.</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Company incurred a net loss for the three and nine months ended September 30, 2022 and 2021, none of the outstanding dilutive share-based awards were included in the diluted share calculation as they would have been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To determine the Company’s quarterly provision for income taxes, the Company used an estimated annual effective tax rate that is based on expected annual income and statutory tax rates in the various jurisdictions in which the Company operates. Certain significant unusual or infrequently occurring items that are separately reported are separately recognized in the quarter during which they occur and can be a source of variability in the effective tax rate from quarter to quarter.</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recognized income tax benefits of $2.5 million and $4.1 million for the three and nine months ended September 30, 2022, respectively, as compared to income tax expense of $0.0 million for the three and nine months ended September 30, 2021. The provision for income taxes for the three and nine months ended September 30, 2022 and 2021 is based on the Company’s estimated annualized effective tax rate for the fiscal years ending December 31, 2022 and December 31, 2021, respectively. For the three and nine months ended September 30, 2022, the Company’s recognized effective tax rate differs from the U.S. federal statutory rate as the Company recorded net losses during the period with a corresponding full valuation allowance on the net deferred tax assets created from the losses, offset by tax benefits from the acquisition of RE2 net deferred tax liabilities, which resulted in the removal of a portion of the Company's previously recorded valuation allowance.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has been and may be involved in various claims, lawsuits, investigations and other proceedings in the normal course of the business. The Company accrues a liability when management believes information available prior to the issuance of the condensed consolidated financial statements indicates it is probable a loss has been incurred as of the date of the financial statements and the amount of loss can be reasonably estimated. The Company adjusts its accruals to reflect the impact of negotiation, settlements, rulings, advice of legal counsel and other information and events pertaining to a particular case. Legal costs are expensed as incurred. Although claims are inherently unpredictable, the Company currently is not aware of any matters that may have a material adverse effect on its business, financial position, results of operations or cash flows. Accordingly, the Company has not recorded any material loss contingency related to legal proceedings in the balance sheet as of September 30, 2022 and December 31, 2021.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As of September 30, 2022 and December 31, 2021, the Company has not accrued a liability for these indemnification obligations as the likelihood of incurring a material payment obligation in connection with these indemnification obligations is either not probable or not reasonably estimable due to the unique facts and circumstances involved.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facilities under noncancelable operating lease agreements. Future minimum rental payments under the noncancelable operating leases, subsequent to September 30, 2022,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00" w:type="dxa"/>
            <w:vAlign w:val="bottom"/>
          </w:tcPr>
          <w:p>
            <w:pPr>
              <w:spacing w:after="0"/>
              <w:rPr>
                <w:sz w:val="18"/>
                <w:szCs w:val="18"/>
                <w:color w:val="auto"/>
              </w:rPr>
            </w:pPr>
          </w:p>
        </w:tc>
      </w:tr>
      <w:tr>
        <w:trPr>
          <w:trHeight w:val="19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00" w:type="dxa"/>
            <w:vAlign w:val="bottom"/>
          </w:tcPr>
          <w:p>
            <w:pPr>
              <w:spacing w:after="0"/>
              <w:rPr>
                <w:sz w:val="17"/>
                <w:szCs w:val="17"/>
                <w:color w:val="auto"/>
              </w:rPr>
            </w:pPr>
          </w:p>
        </w:tc>
      </w:tr>
      <w:tr>
        <w:trPr>
          <w:trHeight w:val="203"/>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0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tcPr>
          <w:p>
            <w:pPr>
              <w:spacing w:after="0"/>
              <w:rPr>
                <w:sz w:val="17"/>
                <w:szCs w:val="17"/>
                <w:color w:val="auto"/>
              </w:rPr>
            </w:pPr>
          </w:p>
        </w:tc>
      </w:tr>
      <w:tr>
        <w:trPr>
          <w:trHeight w:val="203"/>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0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 and thereafter</w:t>
            </w: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10,564</w:t>
            </w:r>
          </w:p>
        </w:tc>
        <w:tc>
          <w:tcPr>
            <w:tcW w:w="100" w:type="dxa"/>
            <w:vAlign w:val="bottom"/>
          </w:tcPr>
          <w:p>
            <w:pPr>
              <w:spacing w:after="0"/>
              <w:rPr>
                <w:sz w:val="17"/>
                <w:szCs w:val="17"/>
                <w:color w:val="auto"/>
              </w:rPr>
            </w:pPr>
          </w:p>
        </w:tc>
      </w:tr>
      <w:tr>
        <w:trPr>
          <w:trHeight w:val="236"/>
        </w:trPr>
        <w:tc>
          <w:tcPr>
            <w:tcW w:w="9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17,660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3" w:name="page24"/>
    <w:bookmarkEnd w:id="23"/>
    <w:p>
      <w:pPr>
        <w:jc w:val="both"/>
        <w:spacing w:after="0" w:line="250" w:lineRule="auto"/>
        <w:rPr>
          <w:sz w:val="20"/>
          <w:szCs w:val="20"/>
          <w:color w:val="auto"/>
        </w:rPr>
      </w:pPr>
      <w:r>
        <w:rPr>
          <w:rFonts w:ascii="Times New Roman" w:cs="Times New Roman" w:eastAsia="Times New Roman" w:hAnsi="Times New Roman"/>
          <w:sz w:val="18"/>
          <w:szCs w:val="18"/>
          <w:color w:val="auto"/>
        </w:rPr>
        <w:t>Rent expense related to noncancelable operating leases totaled $0.5 million for the three months ended September 30, 2022 and 2021. Rent expense related to noncancelable operating leases totaled $1.2 million for the nine months ended September 30, 2022 and 2021. The operating lease terms include renewal options ranging from two to five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Leases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leases equipment under agreements expiring at various times during the next three years. The Company has recorded the capital lease obligations within its condensed consolidated balance sheets. Future minimum rental payments under the noncancelable capital leases, subsequent to September 30, 2022, are not significant.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Commitments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4, 2021, the Company entered into an agreement with Palantir Technologies (“Palantir”). Pursuant to that agreement, the Company committed to purchase licenses to access software products and utilize services from Palantir over a six year period for a total cost to the Company of $42.0 million. As of September 30, 2022, the Company has an unconditional purchase commitment with Palantir as detailed in the table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Annual Service</w:t>
            </w:r>
          </w:p>
        </w:tc>
        <w:tc>
          <w:tcPr>
            <w:tcW w:w="100" w:type="dxa"/>
            <w:vAlign w:val="bottom"/>
          </w:tcPr>
          <w:p>
            <w:pPr>
              <w:spacing w:after="0"/>
              <w:rPr>
                <w:sz w:val="16"/>
                <w:szCs w:val="16"/>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100" w:type="dxa"/>
            <w:vAlign w:val="bottom"/>
          </w:tcPr>
          <w:p>
            <w:pPr>
              <w:spacing w:after="0"/>
              <w:rPr>
                <w:sz w:val="18"/>
                <w:szCs w:val="18"/>
                <w:color w:val="auto"/>
              </w:rPr>
            </w:pPr>
          </w:p>
        </w:tc>
      </w:tr>
      <w:tr>
        <w:trPr>
          <w:trHeight w:val="196"/>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7"/>
                <w:szCs w:val="17"/>
                <w:color w:val="auto"/>
              </w:rPr>
            </w:pPr>
          </w:p>
        </w:tc>
      </w:tr>
      <w:tr>
        <w:trPr>
          <w:trHeight w:val="236"/>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Company recognized $0.9 million and $2.7 million in sales and marketing expenses related to services provided under the Palantir contract during the three and nine months ended September 30, 2022, respectively. The Company had a prepaid expense balance of $0.9 million related to the Palantir contract as of September 30,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Chief Executive Officer (“CEO”) is the Chief Operating Decision Maker (“CODM”). The CODM allocates resources and makes operating decisions based on financial information presented on a consolidated basis. The CODM does not evaluate profitability below the level of the consolidated company. Accordingly, the Company has determined that it has a single reportable segment and operating segment structure.</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revenue is derived primarily from U.S. customers. During the three and nine months ended September 30, 2022, the Company had $1.3 million and $1.9 million, respectively, of revenue earned from customers located outside the United States. During the three and nine months ended September 30, 2021, the Company had no material revenue earned from customers located outside the United States.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long-lived assets are maintained in the United States. All losses are attributable to operations within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May 16, 2021, the Company entered into an agreement with Sparks Marketing Corp. to begin the construction of an experiential marketing mobile display to be used for demonstrations of Company products at prospective customer locations as well as other marketing and demonstration events. Negotiations of this agreement involved an account executive at Sparks Marketing Corp. who is the brother-in-law of Mr. Wolff, our former CEO and current Executive Chairman of the Board. The Company has capitalized $0.8 million related to construction in progress for the experiential mobile display as of September 30,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Benefits</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has defined contribution 401(k) plans covering substantially all employees as of September 30, 2022. The plans allow employees to defer up to 100% of their employment income (subject to annual contribution limits imposed by the I.R.S.) after all taxes and applicable benefit deductions. In April 2022 the Company began providing employees with 401(k) matching contributions.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Throughout this section, unless otherwise noted, the “Company,” “Sarcos Technology and Robotics Corporation,” "Sarcos," “we,” “us,” and “our” refers to Sarcos Technology and Robotics Corporation, and its subsidiaries, collectively. You should read the following discussion and analysis of our financial condition and results of operations in conjunction with our unaudited interim condensed consolidated financial statements and related notes thereto included elsewhere in this Quarterly Report (this “Report”) as well as our Annual Report on Form 10-K for the fiscal year ended December 31, 2021 (the “2021 Form 10-K”) and our other filings, including Current Reports on Form 8-K, that we have filed with the SEC through the date of this Report. As discussed in the Special Note Regarding Forward-Looking Statements below,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II Item 1A Risk Factors and elsewhere in this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Section 27A of the Securities Act of 1933, as amended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spacing w:after="0" w:line="69"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RE2 and achieve the expected benefits of the acquisition;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or obtain RaaS subscriptions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roadmap, including the expected timing of product releases;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overcome supply chain challenges, including increases in the cost of and interruptions in the supply or availability of components, parts and materials;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with the necessary experience;</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that meet our customers’ requirements and to successfully transition to high volume manufacturing of our products by third-party manufacturers or by 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financial and operating information;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future businesses and technologies;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global economic and geopolitical conditions on our business and the business of our customers;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and expenses;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modified or new laws and regulations applicable to our business;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 including plans to expand our product availability globally;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and the outcome of any known and unknown litigation and regulatory proceedings;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brand;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w:t>
      </w:r>
    </w:p>
    <w:p>
      <w:pPr>
        <w:spacing w:after="0" w:line="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“intend,” “expect,” “anticipate,” “believe,” “seek,” “target” or similar expressions.</w:t>
      </w: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5" w:name="page26"/>
    <w:bookmarkEnd w:id="25"/>
    <w:p>
      <w:pPr>
        <w:jc w:val="both"/>
        <w:spacing w:after="0" w:line="250"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technology leader in industrial highly-dexterous mobile robotic systems for use in unstructured environments. Our mission is to increase worker productivity and longevity and prevent injuries through robotics. The robotic systems we are developing are designed to combine human intelligence, instinct, and judgment with the strength, endurance and precision of machines. Our products are designed to augment, rather than replace, humans.</w:t>
      </w:r>
    </w:p>
    <w:p>
      <w:pPr>
        <w:spacing w:after="0" w:line="1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have adopted a multi-generational product roadmap such that development activities for products and programs are leveraged across the product portfolio. Our highest priority is on commercialization of our Guardian XT and Sapien 6M products for work-at-height use cases, which we believe will maximize near term product revenue potential, and solar field construction use cases, which represents a significant revenue generation opportunity but which will require additional development prior to commercialization. We will also pursue development of Guardian XO use cases, airport apron automation use cases, and subsea use cases, as well as longer term opportunities. For example, we are working to accelerate commercialization of our Sapien Sea Class product, a one or two arm, highly dexterous robotic system that is attached to a remotely operated vehicle, or ROV, and is designed to perform inspection, object retrieval and other tasks underwater, including in the deep ocean. A substantial majority of our resources will be dedicated to our near term priorities while ensuring that we also advance our technological solutions for other opportunities.</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plan to offer our Guardian XO and Guardian XT robotic systems primarily through a Robot-as-a-Service, or RaaS, subscription-based service model that will give customers the convenience of on-going maintenance, support, remote monitoring and software upgrades in addition to use of our products. We also anticipate that some customers will prefer to purchase these products rather than enter into RaaS subscriptions. We currently do not have any RaaS subscription agreements. As a result of our acquisition of RE2 on April 25, 2022, we now offer the Sapien line of robotic systems. We believe that Sapien products will generally be sold, though we may also enter into RaaS subscriptions with customers with respect to our Sapien products. Revenue from our products are currently derived generally from development and sales contracts, rather than subscription arrangements.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both our capital and operating expenditures will increase significantly in connection with our ongoing activities, as we:</w:t>
      </w:r>
    </w:p>
    <w:p>
      <w:pPr>
        <w:spacing w:after="0" w:line="171"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commercialize our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collaborate on production systems for manufacturing efforts in-house and by third-parties;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our technology and product research and development efforts;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improve our operational, financial and management information systems;</w:t>
      </w:r>
    </w:p>
    <w:p>
      <w:pPr>
        <w:spacing w:after="0" w:line="18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and retain additional personnel to support and sustain our needs in commercializing our products, producing them and delivering them to customers;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for commercial distribution and placement of our robotic systems;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 w:name="page27"/>
    <w:bookmarkEnd w:id="26"/>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and administer our maintenance and servicing infrastructure; and</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expand our intellectual property portfolio.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 to COVID-19</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January 30, 2020, the World Health Organization declared the COVID-19 outbreak a “Public Health Emergency of International Concern” and on March 11, 2020, declared it to be a pandemic. Actions taken around the world to help mitigate the spread of COVID-19 include restrictions on travel, quarantines in certain areas and forced closures for certain types of public places and businesses. COVID-19 and actions taken to mitigate its spread have had and are expected to continue to have an adverse impact on the economies and financial markets of many countries, including the geographies in which Sarcos operates.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took several actions in response to the COVID-19 pandemic that resulted in significant disruptions to how we operate our business. Our customers and partners have adopted similar policies. These actions and policies of ours and our customers and partners are evolving as laws, regulations and recommendations evolve. Although many of these measures are no longer in effect, we have experienced, and may continue to experience, an adverse impact on certain parts of our business as a result of measures to mitigate the COVID-19 pandemic and their resulting economic effects. Further, discontinued measures could be reinstituted, for example as a result of government requirements or in response to new variants of COVID-19.</w:t>
      </w:r>
    </w:p>
    <w:p>
      <w:pPr>
        <w:spacing w:after="0" w:line="1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experienced and may continue to experience disruptions in our supply chain, due in part to the global impact of the COVID-19 pandemic. Depending upon the duration of the ongoing COVID-19 pandemic and the associated business interruptions, our customers, suppliers, manufacturers and partners may suspend or delay their engagements with us, which could result in a material adverse effect on our financial condition and ability to meet current timelines. In an effort to manage potential supply chain risks, in particular increasing and unpredictable lead-times, we have accelerated and expect to continue to accelerate purchases of various materials, parts and components for the foreseeable future to support product development and current and future production of our commercial units, which has and will likely continue to increase our use of cash. In addition, the COVID-19 pandemic has affected and may continue to affect our ability to recruit skilled employees to join our team. The conditions caused by the pandemic have adversely affected and may continue to adversely affect, among other things, demand for our products and the ability to test and assess our robotic systems with potential customers any of which adversely affects our business, results of operations and financial condition. The duration and extent of the COVID -19 pandemic and its impacts cannot be accurately predicted at this time, and the ultimate direct and indirect impacts on our business, results of operations and financial condition will depend on future developments that are highly uncertain.</w:t>
      </w:r>
    </w:p>
    <w:p>
      <w:pPr>
        <w:spacing w:after="0" w:line="188"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18"/>
          <w:szCs w:val="18"/>
          <w:color w:val="auto"/>
        </w:rPr>
        <w:t>We have also experienced, and may continue to experience, certain positive financial impacts on other aspects of our business, including a reduction in certain operating expenses due to reduced business travel, deferred hiring for some positions, and the virtualization or cancellation of customer and employee events. However, as restrictions ease we are incurring increased travel and other such expenses, though the exact timing and amounts of such increases are not predictable. Additionally, we believe that the COVID-19 pandemic could also enhance customer interest in our products as a means to assist and protect the current labor force and that our products are well suited to the new working environment as a result of the pandemic.</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global impact of COVID-19 continues to rapidly evolve, and we will continue to monitor the situation and the effects on our business and operations closely. We do not yet know the full extent of potential impacts on our business or operations. In particular, the effect of the COVID-19 pandemic may not be fully reflected in our operating results until future periods. Given this uncertainty, we cannot reasonably estimate the impact of the COVID-19 pandemic on our future results of operations, cash flows, or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Part II Item 1A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Testing and Commercial Launch of our Core Products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expect that revenue from the commercial launch of our core products, the Guardian XT, Sapien 6M and Guardian XO, will determine our financial success. We began initial production of commercial units of the Sapien 6M during the third quarter of 2022, and we currently believe that we will begin initial production of commercial units of the Guardian XT by the end of 2022, in each case to be available for delivery to customers in the first half of 2023. We have completed the final build of our pre-commercial units of the Guardian XT and have allocated these units for additional customer engagements, developing our manufacturing readiness and reliability testing as we prepare for initial production of commercial units and commercial release. In large part due to significant supply chain disruptions that have limited our supply of parts common to both the Guardian XO and Guardian XT and certain parts pertaining to the Guardian XO, we have prioritized the commercialization of the Guardian XT and Sapien 6M and delayed the commercial launch of the Guardian XO. We chose to prioritize the Guardian XT and Sapien 6M as we were closer to completing development of commercial units for those products and initial demand for those products appears strong, and our ongoing re-design of the Guardian XO in order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jc w:val="both"/>
        <w:spacing w:after="0" w:line="250" w:lineRule="auto"/>
        <w:rPr>
          <w:sz w:val="20"/>
          <w:szCs w:val="20"/>
          <w:color w:val="auto"/>
        </w:rPr>
      </w:pPr>
      <w:r>
        <w:rPr>
          <w:rFonts w:ascii="Times New Roman" w:cs="Times New Roman" w:eastAsia="Times New Roman" w:hAnsi="Times New Roman"/>
          <w:sz w:val="18"/>
          <w:szCs w:val="18"/>
          <w:color w:val="auto"/>
        </w:rPr>
        <w:t>decrease its weight and integrate customer feedback will require additional time to complete. As a result, we currently anticipate beginning initial production of commercial units of the Guardian XO in the second half of 2023. Such timelines may be delayed, including due to challenges in recruiting skilled employees, difficulties in securing components and materials, development delays, difficulties relating to manufacturing of the units and other factors discussed under Part II Item 1A Risk Factors “</w:t>
      </w:r>
      <w:r>
        <w:rPr>
          <w:rFonts w:ascii="Times New Roman" w:cs="Times New Roman" w:eastAsia="Times New Roman" w:hAnsi="Times New Roman"/>
          <w:sz w:val="18"/>
          <w:szCs w:val="18"/>
          <w:i w:val="1"/>
          <w:iCs w:val="1"/>
          <w:color w:val="auto"/>
        </w:rPr>
        <w:t>Risks Related to Our Business and Industry.</w:t>
      </w:r>
      <w:r>
        <w:rPr>
          <w:rFonts w:ascii="Times New Roman" w:cs="Times New Roman" w:eastAsia="Times New Roman" w:hAnsi="Times New Roman"/>
          <w:sz w:val="18"/>
          <w:szCs w:val="18"/>
          <w:color w:val="auto"/>
        </w:rPr>
        <w:t>” Such challenges may result in further delay of the anticipated commercial launch of one or more of our products, which would adversely affect our financial condition and operating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of Operations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Prior to commercialization, we must complete the development, testing and manufacturing requirements of our products. As a result, we will spend a material portion of our cash on hand to develop our products and fund operations for the foreseeable future. The amount and timing of our future funding requirements will depend on many factors, including the pace and results of our product development efforts, our ability to manufacture, sell and deliver commercial products and thereby recognize associated revenue, capital requirements to build commercial products prior to receiving payments sufficient to cover our costs (especially in the case of RaaS subscription contracts) and our ability to lower product costs as volumes increase. We currently expect to obtain outside financing to help cover production costs for product orders. In addition, although we believe we have sufficient capital to fund our business for at least the next 12 months, we expect to seek additional financing during that time to bolster our cash reserves and ensure our ability to continue to pursue our business objectives. Any delays in the successful completion of the commercialization of our Guardian XT, Sapien 6M and Guardian XO products will negatively impact our ability to generate revenue, our profitability and our overall operating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 of RE2</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April 25, 2022, we acquired RE2, Inc., a Pittsburgh, PA based developer of manipulator arms with human-like performance, intuitive robot interfaces and advanced autonomy capabilities for use in any environment. At closing, we paid approximately $30 million in cash, net of cash acquired, issued approximately 10.8 million shares of Common Stock and assumed certain outstanding options to acquire RE2 common stock which, following such assumption, represent rights to acquire 3.9 million shares of Common Stock. The results presented and discussed below include the activity for RE2 from the acquisition date through September 30, 2022. Our results do not include RE2’s financial information prior to the acquisition.</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still in the process of integrating with RE2. While we believe that both organizations share common values and cultures and that the acquisition will help us expand our product portfolio, serve additional markets and further our product development efforts, integration involves significant risk and management attention. If these efforts divert management time and company resources from our product development efforts, the commercial production and release of our Guardian XO and Guardian XT products could be delayed. The development and sales of our Sapien products could also be adversely affected. If we are not able to successfully integrate RE2 and achieve the expected benefits of the acquisition while managing the development and commercialization of our products, commercialization of the Guardian XT, Sapien 6M and Guardian XO could be delayed, which would adversely impact our operating results and financial condition, and the value of our investment in RE2 could be impaired.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Although our Guardian XO and Guardian XT units are not yet commercially available and we have only recently begun production of commercial units of the Sapien 6M in limited quantities, we have received interest from potential customers that have tested or witnessed demonstrations of our pre-commercial units. However, because our robotic systems represent a new product category in markets that currently rely generally on conventional, manual systems, the market demand for our products is unproven, and important assumptions about the characteristics of targeted markets, pricing and sales cycles may be inaccurate. If customer demand does not develop as expected or we do not accurately forecast pricing, adoption rates and sales cycles for our products, our business, results of operations and financial condition will be adversely affected.</w:t>
      </w:r>
    </w:p>
    <w:p>
      <w:pPr>
        <w:spacing w:after="0" w:line="18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expect to offer our Guardian XO and Guardian XT primarily through a RaaS subscription model, which we believe will drive accelerated adoption of our product offerings following their commercial launch, though we anticipate some customers will prefer to purchase these products. We believe the RaaS subscription model will be attractive to our customers and accelerate market adoption of our Guardian XO and Guardian XT robotic systems because it will lower the upfront costs of deployment, shift customers’ capital expenditures to operating expenditures, allow customers to more nimbly scale deployments up or down in response to market conditions and make our products more accessible to customers of all sizes. However, our RaaS subscription model is unproven and may fail to gain commercial acceptance. We expect the volume of our committed RaaS contracts to be an important indicator of our future performance; however, RaaS subscriptions will require us to incur significant upfront expenditures to build our products, but we will only receive revenue over time during the term of the subscription. In contrast, we expect to offer our Sapien 6M primarily through a sale model. Although we expect a sale model to result in earlier revenue recognition and cash receipts, we anticipate that we will still need to finance the production of these units as we scale to volume production before receiving such revenue and cash. If we are not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8" w:name="page29"/>
    <w:bookmarkEnd w:id="28"/>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able to finance such production costs, or if we fail to meet our revenue expectations, our prospects, financial condition and operating results may be adversely impacted.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of Our Products</w:t>
      </w:r>
    </w:p>
    <w:p>
      <w:pPr>
        <w:spacing w:after="0" w:line="216"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8"/>
          <w:szCs w:val="18"/>
          <w:color w:val="auto"/>
        </w:rPr>
        <w:t>To the extent we obtain commercial orders for our products, we will need to manufacture and deliver them to our customers. We have begun initial engagement activities with a contract manufacturing partner that we expect will produce a high percentage of our products. However, engaging with a manufacturing partner will likely require significant time, ramp-up, testing and coordination before high-volume production capability by the partner is achieved. While we currently do not anticipate high-volume production by a contract manufacturing partner to be in place until at least the end of 2023, we have begun to engage with a contract manufacturing partner that we expect will produce a high percentage of our products during 2023. We expect that in 2023 we will have the internal capability to manufacture a total of between 300 – 500 units of a combination of Guardian XT, Sapien 6M, Guardian XO and our other products, depending on the mix. However, we do not expect to use all of that capacity in 2023, especially after engaging a contract manufacturing partner. For additional information around the risks associated with contract manufacturing see Part II Item 1A Risk Factors “</w:t>
      </w:r>
      <w:r>
        <w:rPr>
          <w:rFonts w:ascii="Times New Roman" w:cs="Times New Roman" w:eastAsia="Times New Roman" w:hAnsi="Times New Roman"/>
          <w:sz w:val="18"/>
          <w:szCs w:val="18"/>
          <w:i w:val="1"/>
          <w:iCs w:val="1"/>
          <w:color w:val="auto"/>
        </w:rPr>
        <w:t>Our expected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transition to an outsourced manufacturing business model may not be successful, which could harm our ability to deliver products and recognize revenue.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and Innovation</w:t>
      </w:r>
    </w:p>
    <w:p>
      <w:pPr>
        <w:spacing w:after="0" w:line="216"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18"/>
          <w:szCs w:val="18"/>
          <w:color w:val="auto"/>
        </w:rPr>
        <w:t>We are a pioneer in the robotic systems industry and benefit from lessons learned over 30 years and significant investment in research and development in our proprietary technologies and our extensive patent portfolio. However, our financial performance is significantly dependent on our ability to maintain this leading position and further dependent on the investments we make in research and development. It is important that we continually identify and respond to rapidly evolving customer requirements, develop and introduce innovative new products, enhance and service existing products and generate active market demand for our robotic systems. If we fail to do this, our market position and revenue may be adversely affected, and our investments into these technologies will not be recovered.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and Macro-economic Environment</w:t>
      </w:r>
    </w:p>
    <w:p>
      <w:pPr>
        <w:spacing w:after="0" w:line="202"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18"/>
          <w:szCs w:val="18"/>
          <w:color w:val="auto"/>
        </w:rPr>
        <w:t>Geopolitical and macro-economic factors, such as inflation, rising interest rates, oil prices, unemployment rates, the war in Ukraine , volatility in the stock market and political or social unrest, can have significant impacts on economic activity, which in turn could affect demand for our products or our ability to cost-effectively develop, sell or obtain RaaS subscriptions for and manufacture our products. Among other things, these and similar factors can affect our supply chain, our ability to hire qualified personnel, our labor and materials costs, the prices we charge for our products and the budgets of our customers and their expected return-on-investment from the purchase of or subscription for our products. Many of these factors are outside of our control but can have a significant impact on our business success and operating results. If we are unable to manage our business successfully in response to any such factors, our business and results of operations would be adversely affected.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discussion below regarding our results of operations for the three and nine months ended September 30, 2022, includes the financial results of RE2 beginning on the acquisition date through September 30, 2022. Our results do not include RE2’s financial information prior to the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three months ended September 30, 2022 and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25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2022 vs. 2021 Change</w:t>
            </w:r>
          </w:p>
        </w:tc>
      </w:tr>
      <w:tr>
        <w:trPr>
          <w:trHeight w:val="202"/>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Services</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4,488</w:t>
            </w:r>
          </w:p>
        </w:tc>
        <w:tc>
          <w:tcPr>
            <w:tcW w:w="24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240" w:type="dxa"/>
            <w:vAlign w:val="bottom"/>
            <w:gridSpan w:val="2"/>
          </w:tcPr>
          <w:p>
            <w:pPr>
              <w:spacing w:after="0"/>
              <w:rPr>
                <w:sz w:val="17"/>
                <w:szCs w:val="17"/>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3,794</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(256 )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4,667</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240" w:type="dxa"/>
            <w:vAlign w:val="bottom"/>
            <w:gridSpan w:val="2"/>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22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313 %</w:t>
            </w: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2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Revenue increased by $3.5 million, or 313%, from $1.1 million for the three months ended September 30, 2021, to $4.7 million for the three months ended September 30, 2022, as explained below.</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4"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214"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Revenue derived from research and development services increased by $3.8 million, or 547%, from $0.7 million for the three months ended September 30, 2021 to $4.5 million for the three months ended September 30, 2022. The increase was primarily due to revenue recognized by RE2 during the three months ended September 30, 2022 pertaining to ongoing research and development contracts. We expect future revenue from research and development services to increase on a year over year basis due to the inclusion of RE2 service revenue in the near term; however, as we continue to focus on development contracts that support our commercialization efforts, our research and development services revenue may fluctuate in future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0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Revenue derived from product sales decreased by $0.3 million during the three months ended September 30, 2022 compared to the three months ended September 30, 2021. Product sales generated during the three months ended September 30, 2022 and the three months ended September 30, 2021 were minimal and relate to sales of our Guardian S and HLS legacy products.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three months ended September 30, 2022 and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vMerge w:val="restart"/>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2022 vs. 2021 Change</w:t>
            </w:r>
          </w:p>
        </w:tc>
        <w:tc>
          <w:tcPr>
            <w:tcW w:w="0" w:type="dxa"/>
            <w:vAlign w:val="bottom"/>
          </w:tcPr>
          <w:p>
            <w:pPr>
              <w:spacing w:after="0"/>
              <w:rPr>
                <w:sz w:val="1"/>
                <w:szCs w:val="1"/>
                <w:color w:val="auto"/>
              </w:rPr>
            </w:pPr>
          </w:p>
        </w:tc>
      </w:tr>
      <w:tr>
        <w:trPr>
          <w:trHeight w:val="205"/>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30,</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3,578</w:t>
            </w:r>
          </w:p>
        </w:tc>
        <w:tc>
          <w:tcPr>
            <w:tcW w:w="5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4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220" w:type="dxa"/>
            <w:vAlign w:val="bottom"/>
          </w:tcPr>
          <w:p>
            <w:pPr>
              <w:spacing w:after="0"/>
              <w:rPr>
                <w:sz w:val="17"/>
                <w:szCs w:val="17"/>
                <w:color w:val="auto"/>
              </w:rPr>
            </w:pP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285 %</w:t>
            </w:r>
          </w:p>
        </w:tc>
        <w:tc>
          <w:tcPr>
            <w:tcW w:w="0" w:type="dxa"/>
            <w:vAlign w:val="bottom"/>
          </w:tcPr>
          <w:p>
            <w:pPr>
              <w:spacing w:after="0"/>
              <w:rPr>
                <w:sz w:val="1"/>
                <w:szCs w:val="1"/>
                <w:color w:val="auto"/>
              </w:rPr>
            </w:pPr>
          </w:p>
        </w:tc>
      </w:tr>
      <w:tr>
        <w:trPr>
          <w:trHeight w:val="20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5,968</w:t>
            </w:r>
          </w:p>
        </w:tc>
        <w:tc>
          <w:tcPr>
            <w:tcW w:w="220" w:type="dxa"/>
            <w:vAlign w:val="bottom"/>
          </w:tcPr>
          <w:p>
            <w:pPr>
              <w:spacing w:after="0"/>
              <w:rPr>
                <w:sz w:val="17"/>
                <w:szCs w:val="17"/>
                <w:color w:val="auto"/>
              </w:rPr>
            </w:pP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20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(19,218 )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02"/>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20" w:type="dxa"/>
            <w:vAlign w:val="bottom"/>
          </w:tcPr>
          <w:p>
            <w:pPr>
              <w:spacing w:after="0"/>
              <w:rPr>
                <w:sz w:val="17"/>
                <w:szCs w:val="17"/>
                <w:color w:val="auto"/>
              </w:rPr>
            </w:pP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0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220" w:type="dxa"/>
            <w:vAlign w:val="bottom"/>
          </w:tcPr>
          <w:p>
            <w:pPr>
              <w:spacing w:after="0"/>
              <w:rPr>
                <w:sz w:val="17"/>
                <w:szCs w:val="17"/>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9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31,917</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41,617</w:t>
            </w:r>
          </w:p>
        </w:tc>
        <w:tc>
          <w:tcPr>
            <w:tcW w:w="240" w:type="dxa"/>
            <w:vAlign w:val="bottom"/>
            <w:gridSpan w:val="2"/>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(9,700</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2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14"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Cost of revenue increased by $2.6 million, or 285%, from $0.9 million for the three months ended September 30, 2021, to $3.6 million for the three months ended September 30, 2022. Cost of revenue increased significantly due to reflecting RE2 cost of revenue, which were mainly made up of labor and direct material costs associated with the increases in revenue discussed above.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increased by $6.0 million, or 132% from $4.5 million for the three months ended September 30, 2021, to $10.5 million for the three months ended September 30, 2022. The increase was driven primarily by an increase in labor and overhead expense as a result of increased headcount (due in part to the RE2 acquisition) and third-party service provider costs as we focused on the development and commercialization of our Guardian XT, Sapien 6M and Guardian XO products. We expect our research and development expenses to continue to increase due to our focus on product development and as we continue to engage third-party service providers in our development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4"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8"/>
          <w:szCs w:val="18"/>
          <w:color w:val="auto"/>
        </w:rPr>
        <w:t>General and administrative expenses decreased by $19.2 million, or 57%, from $33.9 million for the three months ended September 30, 2021, to $14.6 million for the three months ended September 30, 2022. The largest portion of the decrease, $21.4 million, is due to decreased stock-based compensation expense, mainly related to stock grants that had accelerated vesting provisions triggered by the closing of the Business Combination during the three months ended September 30, 2021. Additionally, general and administrative expense decreased due to decreased legal and other professional expenses which were associated with the Business Combination. These decreases were partially offset by increases related to increased headcount (due in part to our acquisition of RE2) and related expenses. With the exception of stock-based compensation expense, we expect our general and administrative expenses to be higher year-over-year for the remainder of 2022 as we work on our commercialization pathway and public-company compliance efforts and as we incur additional general and administrative costs resulting from our acquisition of RE2.</w:t>
      </w:r>
    </w:p>
    <w:p>
      <w:pPr>
        <w:spacing w:after="0" w:line="1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2"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1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slightly by $0.1 million, or 5%, from $2.3 million for the three months ended September 30, 2021, to $2.4 million for the three months ended September 30, 2022. We expect our sales and marketing expenses to be higher year-over-year for the remainder of 2022 as we work on our commercialization pathway.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Amortization Expense</w:t>
      </w:r>
    </w:p>
    <w:p>
      <w:pPr>
        <w:spacing w:after="0" w:line="214"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Intangible amortization expenses increased by $0.8 million, from $0.0 million for three months ended September 30, 2021, to $0.8 million for the three months ended September 30, 2022. The increase in intangible amortization expense is due to the recognition of amortization expenses of identified intangible assets recorded as part of our RE2 acquisition.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for the three months ended September 30, 2022 and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268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2022 vs. 2021 Change</w:t>
            </w:r>
          </w:p>
        </w:tc>
      </w:tr>
      <w:tr>
        <w:trPr>
          <w:trHeight w:val="202"/>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26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(7 )</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2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(11,614 )%</w:t>
            </w:r>
          </w:p>
        </w:tc>
      </w:tr>
      <w:tr>
        <w:trPr>
          <w:trHeight w:val="20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warrant liability</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(2,026 )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0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loss, net</w:t>
            </w:r>
          </w:p>
        </w:tc>
        <w:tc>
          <w:tcPr>
            <w:tcW w:w="2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(4 )</w:t>
            </w: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(4 )</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r>
      <w:tr>
        <w:trPr>
          <w:trHeight w:val="19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income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9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Other income decreased by $1.2 million for the three months ended September 30, 2022 as compared to the prior year period, as a result of the decrease in unrealized mark-to-market gain on our outstanding private placement warrants, partially offset by increased interest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16"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Income tax benefit increased to $2.5 million for the three months ended September 30, 2022 compared to $0.0 million in income tax expense for the three months ended September 30, 2021. The income tax benefit recorded during the three months ended September 30, 2022 is due to the removal of a portion of our previously recorded valuation allowance on our net deferred tax assets associated with net deferred tax liabilities recorded as part of the acquisition of RE2, resulting in an income tax benefit recognized during the quarter. The future reversal of the net deferred tax liabilities is a source of taxable income to be considered by us when determining whether a valuation allowance is needed for our existing net deferred tax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nine months ended September 30,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2022 vs. 2021 Change</w:t>
            </w:r>
          </w:p>
        </w:tc>
      </w:tr>
      <w:tr>
        <w:trPr>
          <w:trHeight w:val="202"/>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Services</w:t>
            </w:r>
          </w:p>
        </w:tc>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8,203</w:t>
            </w:r>
          </w:p>
        </w:tc>
        <w:tc>
          <w:tcPr>
            <w:tcW w:w="24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240" w:type="dxa"/>
            <w:vAlign w:val="bottom"/>
            <w:gridSpan w:val="2"/>
          </w:tcPr>
          <w:p>
            <w:pPr>
              <w:spacing w:after="0"/>
              <w:rPr>
                <w:sz w:val="17"/>
                <w:szCs w:val="17"/>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4,879</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(502 )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(67 )%</w:t>
            </w: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8,448</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240" w:type="dxa"/>
            <w:vAlign w:val="bottom"/>
            <w:gridSpan w:val="2"/>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4,377</w:t>
            </w:r>
          </w:p>
        </w:tc>
        <w:tc>
          <w:tcPr>
            <w:tcW w:w="22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108 %</w:t>
            </w: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Revenue increased by $4.4 million, or 108%, from $4.1 million for the nine months ended September 30, 2021, to $8.4 million for the nine months ended September 30, 2022, as explained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200"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8"/>
          <w:szCs w:val="18"/>
          <w:color w:val="auto"/>
        </w:rPr>
        <w:t>Revenue derived from research and development services increased by $4.9 million, or 147%, from $3.3 million for the nine months ended September 30, 2021 to $8.2 million for the nine months ended September 30, 2022. The increase was primarily due to revenue recognized by RE2 during the nine months ended September 30, 2022 pertaining to ongoing research and development contracts. We</w:t>
      </w:r>
    </w:p>
    <w:p>
      <w:pPr>
        <w:spacing w:after="0" w:line="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2" w:right="239" w:bottom="1440" w:gutter="0" w:footer="0" w:header="0"/>
        </w:sectPr>
      </w:pPr>
    </w:p>
    <w:bookmarkStart w:id="31" w:name="page32"/>
    <w:bookmarkEnd w:id="31"/>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expect future revenue from research and development services to increase on a year over year basis due to the inclusion of RE2 service revenue in the near term; however, as we continue to focus on development contracts that support our commercialization efforts, our research and development services revenue may fluctuate in future periods.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00"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Revenue derived from product sales decreased by $0.5 million, or 67%, from $0.7 million during the nine months ended September 30, 2021 to $0.2 million for the nine months ended September 30, 2022. The decrease was a result of our continued focus on our commercialization of our Guardian XT, Sapien 6M and Guardian XO products.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nine months ended September 30,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25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2022 vs. 2021 Change</w:t>
            </w:r>
          </w:p>
        </w:tc>
      </w:tr>
      <w:tr>
        <w:trPr>
          <w:trHeight w:val="202"/>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7,212</w:t>
            </w:r>
          </w:p>
        </w:tc>
        <w:tc>
          <w:tcPr>
            <w:tcW w:w="5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4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157 %</w:t>
            </w: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12,549</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110 %</w:t>
            </w: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11,485</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220" w:type="dxa"/>
            <w:vAlign w:val="bottom"/>
          </w:tcPr>
          <w:p>
            <w:pPr>
              <w:spacing w:after="0"/>
              <w:rPr>
                <w:sz w:val="17"/>
                <w:szCs w:val="17"/>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*NM</w:t>
            </w: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90,310</w:t>
            </w:r>
          </w:p>
        </w:tc>
        <w:tc>
          <w:tcPr>
            <w:tcW w:w="26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57,418</w:t>
            </w:r>
          </w:p>
        </w:tc>
        <w:tc>
          <w:tcPr>
            <w:tcW w:w="240" w:type="dxa"/>
            <w:vAlign w:val="bottom"/>
            <w:gridSpan w:val="2"/>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32,892</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57 %</w:t>
            </w: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1289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00"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Cost of revenue increased by $4.4 million, or 157%, from $2.8 million for the nine months ended September 30, 2021, to $7.2 million for the nine months ended September 30, 2022. Cost of revenue increased significantly mainly due to the increase in revenue from the inclusion of RE2's research and development services revenue and the costs associated with that revenue beginning April 25, 2022. Cost of revenue increased at a higher rate than revenue, driven mainly by increased labor and material costs related to several firm fixed price contracts and an increase in applied overhead expenses due to increases in our cost 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4"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increased by $12.5 million, or 110% from $11.4 million for the nine months ended September 30, 2021, to $23.9 million for the nine months ended September 30, 2022. The increase was driven primarily by an increase in labor and overhead expense as a result of increased headcount (due in part to the RE2 acquisition) and third-party service provider costs as we focused on the development and commercialization of our Guardian XT, Sapien 6M and Guardian XO products. We expect our research and development expenses to continue to increase due to our focus on product development and as we continue to leverage third party service providers in our development activities.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increased by $11.5 million, or 29%, from $39.1 million for the nine months ended September 30, 2021, to $50.6 million for the nine months ended September 30, 2022. General and administrative expense increased due to increased legal expenses, business insurance expenses, increased headcount (due in part to the acquisition of RE2) and related expenses. With the exception of stock-based compensation expense, we expect our general and administrative expenses to be higher year-over-year for the remainder of 2022 as we work on our commercialization pathway and public-company compliance efforts and as we incur additional general and administrative costs resulting from our acquisition of RE2.</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24"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14"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Sales and marketing expenses increased by $3.1 million, or 75%, from $4.1 million for the nine months ended September 30, 2021, to $7.2 million for the nine months ended September 30, 2022. This increase was driven by an increase in professional service fees due to the engagement of a third-party vendor utilized in data management of our products and services, increased headcount expenses, including increased stock-based compensation expense and increased expenses related to additional headcount due in part to our RE2 acquisition. We expect our sales and marketing expenses to be higher year-over-year for the remainder of 2022 as we work on our commercialization pathway.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Amortization Expense</w:t>
      </w:r>
    </w:p>
    <w:p>
      <w:pPr>
        <w:spacing w:after="0" w:line="20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Intangible amortization expenses increased by $1.4 million, from $0.0 million for nine months ended September 30, 2021, to $1.4 million for the nine months ended September 30, 2022. The increase in intangible amortization expense is due to the recognition of amortization expenses of identified intangible assets recorded as part of the RE2 acquisition.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for the nine months ended September 30,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27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2022 vs. 2021 Change</w:t>
            </w:r>
          </w:p>
        </w:tc>
      </w:tr>
      <w:tr>
        <w:trPr>
          <w:trHeight w:val="202"/>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26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(30 )</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22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(3,317 )%</w:t>
            </w: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warrant liability</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8,501</w:t>
            </w:r>
          </w:p>
        </w:tc>
        <w:tc>
          <w:tcPr>
            <w:tcW w:w="220" w:type="dxa"/>
            <w:vAlign w:val="bottom"/>
          </w:tcPr>
          <w:p>
            <w:pPr>
              <w:spacing w:after="0"/>
              <w:rPr>
                <w:sz w:val="17"/>
                <w:szCs w:val="17"/>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242 %</w:t>
            </w: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forgiveness of notes payable</w:t>
            </w:r>
          </w:p>
        </w:tc>
        <w:tc>
          <w:tcPr>
            <w:tcW w:w="26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(2,394 )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(loss) income, net</w:t>
            </w:r>
          </w:p>
        </w:tc>
        <w:tc>
          <w:tcPr>
            <w:tcW w:w="2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(4 )</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(114 )%</w:t>
            </w: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income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12,972</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7,070</w:t>
            </w:r>
          </w:p>
        </w:tc>
        <w:tc>
          <w:tcPr>
            <w:tcW w:w="220" w:type="dxa"/>
            <w:vAlign w:val="bottom"/>
          </w:tcPr>
          <w:p>
            <w:pPr>
              <w:spacing w:after="0"/>
              <w:rPr>
                <w:sz w:val="17"/>
                <w:szCs w:val="17"/>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120 %</w:t>
            </w: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289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291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6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Other income increased by $7.1 million for the nine months ended September 30, 2022 as compared to the prior year period, as a result of the increase in unrealized mark-to-market gain on our outstanding private placement warrants and increased interest income, partially offset by the gain on forgiveness of notes payable recorded in the prior year period in connection with the forgiveness of the first draw of our PPP loan.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2"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Income tax benefit increased to $4.1 million for the nine months ended September 30, 2022 compared to $0.0 million in income tax expense for the nine months ended September 30, 2021. The income tax benefit recorded during the nine months ended September 30, 2022 is due to the removal of a portion of our previously recorded valuation allowance on our net deferred tax assets associated with net deferred tax liabilities recorded as part of the acquisition of RE2, resulting in an income tax benefit recognized during the period. The future reversal of the net deferred tax liabilities is a source of taxable income to be considered by us when determining whether a valuation allowance is needed for our existing net deferred tax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Prior to the closing of the Business Combination, Old Sarcos financed its operations through private placements of redeemable convertible preferred stock, from the limited sale of Guardian S units and other commercially available products and by providing research and development services under Small Business Innovation Research contracts and as a subcontractor for prime contractors working with the U.S. Department of Defense.</w:t>
      </w:r>
    </w:p>
    <w:p>
      <w:pPr>
        <w:spacing w:after="0" w:line="17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Upon the closing of the Business Combination, we retained approximately $229 million in cash proceeds, net of fees and expenses related to the Business Combination, including $220.0 million from the PIPE Financing.</w:t>
      </w:r>
    </w:p>
    <w:p>
      <w:pPr>
        <w:spacing w:after="0" w:line="162"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We currently use cash to fund operations and capital expenditures and meet working capital requirements. As of September 30, 2022, we had $135.4 million in cash, cash equivalents and marketable securities. We believe that our cash, cash equivalents and marketable securities on hand will be sufficient to support operations, working capital and capital expenditure requirements for at least the next 12 months from the date of this report; however, we will need to secure additional financing prior to achieving positive operating cash flows, which we do not expect to occur prior to at least the end of 2024.</w:t>
      </w:r>
    </w:p>
    <w:p>
      <w:pPr>
        <w:spacing w:after="0" w:line="164"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the pace and results of our product development efforts, our ability to manufacture and deliver commercial products and thereby recognize associated revenue, capital</w:t>
      </w:r>
    </w:p>
    <w:p>
      <w:pPr>
        <w:jc w:val="center"/>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2" w:right="239" w:bottom="1440" w:gutter="0" w:footer="0" w:header="0"/>
        </w:sectPr>
      </w:pPr>
    </w:p>
    <w:bookmarkStart w:id="33" w:name="page34"/>
    <w:bookmarkEnd w:id="33"/>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requirements to build commercial products prior to receiving payments sufficient to cover our costs (especially in the case of RaaS contracts) and our ability to lower product costs as volumes increase. Any delays in the successful completion of the commercialization of our products will negatively impact our ability to generate revenue, our profitability and our overall operating performance.</w:t>
      </w:r>
    </w:p>
    <w:p>
      <w:pPr>
        <w:spacing w:after="0" w:line="169"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In addition, we may enter into arrangements to acquire or invest in complementary businesses, services, and technologies, which may require acquisition capital as well as operational capital for these acquisitions or arrangements. We may be required to seek additional equity or debt financing to facilitate these arrangements.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68"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8"/>
          <w:szCs w:val="18"/>
          <w:color w:val="auto"/>
        </w:rPr>
        <w:t>We expect our operating and capital expenditures to increase as we increase headcount, expand our operations and grow our customer base. If additional funds are required to support our working capital requirements, for acquisitions or for other purposes, we may seek to raise funds through additional debt or equity financings or from other sources. We currently expect to obtain outside financing to help cover production costs for product orders. In addition, although we believe we have sufficient capital to fund our business for at least the next 12 months, we expect to seek additional financing during that time to bolster our cash reserves and ensure our ability to continue to pursue our business objectives.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27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2022 vs. 2021 Change</w:t>
            </w:r>
          </w:p>
        </w:tc>
      </w:tr>
      <w:tr>
        <w:trPr>
          <w:trHeight w:val="202"/>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(44,448 )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(20,908 )</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(23,540 )</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113 %</w:t>
            </w: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Pr>
          <w:p>
            <w:pPr>
              <w:spacing w:after="0"/>
              <w:rPr>
                <w:sz w:val="17"/>
                <w:szCs w:val="17"/>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(149,429 )</w:t>
            </w:r>
          </w:p>
        </w:tc>
        <w:tc>
          <w:tcPr>
            <w:tcW w:w="2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(3,039 )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(146,390 )</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4,817 %</w:t>
            </w:r>
          </w:p>
        </w:tc>
      </w:tr>
      <w:tr>
        <w:trPr>
          <w:trHeight w:val="202"/>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60" w:type="dxa"/>
            <w:vAlign w:val="bottom"/>
          </w:tcPr>
          <w:p>
            <w:pPr>
              <w:spacing w:after="0"/>
              <w:rPr>
                <w:sz w:val="17"/>
                <w:szCs w:val="17"/>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(7,108 )</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(238,579 )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(103 )%</w:t>
            </w: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(200,985</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207,524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(408,509</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(197 )%</w:t>
            </w: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14"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Cash flows used in operating activities during the nine months ended September 30, 2022 increased by $23.5 million to $44.4 million from $20.9 million during the same period in 2021. The increase to net cash used in operating activities was primarily attributable to a $17.4 million increase to net loss and a net decrease of $6.0 million in non-cash expenses driven mainly by increased gains on warrant liability revaluation partially offset by gains on forgiveness of notes payable in the prior year. These increases in cash flows used in operating activities were partially offset by net cash provided by operating activities related to changes in operating assets and liabilities, which increased by $0.2 million.</w:t>
      </w:r>
    </w:p>
    <w:p>
      <w:pPr>
        <w:spacing w:after="0" w:line="18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Due to uncertainty around availability and lead-times, we have sourced certain materials and components required for the manufacture of our commercial units in 2023. We expect these purchases to have a remaining impact of approximately $2 million on our 2022 year-end cash total.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14"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18"/>
          <w:szCs w:val="18"/>
          <w:color w:val="auto"/>
        </w:rPr>
        <w:t>Our net cash used in investing activities during the nine months ended September 30, 2022 increased by $146.4 million to $149.4 million from $3.0 million during the same period in 2021. The increase in cash used in investing activities is due to the purchase of marketable securities during the nine months ended September 30, 2022 of $138.7 million and $29.7 million of net cash used as part of the purchase consideration for the RE2 acquisition partially offset by proceeds of $20 million upon the maturity of marketable securities.</w:t>
      </w:r>
    </w:p>
    <w:p>
      <w:pPr>
        <w:spacing w:after="0" w:line="1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4"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Financing Activities</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overall cash provided by financing activities during the nine months ended September 30, 2022 decreased by $238.6 million. The decrease was due mainly to the cash proceeds from the Business Combination and PIPE Financing of approximately $229 million, net of expenses and fees, which was completed during the third quarter of 2021 and $2.0 million of proceeds from loans received under the PPP for the nine months ended September 30, 2021. Additionally, during the nine months ended September 30, 2022, $7.7 million worth of shares of common stock were withheld for payment of tax withholding obligations upon the vesting of equity awards.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w:t>
      </w:r>
    </w:p>
    <w:p>
      <w:pPr>
        <w:ind w:left="280" w:hanging="272"/>
        <w:spacing w:after="0" w:line="237" w:lineRule="auto"/>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total annual gross revenue of $1.235 billion or more during such fiscal year (as indexed for inflation),</w:t>
      </w: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in the prior three-year period or (iv) December 31, 2025, and we expect</w:t>
      </w:r>
    </w:p>
    <w:p>
      <w:pPr>
        <w:spacing w:after="0" w:line="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There have been no material changes to our critical accounting policies or estimates as disclosed in our 2021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See Note 1, Basis of Presentation and Summary of Significant Accounting Policies, to our unaudited interim condensed consolidated financial statements included elsewhere in this Report for recently adopted accounting pronouncements and recently issued accounting pronouncements not yet adopted as of the date of this Report.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right="440"/>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September 30, 2022, pursuant to Rule 13a-15(b) under the Exchange Act. Based upon that evaluation, our Certifying Officers concluded that our disclosure controls and procedures were effective as of September 30, 2022.</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fiscal quarter ended September 30, 2022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Report, including “Management’s Discussion and Analysis of Financial Condition and Results of Operations” and our unaudited condensed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 References in this Item 1A Risk Factors to financial information as of dates or for periods ended on or prior to April 25, 2022 do not include the financial information of RE2 as of those dates or for those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 stage company with a history of losses, and expect to incur significant expenses for the foreseeable future.</w:t>
      </w:r>
    </w:p>
    <w:p>
      <w:pPr>
        <w:spacing w:after="0" w:line="2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incurred a net loss of $64.8 million for the nine months ended September 30, 2022, and a net loss of $81.5 million for the year ended December 31, 2021. We believe that we will continue to incur operating and net losses through at least the end of 2024. Even if we are able to successfully develop our robotic systems and attract customers for commercial sales or RaaS subscriptions of our products, we may not become profitable. Our potential profitability is dependent upon the successful development and successful commercial</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introduction and adoption on a larger scale of our robotic systems and our ability to lower production costs as we achieve economies of scale through high-volume production, none of which may occur.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the rate at which we will incur losses will be significantly higher in future periods as we:</w:t>
      </w:r>
    </w:p>
    <w:p>
      <w:pPr>
        <w:spacing w:after="0" w:line="212"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design, develop, manufacture and commercialize our robotic systems;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and develop potential new relationships with third-party partners for supply, design to manufacturing and manufacturing;</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production capabilities, including costs associated with the potential outsourcing of the manufacturing of our robotic systems;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up inventories of parts (including replacement parts) and components for our robotic systems;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maintenance and servicing capacity and capabilities;</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 inventory of our robotic systems, including upfront expenditures to manufacture units prior to delivery and recognition of related revenue (especially in connection with RaaS subscriptions);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activities and develop our sales and distribution infrastructure;</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remote monitoring, updating and other cloud-based services;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safety measures for our products and as our customers evaluate and test the efficacy of those safety measures;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expand our technology infrastructure and cybersecurity measures, policies and controls;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general and administrative functions and systems to support our growing operations and to operate as a publicly-traded company.</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we will incur costs and expenses from these efforts before we receive incremental revenue with respect thereto, we expect that our losses in future periods will be significant. In addition, we may find that these efforts are more expensive than we currently anticipate or that these efforts may result in less than expected or no additional revenue, which would further increase our losses.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we may not be able to design, develop, manufacture, market and launch our robotic systems successfully.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invest significantly in order to expand our business. Any failure to manage our growth effectively could materially and adversely affect our business, prospects, financial condition and operating results. We expect our expansion to include:</w:t>
      </w:r>
    </w:p>
    <w:p>
      <w:pPr>
        <w:spacing w:after="0" w:line="162"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management, engineering and product teams;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recruiting individuals with the appropriate relevant experience;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commercialization of our products;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production and revenue and implementing ERP systems;</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design for manufacturing partners and third-party manufacturers and/or expanding our internal manufacturing capabilities;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acquisitions and entering into collaborations, in-licensing arrangements, joint ventures, strategic alliances or partnerships;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7" w:name="page38"/>
    <w:bookmarkEnd w:id="37"/>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or expanding sales, customer service and maintenance and servicing facilities and organizations;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 of robotic systems;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agreements with suppliers and service providers;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intend to continue to hire a significant number of additional personnel, including engineers, design and production personnel and service technicians for our robotic systems. Because of the innovative nature of our technology, individuals with the necessary experience have not been, and likely will continue not to be, readily available to hire, and as a result, we will need to expend significant time and expense to recruit and retain experienced employees and appropriately train any newly hired employees. Competition for individuals with experience designing, producing and servicing dexterous robots and their software is intense, and we may not be able to attract, integrate, train, motivate or retain additional highly qualified personnel. Further, we have recently hired a significant number of new employees, including Kiva Allgood, our new CEO, in December 2021, and Andrew Hamer, our new CFO, in October 2022, and other senior employees, as well as over 100 employees as a result of our acquisition of RE2. Integrating a large number of new employees in a short time can cause disruptions to processes, projects, culture, priorities and a company as a whole. New employees may not perform as expected or may not fit culturally, and long-term employees may not embrace new leaders, priorities, methods, processes or other changes and may decide to leave or may not perform as well as in the past. Further, we face these and other risks as a result of our acquisition of RE2. See "</w:t>
      </w:r>
      <w:r>
        <w:rPr>
          <w:rFonts w:ascii="Times New Roman" w:cs="Times New Roman" w:eastAsia="Times New Roman" w:hAnsi="Times New Roman"/>
          <w:sz w:val="18"/>
          <w:szCs w:val="18"/>
          <w:i w:val="1"/>
          <w:iCs w:val="1"/>
          <w:color w:val="auto"/>
        </w:rPr>
        <w:t>The success of our acquisition of RE2,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is subject to numerous risks and uncertainties.</w:t>
      </w:r>
      <w:r>
        <w:rPr>
          <w:rFonts w:ascii="Times New Roman" w:cs="Times New Roman" w:eastAsia="Times New Roman" w:hAnsi="Times New Roman"/>
          <w:sz w:val="18"/>
          <w:szCs w:val="18"/>
          <w:color w:val="auto"/>
        </w:rPr>
        <w:t>" Any failure to attract, integrate, train, motivate and retain employees or difficulty adjusting to a larger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 with new leadership and a large number of new employees could significantly delay our product development and commercial release and materially harm our business, prospects,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acquisition of RE2, Inc. is subject to numerous risks and uncertainties, including integration risks.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25, 2022, we completed our acquisition of RE2, Inc. We believe that RE2's business is complementary to ours, and that both RE2 and Sarcos will benefit from the combination of the two companies. Upon consummation of the acquisition of RE2, we became subject to risks associated with RE2's business, many of which are the same risks that we currently face. Other risks include:</w:t>
      </w:r>
    </w:p>
    <w:p>
      <w:pPr>
        <w:spacing w:after="0" w:line="285"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RE2's products and technology;</w:t>
      </w:r>
    </w:p>
    <w:p>
      <w:pPr>
        <w:spacing w:after="0" w:line="10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risks, such as risks associated with combining two organizations and cultures in two different geographies and integrating systems and maintaining IT security;</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focus on business and product development objectives;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customer and supplier relationships;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allocate resources appropriately across product lines;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retain employees;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whether we can achieve the expected benefits of the acquisition.</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effectively manage these and any other risks resulting from the acquisition, the value of our investment in RE2 may be adversely affected and the expected benefits of the acquisition may not be realized.</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integration of RE2, which we acquired on April 25, 2022, is ongoing. While we believe that both organizations share common values and cultures and that the acquisition will help us expand our product portfolio, serve additional markets and further our product development efforts, integration involves significant risk and management attention. If these efforts divert management time and company resources from our product development efforts, the commercial production and release of our Guardian XO and Guardian XT products could be delayed. The development and sales of our Sapien products could also be adversely affected. If we are not able to successfully integrate RE2 and achieve the expected benefits of the acquisition while managing the development and commercialization of our products, in particular the Guardian XT, Sapien 6M and Guardian XO, commercialization of our products could be delayed, which would adversely impact our ability to generate revenue, our overall profitability and our operating performance, and the value of our investment in RE2 could be adversely affected and we may be required to recognize an impairment loss on the write down of our assets and goodwill, which could materially and adversely affect our financial results.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8" w:name="page39"/>
    <w:bookmarkEnd w:id="3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and financial projections rely on management assumptions and analyses. If these assumptions or analyses prove to be incorrect, our actual operating results may be materially different from our forecasted results.</w:t>
      </w:r>
    </w:p>
    <w:p>
      <w:pPr>
        <w:spacing w:after="0" w:line="1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 development stage company, with very limited experience commercializing our products. Our projected financial and operating information reflect estimates of future performance and are based on multiple financial, technical and operational assumptions, including timely hiring of additional skilled personnel, timing of commercial launch of our robotic systems, the level of demand for our robotic systems, the performance of our robotic systems, the utilization of the robot fleet, commercial interest in the RaaS subscription model and product pricing, the useable life of the robotic systems, cost of manufacturing, cost of components and availability of adequate supply, number of units that will need to be manufactured in each batch, the nature and length of the sales cycle, maintenance and servicing costs and the costs of refurbishing the robotic systems. However, given our limited commercial experience, it is likely that many of these assumptions will prove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 Some of these risks, uncertainties and contingencies that could determine whether actual operating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results and business developments will be consistent with our expectations and assumptions include:</w:t>
      </w:r>
    </w:p>
    <w:p>
      <w:pPr>
        <w:spacing w:after="0" w:line="188" w:lineRule="exact"/>
        <w:rPr>
          <w:sz w:val="20"/>
          <w:szCs w:val="20"/>
          <w:color w:val="auto"/>
        </w:rPr>
      </w:pPr>
    </w:p>
    <w:p>
      <w:pPr>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time and attention needed from management to integrate RE2 into our business, as well as any resulting disruption to or delay in our product development efforts;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RE2 into our business and achieve the expected benefits of the acquisition;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address customer safety requirements;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capital to sustain and grow our business;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terms of agreements with customers, suppliers and manufacturing partners, and whether we can effectively manage and maintain relationships with these third-parties;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costs of components and materials;</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products and successfully engage with a contract manufacturer, including the costs, quality and output associated with any such outsourced manufacturing;</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the required marketing and promotional efforts;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each sale or RaaS subscription;</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customers and their employees will adopt the robotic systems offered by us;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required and success of customer testing of our technology;</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established and future competitors;</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key management, to attract additional leaders, to integrate recent hires, including RE2’s employees, and to attract, retain and motivate qualified personnel, including engineers, design and production personnel and service technicians;</w:t>
      </w:r>
    </w:p>
    <w:p>
      <w:pPr>
        <w:spacing w:after="0" w:line="162"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stability of domestic and international economies, including the impact of macro-economic conditions such as inflation and interest rates;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political changes;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requirements and preferences.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9" w:name="page40"/>
    <w:bookmarkEnd w:id="3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Unfavorable changes in any of these or other factors could cause us to fail to meet our operating and financial projections and could materially and adversely affect our business, prospects, financial condition and operating results.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Initial production of commercial units of our Guardian XT and Guardian XO products, may be delayed beyond our current expectations and therefore initial delivery to customers and receipt of anticipated revenue could be delayed.</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began initial production of commercial units of the Sapien 6M in September 2022, and we currently expect to begin initial production of commercial units of the Guardian XT by the end of 2022, in each case to be available for delivery to customers in the first half of 2023. We have completed the final build of our pre-commercial units of the Guardian XT and have allocated these units for additional customer engagements, developing our manufacturing readiness and reliability testing as we prepare for initial production of commercial units and commercial release. We currently expect to begin initial production of commercial units of the Guardian XO in the second half of 2023. However, we continue to experience supply chain challenges, including increases in the cost of and interruptions in the supply or availability of components, parts and materials, and there are significant risks and challenges that could delay our continued development efforts and production of commercial units, and therefore delivery to customers could be delayed beyond current expectations, including:</w:t>
      </w:r>
    </w:p>
    <w:p>
      <w:pPr>
        <w:spacing w:after="0" w:line="186" w:lineRule="exact"/>
        <w:rPr>
          <w:sz w:val="20"/>
          <w:szCs w:val="20"/>
          <w:color w:val="auto"/>
        </w:rPr>
      </w:pPr>
    </w:p>
    <w:p>
      <w:pPr>
        <w:ind w:left="7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general labor shortages of qualified applicants has affected and is likely to continue to affect our ability to recruit skilled employees to join our team, negatively affecting the development, production and commercial launch timelines for our products.</w:t>
      </w:r>
    </w:p>
    <w:p>
      <w:pPr>
        <w:spacing w:after="0" w:line="162" w:lineRule="exact"/>
        <w:rPr>
          <w:rFonts w:ascii="Times New Roman" w:cs="Times New Roman" w:eastAsia="Times New Roman" w:hAnsi="Times New Roman"/>
          <w:sz w:val="18"/>
          <w:szCs w:val="18"/>
          <w:color w:val="auto"/>
        </w:rPr>
      </w:pPr>
    </w:p>
    <w:p>
      <w:pPr>
        <w:jc w:val="both"/>
        <w:ind w:left="760" w:hanging="378"/>
        <w:spacing w:after="0" w:line="243"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suppliers are currently experiencing increases in the cost of and an interruption in the supply or shortage of materials. Our products are complex and some contain several thousand components. Difficulty securing components and materials has resulted in delays in the development of our Guardian XO product, and could result in further delays in the development of the Guardian XO and/or in delays in the development of our other products. Further, such difficulties could result in delays in our ability to manufacture commercial quantities of our products, which delays could be compounded if components or products require redesign or reengineering. Although we actively take steps to manage our supply chain and attempt to order parts, materials and components sufficiently in advance of when they are needed, many parts and components require significant lead-times to acquire or the lead-times vary or are unpredictable and some could take more than 12 months to acquire.</w:t>
      </w:r>
    </w:p>
    <w:p>
      <w:pPr>
        <w:spacing w:after="0" w:line="186" w:lineRule="exact"/>
        <w:rPr>
          <w:rFonts w:ascii="Times New Roman" w:cs="Times New Roman" w:eastAsia="Times New Roman" w:hAnsi="Times New Roman"/>
          <w:sz w:val="18"/>
          <w:szCs w:val="18"/>
          <w:color w:val="auto"/>
        </w:rPr>
      </w:pPr>
    </w:p>
    <w:p>
      <w:pPr>
        <w:jc w:val="both"/>
        <w:ind w:left="760" w:hanging="378"/>
        <w:spacing w:after="0" w:line="24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of our products due to these challenges also affect discussions with third-party contract manufacturers, as such discussions are more complicated if the units and/or components are undergoing design changes and improvements. For example, we continue to develop the Guardian XO to reduce its weight prior to commercial launch. If we are unable to enter into definitive agreements or are only able to do so on terms that are less commercially favorable to us, our expected contract manufacturing costs could increase and/or we may need to develop our own manufacturing and production capabilities. We have recently conducted an extensive evaluation process with a number of potential contract manufacturing partners and expect to generally outsource manufacturing of our products. However, engaging with a manufacturing partner will likely require significant time, ramp-up, testing and coordination before high-volume production capability by the partner is achieved. While we currently do not anticipate high-volume production by a contract manufacturing partner to be in place until at least the end of 2023, we do expect to engage with a contract manufacturing partner that will produce a high percentage of our products during 2023.</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current estimates for completion of our pre-commercialization development efforts and the commencement of initial production and delivery of commercial units to customers of the Guardian XT, Sapien 6M and Guardian XO are dependent on our ability to continue to hire and retain qualified employees and the availability of components on a timely basis. In addition, we have seen a significant increase in personnel and materials costs due to shortages of qualified personnel in the labor market and general inflationary pressures. Geopolitical events, such as the continuing effects of the COVID-19 pandemic and the current conflict between Russia and Ukraine, and responses thereto are also contributing to supply shortages and price increases. Over the past year we have experienced, and we continue to experience, challenges in both of these areas, which have negatively impacted our product development schedules and progress. We expect these challenges to continue and, if they do and if we are unable to effectively mitigate their impact, it is likely that we will be unable to meet our currently expected timelines.</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Also, if ongoing product testing demonstrates that the units have not been designed or assembled to deliver the performance, reliability and/or safety that we expect, initial production of commercial units and therefore initial delivery to customers may be delayed as we work to address the deficiencies. For example, we continue to re-design and develop the Guardian XO to reduce its weight and incorporate customer feedback prior to commercial launch while we prioritize the commercialization of the Guardian XT and Sapien 6M as discussed above in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Delays in the commercial launch of our products will result in a commensurate delay in revenue and profitability.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the delay in the commercial launch of the Guardian XO to the second half of 2023 will defer revenue related to Guardian XO sales or RaaS subscriptions previously projected for a particular period to later periods. As a result, our results of operations and financial condition may be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0" w:name="page41"/>
    <w:bookmarkEnd w:id="40"/>
    <w:p>
      <w:pPr>
        <w:jc w:val="both"/>
        <w:spacing w:after="0" w:line="258" w:lineRule="auto"/>
        <w:rPr>
          <w:sz w:val="20"/>
          <w:szCs w:val="20"/>
          <w:color w:val="auto"/>
        </w:rPr>
      </w:pPr>
      <w:r>
        <w:rPr>
          <w:rFonts w:ascii="Times New Roman" w:cs="Times New Roman" w:eastAsia="Times New Roman" w:hAnsi="Times New Roman"/>
          <w:sz w:val="18"/>
          <w:szCs w:val="18"/>
          <w:color w:val="auto"/>
        </w:rPr>
        <w:t>materially and adversely affected. In addition, delays in developing and releasing products with the performance, reliability and/or safety we and our potential customers are expecting could materially harm our reputation and lead potential customers to seek alternative solutions. If we experience further delays in the commercial release of our products, our results of operations and financial condition would be further adversely affected, perhaps materially.</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suppliers, some of which are currently single, sole or limited source suppliers, and any inability of these suppliers to deliver necessary components of our products at the prices, volumes, performance, timing and specifications acceptable to us, could have a material adverse effect on our business, prospects, financial condition and operating results. We have not yet identified all of the suppliers that we are likely to rely on to support any future commercialization of our products.</w:t>
      </w:r>
    </w:p>
    <w:p>
      <w:pPr>
        <w:spacing w:after="0" w:line="1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rely on third-party suppliers for the provision and development of many of the key components and materials used in our products. We have not yet identified all of the suppliers, contractors and other third parties that we are likely to rely on to support the future commercialization of our products. While we plan to obtain components from multiple sources whenever possible, some of the components used in our products may have to be purchased by us from a single source and some may only be available from a sole source, for example, if we have developed custom components with a supply partner. If our third-party suppliers are unable to supply key components and materials in the required volumes, at the needed times or at acceptable prices, our sales, revenue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for their products for which we plan to use or provide warranties that are necessary for our solutions. If we are unable to obtain components and materials used in our products from our suppliers, our business would be adversely affected.</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less negotiating leverage with suppliers than larger and more established companies and may not be able to obtain favorable pricing and other terms. For example, agreements with suppliers may include terms that are unfavorable to us, such as requirements that we order components and manufacturing units in excess of our demand due to minimum order quantity requirements or minimum price thresholds. While we believe that we may be able to establish alternate supply relationships and can obtain or engineer replacement components for our single source components, we may be unable to do so in time to support our production needs, or at all, or at prices or quality levels that are favorable to us. Further, we may not be able to develop satisfactory alternatives to sole-sourced components. Any inability to find satisfactory alternatives to our single- and sole-sourced component suppliers could affect our costs and component availability and have a material adverse effect on our business, prospects, financial condition and operating results.</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Moreover, we and our suppliers are currently experiencing increases in the cost of and an interruption in the supply or shortage of materials. We have experienced and are experiencing significant lead-times, delays, costs and quality issues with the supply of our parts, materials and components. It is unclear how long these challenges will remain. Due to the complexity of our products, each unit contains several thousand components. Difficulty securing any components and materials has resulted and could continue to result in delays in the development of the Guardian XO and could result in delays in the development of our other products, which delays could be compounded if components or products require redesign or reengineering, as discussed under "</w:t>
      </w:r>
      <w:r>
        <w:rPr>
          <w:rFonts w:ascii="Times New Roman" w:cs="Times New Roman" w:eastAsia="Times New Roman" w:hAnsi="Times New Roman"/>
          <w:sz w:val="18"/>
          <w:szCs w:val="18"/>
          <w:i w:val="1"/>
          <w:iCs w:val="1"/>
          <w:color w:val="auto"/>
        </w:rPr>
        <w:t>Initial production of commercial units of our Guardian XT and Guardian XO products may be delayed beyond our current expectations and therefore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initial delivery to customers and receipt of anticipated revenue could be delayed.</w:t>
      </w:r>
      <w:r>
        <w:rPr>
          <w:rFonts w:ascii="Times New Roman" w:cs="Times New Roman" w:eastAsia="Times New Roman" w:hAnsi="Times New Roman"/>
          <w:sz w:val="18"/>
          <w:szCs w:val="18"/>
          <w:color w:val="auto"/>
        </w:rPr>
        <w:t>" Any sustained supply interruption or shortage or cost increases that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products being priced beyond what customers are willing to pay would prevent or delay the commercialization of our products or require us to sell products at a loss until we are able to reduce costs, whether through volume production synergies or otherwise, either of which could materially and negatively impact our business, prospects, financial condition and operating results. We and our suppliers use various materials in our businesses and products, including for example semiconductors, energy storage materials, commodity materials and specialty metal alloys, and the prices for these materials fluctuate. The available supply of some of these materials and components is currently and may continue to be unstable, depending on market conditions and global demand, and could adversely affect our business and operating results. Risks relating to our supply chain also include:</w:t>
      </w:r>
    </w:p>
    <w:p>
      <w:pPr>
        <w:spacing w:after="0" w:line="284"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 American” or other similar requirements that may be imposed on government contractors;</w:t>
      </w:r>
    </w:p>
    <w:p>
      <w:pPr>
        <w:spacing w:after="0" w:line="319"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or decrease in the available supply, of semiconductor chips, electrical components, commodity materials and specialty alloys;</w:t>
      </w:r>
    </w:p>
    <w:p>
      <w:pPr>
        <w:spacing w:after="0" w:line="2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effects of the COVID-19 pandemic;</w:t>
      </w:r>
    </w:p>
    <w:p>
      <w:pPr>
        <w:spacing w:after="0" w:line="319"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events and conditions, such as inflation, labor shortages and war, as well as responses to such events and conditions (e.g., economic sanctions);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1" w:name="page42"/>
    <w:bookmarkEnd w:id="41"/>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of lithium-ion batteries due to quality issues, recalls or other factors;</w:t>
      </w:r>
    </w:p>
    <w:p>
      <w:pPr>
        <w:spacing w:after="0" w:line="31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global logistics, such as increased rates, constrained capacity and extended shipping delays; and</w:t>
      </w:r>
    </w:p>
    <w:p>
      <w:pPr>
        <w:spacing w:after="0" w:line="319"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any foreign currencies in which manufactured parts, commercial components and related raw material purchases are or may be denominated against the U.S. dollar.</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business is dependent on the continued supply of lithium-ion battery cells. While we have sourced a supplier of such cells, that supplier is not obligated to provide such cells to us and in any event may not be able or willing to meet all our requirements, especially as we commercialize our products. Any disruption in the supply of battery cells from such suppliers could disrupt production of our products. Furthermore, fluctuations or shortages in raw materials or components and other economic conditions may cause us to experience significant increases in freight charges and material costs. Substantial increases in the prices for our materials, such as those charged by battery cell suppliers, would increase our operating costs, and could reduce our margins if the increased costs cannot be recouped through increased RaaS subscription offering or unit sales prices. Any attempts to increase product prices in response to increased material costs could result in cancellations of orders and reservations and therefore materially and adversely affect our brand, business, prospects, financial condition and operating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very limited experience commercializing our products and may not be able to do so efficiently or effectively.</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Although we have sold products to individual customers in the past, we have very limited experience commercializing robotic systems at a large scale and may not be able to do so efficiently or effectively. Moreover, commercialization may be delayed due to the challenges discussed under "</w:t>
      </w:r>
      <w:r>
        <w:rPr>
          <w:rFonts w:ascii="Times New Roman" w:cs="Times New Roman" w:eastAsia="Times New Roman" w:hAnsi="Times New Roman"/>
          <w:sz w:val="18"/>
          <w:szCs w:val="18"/>
          <w:i w:val="1"/>
          <w:iCs w:val="1"/>
          <w:color w:val="auto"/>
        </w:rPr>
        <w:t>Initial production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commercial units of our Guardian XT and Guardian XO products may be delayed beyond our current expectations and therefore initial delivery to customers and receipt of anticipated revenue could be delayed.</w:t>
      </w:r>
      <w:r>
        <w:rPr>
          <w:rFonts w:ascii="Times New Roman" w:cs="Times New Roman" w:eastAsia="Times New Roman" w:hAnsi="Times New Roman"/>
          <w:sz w:val="18"/>
          <w:szCs w:val="18"/>
          <w:color w:val="auto"/>
        </w:rPr>
        <w:t>" A key element of our long-term business strategy is the continued growth in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training, 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or subscriptions and the penetration and adoption of our products into new markets. In addition, certain decisions we make regarding staffing in these areas in our efforts to maintain an adequate spending level while responsibly managing our financial resources could have unintended negative effects on our revenue, such as by weakening the sales, marketing and maintenance and servicing infrastructures or lowering the quality of customer service.</w:t>
      </w:r>
    </w:p>
    <w:p>
      <w:pPr>
        <w:spacing w:after="0" w:line="18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Our future capital needs may require us to sell additional equity or debt securities that may dilute our stockholders or introduce covenants that may restrict our operations or our ability to pay dividends.</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will require significant capital to operate our business and fund our capital expenditures for the next several years. We currently expect to obtain outside financing to help cover production costs for product orders. In addition, although we believe we have sufficient capital to fund our business for at least the next 12 months, we expect to seek additional financing during that time to bolster our cash reserves and ensure our ability to continue to pursue our business objectives. We will need to secure additional financing prior to achieving positive operating cash flows, and we do not anticipate achieving positive operating cash flows through at least the end of 2024. Even after achieving positive operating cash flows, we may need to raise significant amounts of additional capital to fund our business thereafter, including to finance ongoing research and development costs, manufacturing, any significant unplanned or accelerated expenses and new strategic alliances or acquisitions. The fact that we have limited experience commercializing our robotic systems on a large scale, coupled with the fact that our products represent a new product category in the commercial and industrial robotic market, means we have limited to no historical data on the demand for our robotic systems. In addition, we expect our capital expenditures to continue to be significant in the foreseeable future as we complete the designing and testing of and launch our products, and that our level of capital expenditures will be significantly affected by customer demand for our robotic systems. For example, RaaS subscriptions will require us to incur significant upfront expenditures to build our products, but we will only receive revenue over time during the term of the subscription. As a result, our future capital requirements are uncertain and actual capital requirements may be different from those we currently anticipate. We may need to seek equity or debt financing to finance a portion of our capital expenditures, and such financing might not be available to us in a timely manner or on terms that are acceptable, or at all.</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might not have sufficient resources to conduct our business as projected, both of which could mean that we would be forced to curtail or discontinue our operations.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sell additional equity or debt securities or obtain a credit facility. The sale of additional equity or equity-linked securities could dilute our stockholders. The incurrence of indebtedness would result in increased debt service obligations and could result in operating and financing covenants that would restrict our operations.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cannot raise additional funds when we need or want them, our operations, prospects and financial condition could be materially and adversely affected.</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core products represent a new product category, and important assumptions about market demand, pricing, adoption rates and sales cycles for our current and future products may be inaccurate.</w:t>
      </w:r>
    </w:p>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industrial highly-dexterous mobile robotic systems, including our core products the Guardian XT, Sapien 6M and Guardian XO, are a new product category in markets that are currently dominated by conventional, manual systems and automation. The market demand for and adoption of our products is unproven, and important assumptions about the characteristics of targeted markets (including our estimates of our total addressable market and serviceable obtainable market), pricing (including our analysis of potential customers’ willingness to pay), manufacturing capacity and capabilities and sales cycles (including the timing of achieving commercial sales volumes and associated manufacturing cost synergies) may be inaccurate. Although we have engaged in ongoing dialogue with potential customers, we have no outstanding binding commitments with commercial customers to purchase or to enter into RaaS subscriptions for the Guardian XT and Guardian XO. While we do have binding commitments with customers to develop and purchase Sapien products, these commitments are for relatively limited quantities of pre-commercial units. Existing or new regulatory or safety standards, or resistance by customer employees and labor unions, all of which are outside of our control, could cause delays or otherwise impair adoption of our products, which could materially and adversely affect our growth, operating results, financial condition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demand, whether due to new solutions that better address customer needs or otherwise, our products may not compete as effectively, if at all, and they may not be fully developed into commercial products. If demand does not develop as estimated or if we cannot accurately forecast pricing, adoption rates and sales cycle for our products, our business, results of operations and financial condition will be adversely affected, perhaps materially.</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With many of our products still under development, we have limited current customers and no binding orders for the commercial versions of our core products, the Guardian XT, Sapien 6M and Guardian XO, and expected customer trials and discussions with respect to those products may not result in binding orders or subscriptions.</w:t>
      </w:r>
    </w:p>
    <w:p>
      <w:pPr>
        <w:spacing w:after="0" w:line="1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began initial production of commercial units of the Sapien 6M in September 2022, and we currently believe that we will begin initial production of commercial units of the Guardian XT by the end of 2022, in each case to be available for delivery to customers in the first half of 2023. We currently believe that we will begin initial production of commercial units of the Guardian XO in the second half of 2023. With these core products still under development, we have limited current customers and no binding customer commitments for the commercial version of these products. At present, we have contracts for delivery of pre-commercial units with U.S. government customers and we also have had and currently have revenue generating contracts with both commercial and U.S. government customers for the development and testing of our Guardian XO and Guardian XT products. Although we have engaged in dialogue with potential customers about their interest in these core products, expected customer trials and discussions may not result in binding purchase orders or RaaS subscriptions. We have limited knowledge of the customer testing that will be required in order for customers to adopt our robotic systems. As such, customer testing may be longer than anticipated by us, and we may not be able to provide such testing to the satisfaction of prospective customers, which could result in longer sales cycles and fewer orders than anticipated. In addition, in order to build and maintain our business, we must maintain confidence among customers, suppliers, analysts, ratings agencies and other parties in our robotic systems, long-term financial viability and business prospects. Maintaining such confidence may be particularly complicated by certain factors including those that are largely outside of our control, such as our limited commercial experience, customer unfamiliarity with our products, any delays in scaling production, ability of manufacturing and service operations to meet demand, competition and uncertainty regarding the future of robotics. If we do not receive a sufficient number of binding purchase orders or RaaS subscriptions for our core products, our business, prospects, financial condition and operating results would be materially and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benefits of our products to customers and projected return on investment have not been substantiated through long-term trials or use.</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benefits to customers and projected return on investment of our products, in particular the Guardian XT, Sapien 6M and Guardian XO, have not been substantiated through long-term trials or use. We currently have a limited frame of reference by which to evaluate the performance of our robotic systems upon which our business prospects depend, and our products may not provide the expected benefits to customers. Our robotic systems may not perform consistent with customers’ expectations or consistent with other robotics products which may become available. Any failure of our robotic systems and software to perform as expected could harm our reputation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p>
      <w:pPr>
        <w:jc w:val="both"/>
        <w:spacing w:after="0" w:line="250" w:lineRule="auto"/>
        <w:rPr>
          <w:sz w:val="20"/>
          <w:szCs w:val="20"/>
          <w:color w:val="auto"/>
        </w:rPr>
      </w:pPr>
      <w:r>
        <w:rPr>
          <w:rFonts w:ascii="Times New Roman" w:cs="Times New Roman" w:eastAsia="Times New Roman" w:hAnsi="Times New Roman"/>
          <w:sz w:val="18"/>
          <w:szCs w:val="18"/>
          <w:color w:val="auto"/>
        </w:rPr>
        <w:t>and result in adverse publicity, lost revenue, order cancellation, harm to our brand, delivery delays, product recalls, product liability claims and significant warranty and other expenses and could have a material adverse impact on our business, prospects, financial condition and operating results. Additionally, problems and defects experienced by competitors or others in the robotics market could, by association, have a negative impact on perception and customer demand for our robotic systems.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attract or retain customers at sufficient rates or at all.</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core products are still under development. We have very limited experience commercializing our products and may not be able to do so efficiently or effectively. Although we have engaged in ongoing dialogue with potential future customers, there are currently no binding commitments with commercial customers to purchase or enter into RaaS agreements with respect to our Guardian XO and Guardian XT products. Further, although we have binding commitments with customers to develop and purchase our Sapien products, these commitments are for relatively limited quantities of pre-commercial units and we will need to grow our sales of our Sapien products. To grow our customer base, we must achieve binding commitments from expected customers and add new customers, which we may not be able to do in sufficient numbers or at all. Even if we are able to attract customers, these customers may not maintain a high level of commitment to our products or purchase our products in large volumes. In addition, we will incur marketing, sales or other expenses, including referral fees, to attract new customers, which will offset revenue from such customers. For these and other reasons, we could fail to achieve revenue growth, which would adversely affect our results of operations, prospects and financial condition.</w:t>
      </w:r>
    </w:p>
    <w:p>
      <w:pPr>
        <w:spacing w:after="0" w:line="1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If customers or their employees do not perceive our product offerings to be of value or to be easy and comfortable to use, we may not be able to attract and retain customers and customers may fail to purchase additional units or renew their RaaS subscriptions. If our efforts to satisfy and retain our existing customers are not successful, we may not be able to attract customers, and as a result, our ability to maintain and/or grow our business will be adversely affected. Customers may fail to purchase additional units or cancel their subscription for many reasons, including difficulties by employees in using the products, insufficient use by customers of robotic systems, negative reception by employees or labor unions and customer service or maintenance and servicing issues that are not satisfactorily resolved. Customer retention will also be largely dependent on the quality and effectiveness of our customer service and maintenance and servicing operations, which may be handled internally by our personnel and also by third-party service providers. Outsourcing of certain customer service and claims administration or maintenance and servicing functions may reduce our ability to ensure consistency in our overall customer service processes. If we are unable to successfully retain existing customers and attract new customers and achieve volume sales of our products, our business, prospects, financial condition and operating results will be materially and adversely affected.</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successfully market our products, the purchase or subscription, adoption and use of the products may be materially and negatively impacted if the employees of our customers resist the use and adoption of the products.</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designing our robotic systems with the goal of augmenting the workforce to increase productivity and reduce workplace injuries. Even if we successfully market our products to customers, the purchase or subscription, adoption and the use of the products may be materially and negatively impacted if the employees of our customers resist the use and adoption of the products. Customer employees may resist the adoption of our products for several reasons, including lack of instruction on how to safely and effectively use the units, a perception that the benefit of the use of the products does not outweigh the perceived difficulties or discomfort associated with use, resistance by labor unions and workplace injuries resulting from use of the products, among others. We are spending significant time and resources on pre-commercial units of our Guardian XT and Guardian XO products for customer testing and continue customer testing with our commercial units of our Sapien 6M product. If the employees of our customers resist adoption of our robotic systems, our business, prospects, financial condition and operating results will be materially and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RaaS subscription model has yet to be tested and may fail to gain commercial acceptance.</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success of our strategy to build recurring revenue streams through our RaaS subscription model depends on our ability to successfully market our products and the benefits to customers of the RaaS subscription model and to successfully develop a network of ongoing customers for our new RaaS revenue model. Investors should be aware of the difficulties normally encountered by a new business model, many of which are beyond our control, including substantial risks and expenses while establishing or entering new markets, setting up operations and undertaking marketing activities. Customers may not perceive benefits to the RaaS subscription model.</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we will continue to own units while they are used by our RaaS customers, we will be subject to risks associated with ongoing ownership of the units, including the risks of deterioration, damage or theft and higher maintenance and servicing costs, as well as potential product liability risks. Any of these could result in higher costs to us, and could lead to customer dissatisfaction. The likelihood of our success must be considered in light of these risks, expenses, complications and delays and the competitive environment in which we operate. There is, therefore, nothing at this time upon which to base an assumption that our RaaS business model will prove successful.</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successful in commercializing our products, our revenue will be concentrated in a limited number of models for the foreseeable future.</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If we are successful in commercializing our products, our revenue will be concentrated in a limited number of models for the foreseeable future. We began initial production of commercial units of the Sapien 6M in September 2022, and we currently believe that we will begin initial production of commercial units of the Guardian XT by the end of 2022, in each case to be available for delivery to customers in the first half of 2023. We currently believe that we will begin initial production of commercial units of the Guardian XO in the second half of 2023. Such timeline may be delayed, including due to challenges in recruiting skilled employees, difficulties in securing components and materials, development delays, difficulties relating to manufacturing of the units and other factors. See "</w:t>
      </w:r>
      <w:r>
        <w:rPr>
          <w:rFonts w:ascii="Times New Roman" w:cs="Times New Roman" w:eastAsia="Times New Roman" w:hAnsi="Times New Roman"/>
          <w:sz w:val="18"/>
          <w:szCs w:val="18"/>
          <w:i w:val="1"/>
          <w:iCs w:val="1"/>
          <w:color w:val="auto"/>
        </w:rPr>
        <w:t>Initial production of commercial units of our Guardian XT and Guardian XO products may be delayed beyond our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expectations and therefore initial delivery to customers and receipt of anticipated revenue could be delayed." </w:t>
      </w:r>
      <w:r>
        <w:rPr>
          <w:rFonts w:ascii="Times New Roman" w:cs="Times New Roman" w:eastAsia="Times New Roman" w:hAnsi="Times New Roman"/>
          <w:sz w:val="18"/>
          <w:szCs w:val="18"/>
          <w:color w:val="auto"/>
        </w:rPr>
        <w:t>Such challenges may result in delay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anticipated commercial launch of one or more of our core products, which would adversely affect our financial and operating results. Further, although we have expanded our product offering through the acquisition of RE2 and its Sapien products, we expect that our revenue will still be concentrated in a relatively limited number of models for the foreseeable future, and we will need to continue to develop the Sapien products and expand the customer base for these products to diversify our revenue and customers. To the extent our products do not meet customer expectations, or cannot be completed or manufactured on their projected timelines and in line with cost and volume targets, our future sales and operating results may be adversely affected. Given that for the foreseeable future our business will depend on a limited number of models, both before and after we begin commercial sales of our Guardian and Sapien products, to the extent a particular model is not well-received by the market, our sales volumes and revenue would likely be materially and adversely affected, which would have a material adverse effect on our business, prospects, financial condition and operating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complete or enhance our product offerings through our research and development efforts.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order to commence initial production of commercial units of our products, we need to complete our development efforts. We will also likely need to continue to advance and evolve our products in response to the evolving demands of our customers in the various industries we expect to serve. We began initial production of commercial units of the Sapien 6M in September 2022, and we currently believe that we will begin initial production of commercial units of the Guardian XT by the end of 2022, in each case to be available for delivery to customers in the first half of 2023. We currently believe we will begin initial production of commercial units of the Guardian XO in the second half of 2023. Further, the other models forming our Sapien product line are in various stages of development and commercialization. We will incur significant additional product development efforts and expenses, and we may not be successful in commercializing or marketing our core products at all or within our currently expected timelines.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notwithstanding our market research efforts, our current and future products may not be accepted by customers or their employees. The success of any proposed product offerings will depend on numerous factors, including our ability to:</w:t>
      </w:r>
    </w:p>
    <w:p>
      <w:pPr>
        <w:spacing w:after="0" w:line="162"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recruit and retain qualified personnel, including engineers, design and production personnel and service technicians;</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preferred product features in multiple industries, such as aerospace, automotive, logistics, defense, oil and gas, power and utilities, construction and manufacturing, and successfully incorporate those features into our products;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proposed products in sufficient quantities and in a timely manner;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our intellectual property and avoid infringing upon the intellectual property rights of third parties;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productivity, efficacy and safety benefits of our products.</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managed and expect to continue to manage our product development efforts through the development of alpha units, beta units and commercial units, though we also make iterative improvements throughout the development process. If we fail to adequately communicate to customers product improvements throughout the development process, or if customer feedback is not adequately reflected in our product improvements, customers may not be persuaded of the value of our products. If we fail to generate demand by developing products that incorporate features desired by customers or their employees, we may fail to generate revenue sufficient to achieve or maintain profitability. We have in the past experienced, are experiencing and may in the future experience, delays in various phases of product development, including during research and development, manufacturing, limited release testing,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or subscriptions to our products, or to purchase or subscribe for competitors’ products. Even if we are able to successfully develop our products when anticipated, we may not produce sales in excess of the costs of development, and our products may be quickly rendered obsolete by changing customer preferences or the introduction by competitors of products embodying new technologies or features. If we are unable to successfully manage our product development and communications with customers,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customers may choose to not adopt, to cancel or to not renew RaaS subscriptions, which would adversely affect our business, prospects, financial condition and operating results.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benefits to customers of our products could be supplanted by other technologies or solutions or competitors' products that utilize similar technology to ours in a more effective way.</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benefits to customers of our products could be supplanted by other technologies or solutions (such as industrial automation) or competitors' products that utilize similar technology to ours (such as artificial intelligence) in a more effective way. Although we believe that by seeking to augment, rather than replace, humans for jobs that cannot be or are not practical to be automated, our products will be superior to the artificial intelligence and industrial automation products currently available, we cannot be sure that alternative technologies or improvements to artificial intelligence, industrial automation or other technologies, processes or industries will not match or exceed the benefits introduced by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decreased revenue and a loss of market share to competitors. Our research and development efforts may not be sufficient to adapt to new or changing technologies. While we plan to upgrade and adapt our robotic systems as we or others develop new technology, our robotic systems may not compete effectively with alternative products if we are not able to source and integrate the latest technology into our units.</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Design flaws, defects, glitches or malfunctions in our products or the software that operates them, failure of our products to perform as expected, connectivity issues or user errors can result in product recalls, lower than expected return on investment for customers, harm to users and significant safety concerns, each of which could materially and adversely affect our results of operations, financial condition or reputation.</w:t>
      </w:r>
    </w:p>
    <w:p>
      <w:pPr>
        <w:spacing w:after="0" w:line="1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design, manufacture and marketing of our products involve certain inherent risks. Manufacturing or design defects, glitches, malfunctions, connectivity issues between the central processing unit and the robotic system, unanticipated use of our robotic systems, user errors or inadequate disclosure of risks relating to the use of the robotic systems, among others, can lead to injury, property damage or other adverse events. For example, the absence of redundant sub-systems in the Guardian XO could result in injury to person or property if a sub-system fails while the robot is in use. We conduct extensive testing of our units, in some instances in collaboration with our customers, to ensure that any such issues can be identified and addressed in advance of commercial launch of the products. However, we may not be able to identify all such issues or that, if identified, efforts to address them may not be effective in all cases, and our product testing may not be adequate. Injuries to users have occurred during the testing of our products. In each case, we conducted thorough investigations to identify the cause or causes of each incident and, when appropriate, implemented changes to testing protocols or to the units to prevent such incidents from reoccurring. However, any implemented improvements may not fully prevent similar or other incidents in the future. Users of the Guardian XO will be wearing the unit while it is in use, which could worsen the consequences of an accident. Moreover, because of the size and weight of the units, and the nature and variability of the environments in which we expect our products to be used, such as manufacturing and assembly lines, construction, field service and warehouses for the Guardian XO and hazardous environments and at-height for the Guardian XT and Sapien 6M, adverse events relating to the use of our products could include significant injuries or even death. To the extent that design defects, glitches, malfunctions or connectivity issues between the central processing unit and the robotic system are discovered during or after the production of pre-commercial and/or commercial units, we will experience delays in the initial production and/or continued production of our commercial products while the issues are resolved. If the issues cannot be adequately resolved, production of commercial units may not occur and/or resume.</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we are designing the Guardian XO to include important safety features and accommodate customer-specialized protective gear and fall-prevention devices, we may not be able to successfully incorporate sufficient redundancy or other safety features to avoid injuries in the commercial version of the product.</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we may not be aware of manufacturing defects until injury to person or property has occurred. Such adverse events could lead to recalls or safety alerts relating to our products (either voluntary or required by governmental authorities), and could result, in certain cases, in the removal of our products from the market. A recall could result in significant costs. To the extent any manufacturing defect occurs, and such products are manufactured for us by third parties, our agreement with the third-party manufacturer may contain a limitation on the third-party manufacturer’s liability, and therefore we could be required to incur the majority of related costs. Product defects or recalls could also result in negative publicity, damage to our reputation or, in the event of regulatory developments, delays in new product approvals.</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products incorporate sophisticated computer software and firmware. Complex software and firmware frequently contain errors, especially when first introduced. Our software and/or firmware may experience errors or performance problems in the future. If any part of our products’ hardware or software were to fail, the user could experience serious injury or even death. Additionally, users may not use our products in accordance with safety protocols and training, which could amplify the risk of death or injury. Customers and users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18"/>
          <w:szCs w:val="18"/>
          <w:color w:val="auto"/>
        </w:rPr>
        <w:t>also may fail to install updates and fixes to the software for several reasons including poor connectivity, inattention or failure to regularly dock Guardian XO units. Any such occurrence could cause delay in market acceptance of our products, damage to our reputation, product recalls, increased service and warranty costs, product liability claims and loss of revenue.</w:t>
      </w:r>
    </w:p>
    <w:p>
      <w:pPr>
        <w:spacing w:after="0" w:line="16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We anticipate that in the ordinary course of business we may be subject to product liability claims alleging defects in the design or manufacture of our products. A product liability claim, regardless of its merit or eventual outcome, could result in significant legal defense costs and high punitive damage payments, damage to our reputation or require significant costs to redesign or fix our products.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spacing w:after="0" w:line="1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perform properly and are used as intended, if users sustain any injuries while operating our products, we could be exposed to liability and our results of operations, financial condition and our reputation may be adversely affected.</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products contain complex technology and must be used as designed and intended in order to operate safely and effectively. For example, we are developing the Guardian XT unit as an augmented or mixed reality-enabled highly-dexterous teleoperated robotic system to perform intricate and even dangerous tasks. We expect that users will control the unit at a distance by utilizing augmented reality teleoperation. While we expect to develop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users were to sustain injuries or cause damage to property while operating our products, in a manner consistent with our training and instructions or otherwise, we could be exposed to liability and our results of operations, financial condition and our reputation may be adversely affected.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experience maintaining or servicing our products at a large scale.</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Under the RaaS subscription model, we will be responsible for maintenance and servicing of the units. However, we have no experience providing maintenance and servicing at a large scale. We may elect to partner with one or more third parties to perform some or all of the servicing and maintenance on our products, but we may not be able to enter into an acceptable arrangement with any such third-party provider. Although such servicing partners may have experience in servicing complex machinery, they will initially have limited experience in servicing our robotic systems. If we are unable or elect not to enter into a partnership with third parties to perform maintenance and servicing, we would be required to provide such services directly, which would significantly increase our capital expenditures and personnel costs. We would also be required to recruit and train employees to provide these services and we may not be able to attract persons with the necessary knowledge or experience to provide these services. Delays in implementing a maintenance and servicing infrastructure may significantly delay new RaaS subscriptions due to smaller than expected maintenance and servicing capacity.</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our service and maintenance arrangements may not adequately address the service and maintenance requirements of our customers to their satisfaction, and we and our servicing partners may not have sufficient resources, experience or inventory to meet these service requirements in a timely manner as the volume of robotic systems we deliver increases. Even if we and our servicing partners have the resources and experience needed, we and our servicing partners still may not adequately service or maintain the units. If we are unable to, directly or through third-party partners, roll out and establish a widespread service network, including on-site services, customer satisfaction could be adversely affected, which in turn could materially and adversely affect our reputation and thus our sales, results of operations and prospects.</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customers will also depend on our customer support team to resolve technical and operational issues relating to the integrated software underlying our robotic systems. In addition, the RaaS subscription model will require us to cover costs relating to servicing and maintenance of the robotic systems. Customer behavior and usage may result in higher-than-expected maintenance and repair costs. Moreover, if RaaS customers do not pay the subscription fee while the units are out of service, there could be an adverse impact on our financial condition and operating results.</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we continue to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operating results. If we are unable to successfully address the service requirements of our customers or we establish a market perception that we do not maintain high-quality support, we may be subject to claims from our customers, including loss of revenue or damages, and our business, prospects, financial condition and operating results may be materially and adversely affected.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7" w:name="page48"/>
    <w:bookmarkEnd w:id="47"/>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and manufacture products of sufficient quality on schedule and on a large scale is unproven, and delays in the design, production and launch of our products could harm our business, prospects, financial condition and operating results.</w:t>
      </w:r>
    </w:p>
    <w:p>
      <w:pPr>
        <w:spacing w:after="0" w:line="13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Our future business depends in large part on our ability to execute our plans to design, develop, manufacture, market, deploy and service our products. We intend to outsource the manufacturing of our robotic systems to a third-party manufacturing partner, which would reduce our direct control over production and manufacturing. Such diminished control may have an adverse effect on the quality or quantity of our units, or our flexibility to respond to changing conditions. In addition, engaging a third-party manufacturer involves significant time, ramp-up, testing and coordination before high-volume production capability by the partner is achieved. While we currently do not anticipate high-volume production by a contract manufacturing partner to be in place until at least the end of 2023, we have begun initial engagement activities with a contract manufacturing partner that we expect will produce a high percentage of our products during 2023 once they begin production of our products.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plan to retain third-party vendors and service providers to engineer, design and test some of the critical systems and components of our units. While this allows us to draw from such third parties’ industry knowledge and expertise, such systems and components may not be successfully developed to our specifications or delivered in a timely manner to meet our program timing requirements.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continued development and manufacturing of our products are and will be subject to risks, including with respect to:</w:t>
      </w:r>
    </w:p>
    <w:p>
      <w:pPr>
        <w:spacing w:after="0" w:line="212" w:lineRule="exact"/>
        <w:rPr>
          <w:sz w:val="20"/>
          <w:szCs w:val="20"/>
          <w:color w:val="auto"/>
        </w:rPr>
      </w:pPr>
    </w:p>
    <w:p>
      <w:pPr>
        <w:ind w:left="76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the need to order supplies in excess of demand due to minimum quantity requirements or price thresholds;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be incurred by us and/or any third-party manufacturing partner or partners in meeting our specifications and design tolerances;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effects of the COVID-19 pandemic or other pandemics, epidemics or outbreaks;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a sufficient number of qualified employees (we have historically been understaffed due to these challenges);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and short-term durability of our robotic systems to withstand day-to-day wear and tear;</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delivery of final systems and components by our suppliers;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of robotic systems units in excess of demand due to contractual requirements or unexpected changes in demand;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demand for our products or new product feature requirements;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controls, particularly as we plan to expand our production capabilities;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national or global economic or political conditions, including war, inflation and interest rates;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labor strikes and other labor disputes affecting us or our suppliers, third-party manufacturers and other partners;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delays and cost overruns.</w:t>
      </w:r>
    </w:p>
    <w:p>
      <w:pPr>
        <w:spacing w:after="0" w:line="3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or may be subject to risks associated with strategic alliances or acquisitions and may not be able to identify adequate strategic relationship opportunities, or form strategic relationships, in the future.</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may seek to enter into strategic alliances, joint ventures, minority equity investments, acquisitions, collaborations and in-license arrangements. There is no guarantee that any of these partnerships or acquisitions would lead to any binding agreements or lasting or successful business relationships with third parties or that any of the other anticipated benefits will be achieved. If any of these relationships are established, they may subject us to a number of risks, including risks associated with sharing proprietary information, non-performance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spacing w:after="0" w:line="18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We expect that strategic business relationships will be an important factor in the growth and success of our business. However, we may not be able to identify or secure suitable business relationship opportunities in the future or our competitors may capitalize on such</w:t>
      </w: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8" w:name="page49"/>
    <w:bookmarkEnd w:id="48"/>
    <w:p>
      <w:pPr>
        <w:jc w:val="both"/>
        <w:spacing w:after="0" w:line="250" w:lineRule="auto"/>
        <w:rPr>
          <w:sz w:val="20"/>
          <w:szCs w:val="20"/>
          <w:color w:val="auto"/>
        </w:rPr>
      </w:pPr>
      <w:r>
        <w:rPr>
          <w:rFonts w:ascii="Times New Roman" w:cs="Times New Roman" w:eastAsia="Times New Roman" w:hAnsi="Times New Roman"/>
          <w:sz w:val="18"/>
          <w:szCs w:val="18"/>
          <w:color w:val="auto"/>
        </w:rPr>
        <w:t>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When appropriate opportunities arise, we have in the past, and may in the future acquire additional assets, products, technologies or businesses that are complementary to our existing business. From time to time,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and financial results.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1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senior management and other key employees and, if we are unable to attract and retain a sufficient number of qualified employees, our ability to design, manufacture and launch our products, operate our business and compete could be harmed.</w:t>
      </w:r>
    </w:p>
    <w:p>
      <w:pPr>
        <w:spacing w:after="0" w:line="13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Our success depends, in part, on our ability to retain our key personnel. The unexpected loss of or failure to retain one or more of our senior managers or other key employees could delay product development and require outsourcing to third parties, each of which in turn could adversely affect our business. Our success also depends, in part, on our continuing ability to identify, hire, attract, train and develop other highly qualified personnel. Experienced and highly skilled employees are in high demand and competition for these employees can be intense,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Our headquarters are in Salt Lake City, Utah, which has fewer highly skilled employees in the robotics field than other major metropolitan areas. To attract and retain key personnel, we may need to open offices in other areas of the country, which could increase costs and reduce productivity. As a result of our acquisition of RE2, a significant number of our employees are located in Pittsburgh, Pennsylvania. As an organization, we do not have meaningful experience managing two large facilities and employee bases in different geographies and across different time zones. Any failure by our management team and our employees to perform as expected may have a material adverse effect on our ability to design, manufacture and launch our products or to operate our business and compete, as well as on our business, prospects, financial condition and operating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as a group has limited experience in operating a publicly-traded company.</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Although some members of our management have public company experience, our management team may not successfully or effectively manage its transition to operating as a public company subject to significant regulatory oversight and reporting obligations under U.S. securities laws. Our executive officers as a group have limited experience in the management of a publicly-traded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will need to recruit additional persons to join our management team in order to handle the increased demands of running a public company, but our efforts may not be successful. We may not have adequate personnel with the appropriate level of knowledge, experience and training in the accounting policies, practices or internal control over financial reporting required of public companies. Any failure by our management team to effectively and efficiently meet our obligations as a publicly-traded company could have a material adverse effect on our business, prospects, financial condition and operating results and/or result in legal liability or other negative consequences.</w:t>
      </w:r>
    </w:p>
    <w:p>
      <w:pPr>
        <w:spacing w:after="0" w:line="1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expenses and administrative burdens as a publicly-traded company, which could have a material adverse effect on our business, prospects, financial condition and operating results.</w:t>
      </w:r>
    </w:p>
    <w:p>
      <w:pPr>
        <w:spacing w:after="0" w:line="1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a publicly-traded company, we are incurring legal, accounting and other expenses that we previously did not have, and these expenses may increase even more as we continue to implement and strengthen controls, processes and systems and to hire related personnel and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Nasdaq. Our management and other personnel will be devoting a substantial amount of time to these compliance initiatives. We have expanded our employee base and we will need to hire additional employees to support our operations as a public company, which will increase our operating costs in future periods. Moreover, these rules and regulations have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9" w:name="page50"/>
    <w:bookmarkEnd w:id="49"/>
    <w:p>
      <w:pPr>
        <w:jc w:val="both"/>
        <w:spacing w:after="0" w:line="247" w:lineRule="auto"/>
        <w:rPr>
          <w:sz w:val="20"/>
          <w:szCs w:val="20"/>
          <w:color w:val="auto"/>
        </w:rPr>
      </w:pPr>
      <w:r>
        <w:rPr>
          <w:rFonts w:ascii="Times New Roman" w:cs="Times New Roman" w:eastAsia="Times New Roman" w:hAnsi="Times New Roman"/>
          <w:sz w:val="18"/>
          <w:szCs w:val="18"/>
          <w:color w:val="auto"/>
        </w:rPr>
        <w:t>substantially increased our legal and financial compliance costs and make some activities more time-consuming and costly. These increased costs have increased our net loss. For example, it has been more difficult and more expensive for us to obtain director and officer liability insurance and we have incurred substantially higher costs to obtain appropriate coverage than we incurred as a private company. We cannot accurately predict or estimate the amount or timing of all the additional costs we may incur. The impact of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could have a material adverse effect on our business, financial condition and operating results.</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Ongoing impacts from COVID-19 or another pandemic, epidemic or outbreak of an infectious disease may materially and adversely impact our business, prospects, financial condition and operating results.</w:t>
      </w:r>
    </w:p>
    <w:p>
      <w:pPr>
        <w:spacing w:after="0" w:line="1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ongoing COVID-19 pandemic has adversely impacted our business, and it, as well as other possible health pandemics, epidemics or outbreaks, may materially and adversely impact our business, prospects, financial condition and operating results in the future. Our engineering and product development operations, among others, cannot all be conducted in a remote working structure and often require on-site access to materials and equipment. We have customers with international operations in varying industries. We also depend on suppliers and manufacturers worldwide. We are currently experiencing</w:t>
      </w:r>
    </w:p>
    <w:p>
      <w:pPr>
        <w:spacing w:after="0" w:line="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disruptions in our supply chain, as discussed under "</w:t>
      </w:r>
      <w:r>
        <w:rPr>
          <w:rFonts w:ascii="Times New Roman" w:cs="Times New Roman" w:eastAsia="Times New Roman" w:hAnsi="Times New Roman"/>
          <w:sz w:val="18"/>
          <w:szCs w:val="18"/>
          <w:i w:val="1"/>
          <w:iCs w:val="1"/>
          <w:color w:val="auto"/>
        </w:rPr>
        <w:t>We are dependent on our suppliers, some of which are currently single, sole or limited source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suppliers, and the inability of these suppliers to deliver necessary components of our products at the prices and volumes, performance, timing and specifications acceptable to us, could have a material adverse effect on our business, prospects, financial condition and operating results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have not yet</w:t>
      </w: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identified all of the suppliers that we are likely to rely on to support any future commercialization of our core products.</w:t>
      </w:r>
      <w:r>
        <w:rPr>
          <w:rFonts w:ascii="Times New Roman" w:cs="Times New Roman" w:eastAsia="Times New Roman" w:hAnsi="Times New Roman"/>
          <w:sz w:val="18"/>
          <w:szCs w:val="18"/>
          <w:color w:val="auto"/>
        </w:rPr>
        <w:t>" Depending upon the duration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ongoing COVID-19 pandemic and the associated business interruptions, which may linger for some time even if significant health risks abate, our customers, suppliers, manufacturers and partners may suspend or delay their engagement with us, which could result in a material adverse effect on our financial condition and ability to meet current timelines. The COVID-19 pandemic has adversely affected and may continue to adversely affect our ability to recruit skilled employees to join our team and to meet our product development timelines. Our response to the ongoing COVID-19 pandemic and its ongoing impacts on our supply chain and business activities may prove to be inadequate, and we may be unable to continue our operations in the manner we had prior to the outbreak and may endure interruptions, reputational harm and delays in our product development and shipments, any of which could have a material adverse effect on our business, prospects, financial condition and operating results. In addition, when the COVID-19 pandemic subsides, we cannot assure you as to the timing of any economic recovery or return to normal supply chain conditions, which could continue to have a material adverse effect on our target markets and our business.</w:t>
      </w:r>
    </w:p>
    <w:p>
      <w:pPr>
        <w:spacing w:after="0" w:line="18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design, manufacturing, marketing, distribution, servicing or use of our products, and a failure to comply with such regulations could lead to withdrawal or recall of our products from the 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delay our projected revenue, increase costs or make our business unviable if we are unable to modify our products to comply.</w:t>
      </w:r>
    </w:p>
    <w:p>
      <w:pPr>
        <w:spacing w:after="0" w:line="155"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We may become subject to new or changing international, national, state and local regulations, including laws relating to the design, manufacturing, marketing, distribution, servicing or use of our products. Such laws and regulations may require us to pause sales and modify our products, which would likely result in a material adverse effect on our revenue and financial condition, especially if implemented on a large scale or in a key market.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significant delays in the design, development, production and launch of our robotic systems, which could harm our business, prospects, financial condition and operating results.</w:t>
      </w:r>
    </w:p>
    <w:p>
      <w:pPr>
        <w:spacing w:after="0" w:line="15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Guardian XT and Guardian XO products are still in the development and testing phase, and, although we began initial production of our Sapien 6M product in September 2022, we continue to test the Sapien 6M. We currently believe that we will begin initial production of commercial units of the Guardian XT by the end of 2022, and that the Guardian XT and Sapien 6M will be available for delivery to customers in early 2023. We currently believe that we will begin initial production of commercial units of the Guardian XO in the second half of 2023. However, these events may occur later or not at all and therefore delivery of our various products to customers could be beyond these estimated dates. Such timelines may be delayed, including due to challenges in recruiting skilled employees, difficulties in securing components and materials, design and development delays, difficulties relating to manufacturing of the units and other factors discussed under "</w:t>
      </w:r>
      <w:r>
        <w:rPr>
          <w:rFonts w:ascii="Times New Roman" w:cs="Times New Roman" w:eastAsia="Times New Roman" w:hAnsi="Times New Roman"/>
          <w:sz w:val="18"/>
          <w:szCs w:val="18"/>
          <w:i w:val="1"/>
          <w:iCs w:val="1"/>
          <w:color w:val="auto"/>
        </w:rPr>
        <w:t>Initial production of commercial units of our Guardian XT and Guardian XO products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 delayed beyond our current expectations and therefore initial delivery to customers and receipt of anticipated revenue could be delayed.</w:t>
      </w:r>
      <w:r>
        <w:rPr>
          <w:rFonts w:ascii="Times New Roman" w:cs="Times New Roman" w:eastAsia="Times New Roman" w:hAnsi="Times New Roman"/>
          <w:sz w:val="18"/>
          <w:szCs w:val="18"/>
          <w:color w:val="auto"/>
        </w:rPr>
        <w:t>" Any delay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design, development, production and release of our products could materially damage our brand, business, prospects, financial condition and operating results. We may experience delays in the design, development, production and release of new products,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including due to integration, safety and performance issues. To the extent we delay the commercial launch of our robotic systems, our growth prospects and operating results will likely be adversely affected.</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to date in high volume manufacture of our products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nor do we have the facility, employees or equipment needed to manufacture our products in high volumes.</w:t>
      </w:r>
    </w:p>
    <w:p>
      <w:pPr>
        <w:spacing w:after="0" w:line="1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intend to enter into contracts with one or more third-party manufacturers to produce our robotic systems. Our future third-party manufacturers may not be able to develop efficient, automated, low-cost production capabilities and processes and reliable sources of component supply to enable us to meet the quality, price, engineering, design and production standards, as well as the production volumes, required to successfully mass market our robotic systems. Even if we and our third-party manufacturers are successful in developing high-volume production capability and processes and reliably sourcing components, we may not be able to avoid significant delays and cost overruns, including as a result of factors beyond our control such as problems with suppliers and vendors or force majeure events, meet our unit commercialization schedules or satisfy customer requirements. We have recently conducted an extensive evaluation process with a number of potential contract manufacturing partners and expect to generally outsource manufacturing of our products. However, engaging with a manufacturing partner will require significant time, ramp-up, testing and coordination before high-volume production capability by the partner is achieved. While we currently do not anticipate high-volume production by a contract manufacturing partner to be in place until at least the end of 2023, we have begun initial engagement activities with a contract manufacturing partner that will produce a high percentage of our products during 2023. We expect that in 2023 we will have the internal capability to manufacture a total of between 300 – 500 units of a combination of Guardian XT, Guardian XO, Sapien 6M, and our existing commercial products, depending on the mix. However, we do not believe that will use all of that capacity in 2023, especially after engaging a contract manufacturing partner.</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are unable to enter into agreements with third-party manufacturers on acceptable terms, we will need to develop our own manufacturing and production capabilities, significantly increasing our capital expenditures and delaying production of our robotic systems. If this were to occur, we would need to raise or borrow additional money, which may not be available on terms acceptable to us or at all, and possibly change our product pricing expectations, which could adversely affect our margins and cash flows.</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failure to develop production processes and capabilities within our projected costs and timelines could have a material adverse effect on our business, prospects, financial condition and operating results.</w:t>
      </w:r>
    </w:p>
    <w:p>
      <w:pPr>
        <w:spacing w:after="0" w:line="15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period of time from initial design of our products to obtaining binding purchase commitments from customers is long and we are subject to the risk that customers who initially expressed an interest in our products during the design phase will not enter into binding commitments.</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products contain complex technology that requires multiple years of engineering and design. Therefore, the period of time from initial design of our products to obtaining binding purchase commitments from customers is long and we are subject to the risk that customers who initially expressed an interest in our products during the design phase will not enter into binding commitments. The design of our products is significantly influenced by feedback from potential customers and reflects the needs they express. Further, some of our products have been designed to meet the specific use-cases of a particular customer. As a result, adapting our products to other industries or customers may require additional design, development, testing, work and expenses. We may not be able to adapt our products to reflect such feedback successfully or at all. If customers who initially express an interest in our proposed products and influenced their design ultimately do not enter into binding commitments to purchase or enter into RaaS subscriptions for our products, or if they adopt a competitors’ technology, our business, prospects, financial condition and operating results would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control costs and liability is dependent on developing sufficient screening criteria for our RaaS customers.</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ability to realize revenue and reduce liability related to our RaaS subscription model is heavily dependent on our ability to effectively screen customers for high-risk activities or environments that could result in higher costs for us. We have limited experience with our RaaS subscription model and may not be able to develop effective customer screening criteria. We may need to rely on third-party service providers to develop effective screening criteria, which will result in additional cost to us. Our screening criteria may also need to be adjusted over time to satisfy requirements under applicable law or from our insurers, lenders or other third-party service providers. We must balance the need to develop effective screening criteria with our need to attract new customers or market to different industry segments.</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prospects depend significantly on our ability to build our brands. We may not succeed in continuing to establish, maintain and strengthen our brands, and our brands and reputation could be harmed by negative publicity regarding us or our products.</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business and prospects are heavily dependent on our ability to develop, maintain and strengthen our brands. If we do not continue to establish, maintain and strengthen our brands, we may lose the opportunity to build a critical mass of customers. Promoting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1" w:name="page52"/>
    <w:bookmarkEnd w:id="51"/>
    <w:p>
      <w:pPr>
        <w:jc w:val="both"/>
        <w:spacing w:after="0" w:line="250" w:lineRule="auto"/>
        <w:rPr>
          <w:sz w:val="20"/>
          <w:szCs w:val="20"/>
          <w:color w:val="auto"/>
        </w:rPr>
      </w:pPr>
      <w:r>
        <w:rPr>
          <w:rFonts w:ascii="Times New Roman" w:cs="Times New Roman" w:eastAsia="Times New Roman" w:hAnsi="Times New Roman"/>
          <w:sz w:val="18"/>
          <w:szCs w:val="18"/>
          <w:color w:val="auto"/>
        </w:rPr>
        <w:t>positioning our brands will likely depend significantly on our ability to provide high quality products and engage with our customers as intended. In addition, our ability to develop, maintain and strengthen our brands may depend on the acceptance of our products by employees of our customers. To promote our brands, we may be required to change or expand our customer development and branding practices, which could result in substantially increased expenses. If we do not develop and maintain strong brands, our business, prospects, financial condition and operating results will be materially and adversely impacted.</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if safety incidents occur or are perceived to have occurred, whether or not such incidents are our fault, we could be subject to adverse publicity or resistance by employees of our customers or labor unions. In particular, given the popularity of social media, any negative publicity, whether true or not, could quickly proliferate and harm perceptions and confidence in our brands. Furthermore, there is the risk of potential adverse publicity related to our manufacturing or other partners whether or not such publicity is related to their collaboration with us. Our ability to successfully position our brands could also be adversely affected by perceptions about the quality of our competitors’ products.</w:t>
      </w:r>
    </w:p>
    <w:p>
      <w:pPr>
        <w:spacing w:after="0" w:line="17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expected transition to an outsourced manufacturing business model may not be successful, which could harm our ability to deliver products and recognize revenue.</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intend to transition from a manufacturing model in which we primarily manufacture and assemble our products at a smaller scale at our facilities, to one where we rely on one or more third-party manufacturers. We are in discussions with third parties to provide contract manufacturing of our products; however, such discussions are more complicated because many of our products are still undergoing design changes and improvements. Moreover, we may not be able to contract with potential counterparties on commercially reasonable terms or at all. We believe the use of third-party manufacturers will have benefits, but in the near term, while we are beginning manufacturing with one or more new partners, we may incur delays, lost revenue and increased costs. Engaging a third-party manufacturer involves significant time, ramp-up, testing and coordination before high-volume production capability by the partner is achieved. While we currently do not anticipate high-volume production by a contract manufacturing partner to be in place until at least the end of 2023, we do expect to engage with a contract manufacturing partner that will produce a high percentage of our products during 2023.</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Reliance on third-party manufacturers reduces our control over the manufacturing process, including reduced control over quality, product costs and product supply and timing. We may experience delays in shipments or issues concerning product quality from our third-party manufacturers. If any of our third-party manufacturers experience interruptions, delays or disruptions in supplying our products, including by natural disasters, the global COVID-19 pandemic, other health epidemics and outbreaks, geopolitical events, work stoppages or capacity constraints, our ability to ship products to distributors and customers would be delayed. In addition, unfavorable economic conditions could result in financial distress among third-party manufacturers upon which we rely, thereby increasing the risk of disruption of supplies necessary to fulfill our production requirements and meet customer demands. While we take measures to protect our trade secrets, the use of third-party manufacturers may also risk disclosure of our innovative and proprietary technologies, which could adversely affect our business.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if any of our future third-party manufacturers experience quality control problems in their manufacturing operations and our products do not meet customer requirements, we could be required to recall the units or cover the cost of repair or replacement of any defective products. These delays or product quality issues could have an immediate and material adverse effect on our ability to fulfill orders and on our operating results. In addition, such delays or issues with product quality could adversely affect our reputation and our relationship with our customers.</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any third-party manufacturers experience financial, operational, manufacturing capacity or other difficulties, or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time-consuming, and could be costly and impracticable, to begin to use new manufacturers and designs, and such changes could cause significant interruptions in supply and could have an adverse effect on our ability to meet our scheduled product deliveries and may subsequently lead to the loss of sales.</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contract with a third-party manufacturing partner, we would need to develop our own manufacturing facilities, which may not be feasible and, if feasible, would significantly increase our capital expenditures and operating expenditures, and would significantly delay or inhibit production of our robotic systems.</w:t>
      </w:r>
    </w:p>
    <w:p>
      <w:pPr>
        <w:spacing w:after="0" w:line="15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do not have a definitive agreement with a third-party manufacturing partner to commercially manufacture our robotic systems and we may be unable to enter into such agreements with third-party manufacturing partners and other key suppliers for manufacturing on terms and conditions acceptable to us. Although we have begun to engage with a third-party manufacturing partner and to negotiate a definitive agreement, discussions and preparation activities are more complicated because many of our products, including the Guardian XO and Guardian XT, are still undergoing design changes and improvements. We may not be able to contract with potential counterparties on commercially reasonable terms or at all, and we may need to use our own facilities for the initial production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jc w:val="both"/>
        <w:spacing w:after="0" w:line="243" w:lineRule="auto"/>
        <w:rPr>
          <w:sz w:val="20"/>
          <w:szCs w:val="20"/>
          <w:color w:val="auto"/>
        </w:rPr>
      </w:pPr>
      <w:r>
        <w:rPr>
          <w:rFonts w:ascii="Times New Roman" w:cs="Times New Roman" w:eastAsia="Times New Roman" w:hAnsi="Times New Roman"/>
          <w:sz w:val="18"/>
          <w:szCs w:val="18"/>
          <w:color w:val="auto"/>
        </w:rPr>
        <w:t>commercial units of our products. If we are unable to enter into such definitive agreements or are only able to do so on terms that are less commercially favorable to us, we may be unable to timely identify adequate strategic relationship opportunities, or form strategic relationships, and consequently, we may not be able to fully carry out our business plans. We may not be able to partner with third parties on acceptable terms or at all or establish our own production capacity to meet our needs. The expense and time required to complete any transition and to assure that robotic systems manufactured at facilities of new third-party partners comply with our quality standards and regulatory requirements may be greater than currently anticipated. If we need to develop our own manufacturing and production capabilities at our own facilities, which may not be feasible, our capital and operating expenditures would significantly increase and production of our robotic systems would be significantly delayed. We may also need to raise or borrow additional money, which may not be available on acceptable terms or at all. Further, it may require us to change the anticipated pricing of our RaaS subscription offering, which could adversely affect our margins and cash flows or make it more expensive for our customers, which could negatively affect demand for our products. Any of the foregoing could materially and adversely affect our business, prospects, financial condition and operating results. Accordingly, investors should not place undue reliance on our statements about our production plans or their feasibility in the timeframe anticipated, or at all. We may not be able to implement our business strategy in the timeframe anticipated, or at all.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developing and producing our commercial robotic systems and other products, establishing or expanding our design, research and development, production, sales and maintenance and service capabilities and building our brands. We have incurred and expect to continue incurring significant expenses which will impact our profitability, including research and development expenses (including related to developing and commercializing the Guardian XO and Guardian XT and the Sapien line of products), procurement costs, sales, marketing and distribution expenses as we build our brand and market our robotic systems and general and administrative expenses as we scale our operations, identify and commit resources to investigate new areas of demand and incur costs as a public company. Some of the factors that may lead to cost increases are outside of our control, such as national or global geopolitical and economic conditions, including inflation or increases in interest rates. In addition, we may incur significant costs servicing, maintaining and refurbishing our robotic systems, and we expect that the cost to repair and service our robotic systems will increase over time as our robotic systems age. Our ability to become profitable in the future will not only depend on our ability to complete the design and development of our robotic systems to meet projected performance metrics and identify and investigate new areas of demand and successfully market our robotic systems and RaaS subscription model, but also on our ability to sell, whether outright or through subscriptions, our robotic systems at prices needed to achieve sufficient margins and control our costs, including the risks and costs associated with operating, maintaining and financing our robotic systems. If we are unable to efficiently design, develop, manufacture, market, deploy, distribute and service our robotic systems in a cost-effective manner, our margins, profitability and prospects would be materially and adversely affected.</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and our suppliers and any manufacturing partners may rely on complex machinery for production, which involves a significant degree of risk and uncertainty in terms of operational performance and costs.</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and our suppliers and any manufacturing partners may rely on complex machinery for the production and assembly of our robotic systems, which will involve a significant degree of uncertainty and risk in terms of operational performance and costs. Our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or machines may significantly affect the intended operational efficiency. Operational performance and costs can be difficult to predict and are often influenced by factors outside of our or any third-party manufacturing partners’ and suppliers’ control, such as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it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our business, prospects, financial condition and operating results.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calamities, which could significantly disrupt our operations.</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facilities or operations or those of any third-party manufacturers or suppliers could be adversely affected by events outside of our or their control, such as natural disasters, wars, health epidemics and other calamities and force majeure events. See "</w:t>
      </w:r>
      <w:r>
        <w:rPr>
          <w:rFonts w:ascii="Times New Roman" w:cs="Times New Roman" w:eastAsia="Times New Roman" w:hAnsi="Times New Roman"/>
          <w:sz w:val="18"/>
          <w:szCs w:val="18"/>
          <w:i w:val="1"/>
          <w:iCs w:val="1"/>
          <w:color w:val="auto"/>
        </w:rPr>
        <w:t>Ongoing impacts from COVID-19 or another pandemic,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epidemic or outbreak of an infectious disease may materially and adversely impact our business, prospects, financial condition and operating results." </w:t>
      </w:r>
      <w:r>
        <w:rPr>
          <w:rFonts w:ascii="Times New Roman" w:cs="Times New Roman" w:eastAsia="Times New Roman" w:hAnsi="Times New Roman"/>
          <w:sz w:val="18"/>
          <w:szCs w:val="18"/>
          <w:color w:val="auto"/>
        </w:rPr>
        <w:t>Although we have servers that are hosted both onsite and at an offsite location, our backup system does not capture data on a real-time basis and we may be unable to recover certain data in the event of a server failure. Our backup systems may not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the malfunction of software or hardware, as well as adversely affect our ability to provide services.</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currently target many customers that are large businesses with substantial negotiating power, exacting product standards and potentially competitive internal solutions. If we are unable to sell our products to these customers, our prospects and results of operations will be adversely affected.</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that many of our potential customers will be large, multinational businesses with substantial negotiating power relative to us and, in some instances, may have internal solutions that are competitive to our products. These large, multinational businesses also have significant development resources, which may allow them to acquire or develop independently, or in partnership with others, competitive technologies. Meeting the technical requirements and securing binding commitments from any of these businesses will require a substantial investment of our time and resources. We may be unable to secure binding commitments from these or other businesses or we may be unable to generate meaningful revenue from the sales or subscriptions of our products to these key potential customers. If our products are not selected by these large businesses or if these businesses develop or acquire competitive technology, it will have an adverse effect on our business, which could be material.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that is subject to rapid technological change, and we expect competition to increase.</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robotics industry is subject to rapid technological change, and we expect competition to increase in the future. Our robotics technology may be unable to keep up with changes in robotics technology or its alternatives and, as a result, our competitiveness may suffer. Developments in alternative technologies may materially and adversely affect our competitiveness in ways we do not currently anticipate. Any failure by us to successfully react to changes or advances in existing technologies could materially harm our competitive position and growth prospects, which could have a material adverse effect on our business, prospects, financial condition and operating results.</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product offerings compete in a broad competitive landscape that includes robotics and automation companies that have both directly competing as well as alternative solutions ranging from exoskeletons, collaborative robots, industrial robots, traditional lift-assist equipment and unmanned robotic vehicles. We also view our competitive landscape to include rivals who have different but unique product lines in the automation space, like ABB Robotics, Siasun Robot &amp; Automation, Teradyne and Berkshire Grey. Also included in our broader competitive landscape are robotic solution suppliers, like Rockwell Automation, Honeywell, Keyence Corporation, COGNEX Corporation and Hexagon AB, who may not have a directly competing product today, but could become competitors through organic or inorganic growth; these companies have existing customer relationships and channels that could enable them to emerge as formidable threats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breakdown of the competitive landscape by product area:</w:t>
      </w:r>
    </w:p>
    <w:p>
      <w:pPr>
        <w:spacing w:after="0" w:line="198" w:lineRule="exact"/>
        <w:rPr>
          <w:sz w:val="20"/>
          <w:szCs w:val="20"/>
          <w:color w:val="auto"/>
        </w:rPr>
      </w:pPr>
    </w:p>
    <w:p>
      <w:pPr>
        <w:jc w:val="both"/>
        <w:ind w:left="760" w:hanging="378"/>
        <w:spacing w:after="0" w:line="250"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Guardian XO competes with robotics and automation solutions that help workers with heavy materials handling, heavy lift-and-transport-assist, and overhead assembly type jobs. Principal competitors include Hyundai and Daewoo, who have previously shown powered exoskeleton prototype units, and companies like Cyberdyne, Samsung, Ekso Bionics, Ottobock, Lockheed Martin, SuitX and Levitate who currently sell powered, partial-body exoskeletons or passively-powered, partial-body variants.</w:t>
      </w:r>
    </w:p>
    <w:p>
      <w:pPr>
        <w:spacing w:after="0" w:line="177"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Guardian XT faces a varied competitive landscape that includes companies like JR West, collaborative robotics companies and automation companies like Teradyne, ABB Robotics, Kuka, Fanuc, Universal Robots, Siasun Robot &amp; Automation, Berkshire Grey, Ready Robotics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OMRON.</w:t>
      </w:r>
    </w:p>
    <w:p>
      <w:pPr>
        <w:spacing w:after="0" w:line="191" w:lineRule="exact"/>
        <w:rPr>
          <w:rFonts w:ascii="Times New Roman" w:cs="Times New Roman" w:eastAsia="Times New Roman" w:hAnsi="Times New Roman"/>
          <w:sz w:val="18"/>
          <w:szCs w:val="18"/>
          <w:color w:val="auto"/>
        </w:rPr>
      </w:pPr>
    </w:p>
    <w:p>
      <w:pPr>
        <w:jc w:val="both"/>
        <w:ind w:left="760" w:hanging="378"/>
        <w:spacing w:after="0" w:line="253"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Sapien product line competes with products of various other companies, in some cases based on specific industry applications, such as Nauticus, SRS and Saab in the underwater solution space; Barrett, Kuka, Kinova and Staubli in the medical device industry; AES, 5B, and Alion</w:t>
      </w:r>
    </w:p>
    <w:p>
      <w:pPr>
        <w:ind w:left="760"/>
        <w:spacing w:after="0" w:line="235" w:lineRule="auto"/>
        <w:rPr>
          <w:sz w:val="20"/>
          <w:szCs w:val="20"/>
          <w:color w:val="auto"/>
        </w:rPr>
      </w:pPr>
      <w:r>
        <w:rPr>
          <w:rFonts w:ascii="Times New Roman" w:cs="Times New Roman" w:eastAsia="Times New Roman" w:hAnsi="Times New Roman"/>
          <w:sz w:val="18"/>
          <w:szCs w:val="18"/>
          <w:color w:val="auto"/>
        </w:rPr>
        <w:t>Energy in solar construction applications; Vertidrive, Onblasting, Canvas, RB3D, Finish Robotics, Inrotech, and Welbot Technology in the surface preparation space; and BBHS, Juvo Robotics and Kuka in aviation services.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4" w:name="page55"/>
    <w:bookmarkEnd w:id="54"/>
    <w:p>
      <w:pPr>
        <w:jc w:val="both"/>
        <w:ind w:left="760" w:hanging="378"/>
        <w:spacing w:after="0" w:line="250"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Guardian S competes with other ground-based unmanned vehicles offered by companies such as Eddyfi Technologies and Waygate Technologies; it also competes with aerial unmanned vehicle companies, like Flyability, in the oil and gas industry. Other notable adjacent market and other competitors include Gecko Robotics, Teledyne FLIR, ICM, RedZone Robotics, Clearpath Robotics, and Easysight Technology.</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companies have products that are commercially available and in development. We expect some products currently in development to become commercially available in the next few years. In addition, we compete with companies that develop artificial intelligence and industrial automation solutions, such as those offered by Hyundai-Boston Dynamics, Canvas Technology, DroneSense, Intuitive, iRobot, Hahn Robotics, Kuka, Neurala, Ready Robotics, Rethink Robotics and Yaskawa.</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our robotic systems in the future. These or other competitors may develop new technologies or products that provide superior results to customers or are less expensive than our products. Our technologies and products could be rendered obsolete by such developments.</w:t>
      </w:r>
    </w:p>
    <w:p>
      <w:pPr>
        <w:spacing w:after="0" w:line="1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adversely affected.</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because we operate in new and evolving markets, the actions of our competitors could adversely affect our business. Adverse events such as product defects or legal claims with respect to competing or similar products could cause reputational harm to the robotics market as a whole and, accordingly, our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period to period due to fluctuations in our operating costs, product demand and other factors.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expect our period-to-period financial results to vary based on our operating costs and product demand, which we anticipate will fluctuate as the pace at which we continue to design, develop and manufacture new robotic systems, increase production capacity and establish or expand design, research and development, production, sales and service facilities. Additionally, our revenue from period to period may fluctuate as we identify and investigate areas of demand, adjust volumes and add new product derivatives based on market demand and margin opportunities, develop and introduce new robotic systems or introduce existing robotic systems to new markets for the first time, as well as introduce our RaaS subscription model. As a result of these factors, we believe that quarter-to-quarter comparisons of our financial results, especially in the short term, are not necessarily meaningful and that these comparisons cannot be relied upon as indicators of future performance. Moreover, our financial results may not meet expectations of equity research analysts, ratings agencies or investors, who may be focused only on quarterly financial results. If any of this occurs, the trading price of our securities could fall substantially, either suddenly or over time, and/or experience significant volatility.</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accounting principles generally accepted in the United States (“GAAP”). Our management is likewise required, on a quarterly basis, to evaluate the effectiveness of our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Old Sarcos identified certain accounting errors related to its financial statements. As a result, Old Sarcos management concluded that a material weakness existed in its internal control over financial reporting related to the identification and review of technical issues associated with certain unique, unusual and nonstandard transactions within Old Sarcos’ equity process. As a result of this material weakness, Old Sarcos’ management concluded that its internal control over financial reporting was not effective as of December 31, 2020. Management has implemented new measures designed to remediate the previously identified material weakness and has completed the testing necessary to conclude that the material weakness has been remediated as of June 30,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5" w:name="page56"/>
    <w:bookmarkEnd w:id="55"/>
    <w:p>
      <w:pPr>
        <w:jc w:val="both"/>
        <w:spacing w:after="0" w:line="246" w:lineRule="auto"/>
        <w:rPr>
          <w:sz w:val="20"/>
          <w:szCs w:val="20"/>
          <w:color w:val="auto"/>
        </w:rPr>
      </w:pPr>
      <w:r>
        <w:rPr>
          <w:rFonts w:ascii="Times New Roman" w:cs="Times New Roman" w:eastAsia="Times New Roman" w:hAnsi="Times New Roman"/>
          <w:sz w:val="18"/>
          <w:szCs w:val="18"/>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(the “SEC Statement”). Following the issuance of the SEC Statement, after consultation with its independent registered public accounting firm, Rotor’s management and its audit committee concluded that, in light of the SEC Statement, it was appropriate to restate the previously issued audited balance sheet as of January 20, 2021 (the “Restatement”). As part of such process, Rotor identified a material weakness in its internal control over financial reporting. As of December 31, 2021, management has determined that this material weakness has been remediated as the previously issued financial statements have been restated and we are now .accounting for the Private Placement Warrants in accordance with the SEC Statement.</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To mitigate the potential for any future material weaknesses, we continue to devote significant effort and resources to the improvement of our internal control over financial reporting. Any failure to maintain effective internal control over financial reporting could adversely impact our ability to report our financial condition and results of operations on a timely and accurate basis. If our financial statements are not accurate, investors may not have a complete understanding of our operations and could lose confidence in our reported financial information, which could negatively affect the trading price of our common stock. In addition, if our financial statements are not filed on a timely basis, we could be subject to sanctions or investigations by Nasdaq, the SEC or other regulatory authorities or to private litigation. As a result, any failure to maintain effective internal control over financial reporting could result in a material adverse effect on our business and the price of our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litigation and other risks as a result of material weaknesses or other deficiencies in our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material weaknesses discussed under "</w:t>
      </w:r>
      <w:r>
        <w:rPr>
          <w:rFonts w:ascii="Times New Roman" w:cs="Times New Roman" w:eastAsia="Times New Roman" w:hAnsi="Times New Roman"/>
          <w:sz w:val="18"/>
          <w:szCs w:val="18"/>
          <w:i w:val="1"/>
          <w:iCs w:val="1"/>
          <w:color w:val="auto"/>
        </w:rPr>
        <w:t>If we are unable to develop and maintain an effective system of internal control over financial</w:t>
      </w:r>
    </w:p>
    <w:p>
      <w:pPr>
        <w:spacing w:after="0" w:line="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reporting, we may not be able to accurately report our financial results in a timely manner, which may adversely affect investor confidence in us and materially and adversely affect our business and operating results.</w:t>
      </w:r>
      <w:r>
        <w:rPr>
          <w:rFonts w:ascii="Times New Roman" w:cs="Times New Roman" w:eastAsia="Times New Roman" w:hAnsi="Times New Roman"/>
          <w:sz w:val="18"/>
          <w:szCs w:val="18"/>
          <w:color w:val="auto"/>
        </w:rPr>
        <w:t>", the Restatement, the change in accounting for the Private Placement Warrants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matters raised or that may in the future be raised by the SEC, we face the potential for litigation or other disputes which may include, among others, claims invoking U.S. federal and state securities laws, contractual claims or other claims arising from the Restatement and previously identified material weaknesses in our internal control over financial reporting and the preparation of our financial statements.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systems of disclosure controls and procedures and internal control over financial reporting, our ability to produce timely and accurate financial statements or comply with applicable regulations could be adversely affected.</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the requirements of the Exchange Act, the Sarbanes-Oxley Act and the rules and regulations of Nasdaq will continue to increase our legal, accounting and financial compliance costs, make some activities more difficult, time-consuming and costly, and place significant strain on personnel, systems and resources.</w:t>
      </w:r>
    </w:p>
    <w:p>
      <w:pPr>
        <w:spacing w:after="0" w:line="1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Sarbanes -Oxley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will be integrating our finance and accounting systems following our acquisition of RE2 to a common enterprise system, and a delay or other issues with the integration could impact our ability or prevent us from timely reporting our operating results, timely filing required reports with the SEC and complying with Section 404 of the Sarbanes-Oxley Act. The development and implementation of the standards and controls necessary for us to achieve the level of accounting standards required of a public company have increased and may continue to increase our legal and compliance costs, and such costs may be greater than expected.</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current controls and any new controls that we develop may be inadequate because of changes in conditions of our business or otherwise.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we will file with the SEC under Section 404 of the Sarbanes-Oxley Act. Ineffective disclosure controls and procedures and internal control over</w:t>
      </w:r>
    </w:p>
    <w:p>
      <w:pPr>
        <w:spacing w:after="0" w:line="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financial reporting could also cause investors to lose confidence in our reported financial and other information. See "</w:t>
      </w:r>
      <w:r>
        <w:rPr>
          <w:rFonts w:ascii="Times New Roman" w:cs="Times New Roman" w:eastAsia="Times New Roman" w:hAnsi="Times New Roman"/>
          <w:sz w:val="18"/>
          <w:szCs w:val="18"/>
          <w:i w:val="1"/>
          <w:iCs w:val="1"/>
          <w:color w:val="auto"/>
        </w:rPr>
        <w:t>If we are unable to develop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6" w:name="page57"/>
    <w:bookmarkEnd w:id="56"/>
    <w:p>
      <w:pPr>
        <w:jc w:val="both"/>
        <w:spacing w:after="0" w:line="247" w:lineRule="auto"/>
        <w:rPr>
          <w:sz w:val="20"/>
          <w:szCs w:val="20"/>
          <w:color w:val="auto"/>
        </w:rPr>
      </w:pPr>
      <w:r>
        <w:rPr>
          <w:rFonts w:ascii="Times New Roman" w:cs="Times New Roman" w:eastAsia="Times New Roman" w:hAnsi="Times New Roman"/>
          <w:sz w:val="18"/>
          <w:szCs w:val="18"/>
          <w:color w:val="auto"/>
        </w:rPr>
        <w:t>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perceived as inadequate or if we are perceived to be unable to produce timely or accurate financial statements, investors may lose confidence in our operating results and the trading price of our securities could decline.</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yet to achieve positive operating cash flow and, given our projected funding needs, our ability to generate positive cash flow is uncertain.</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had negative cash flow from operating activities of $42.1 million and $16.9 million for the years ended December 31, 2021 and 2020, respectively, and negative cash flow from operating activities of $44.4 million for the nine months ended September 30, 2022. We expect to continue to have negative cash flow from operating and investing activities through at least the end of 2024 as we expect to incur research and development, sales and marketing, and general and administrative expenses and make capital expenditures in our efforts to commercialize our products, increase sales, engage in continuous development work and ramp up operations. Our business also will at times require significant amounts of working capital to build inventory and support the growth of additional products. An inability to generate positive cash flow for the near term may adversely affect our ability to raise needed capital for our business on reasonable terms, diminish supplier or customer willingness to enter into transactions with us and have other adverse effects that may decrease our long-term viability. We may not achieve positive cash flow in the near future or at all.</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 in connection with the Business Combination or other ownership changes.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Under the Tax Cuts and Jobs Act of 2017 (the Tax Act), as modified by the Coronavirus Aid, Relief and Economic Security Act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Tax Act or the CARES Act. Suspensions or other restrictions on the use of net operating losses or tax credits, possibly with retroactive effect, may result in our existing net operating losses or tax credits expiring or otherwise being unavailable to offset future income tax liabilities.</w:t>
      </w:r>
    </w:p>
    <w:p>
      <w:pPr>
        <w:spacing w:after="0" w:line="1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the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 may be limited as a result of ownership changes, including changes from the Business Combination or other transactions. Similar rules may apply under state tax laws. We have not yet determined the amount of the cumulative change in our ownership resulting from the Business Combination or other transactions, or any resulting limitations on our ability to utilize our net operating loss carryforwards and other tax attributes. If we earn taxable income, such limitations could result in increased future income tax liability to us 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spacing w:after="0" w:line="18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research and development costs and devote significant resources to identifying and commercializing new products, which could significantly reduce our profitability and may never result in revenue.</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future growth depends on penetrating new markets, adapting existing products to new applications and customer requirements and introducing new products that achieve market acceptance. We plan to incur substantial, and potentially increasing, research and development costs as part of our efforts to design, develop, manufacture and commercialize new products and enhance existing products.</w:t>
      </w: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p>
      <w:pPr>
        <w:jc w:val="both"/>
        <w:spacing w:after="0" w:line="250" w:lineRule="auto"/>
        <w:rPr>
          <w:sz w:val="20"/>
          <w:szCs w:val="20"/>
          <w:color w:val="auto"/>
        </w:rPr>
      </w:pPr>
      <w:r>
        <w:rPr>
          <w:rFonts w:ascii="Times New Roman" w:cs="Times New Roman" w:eastAsia="Times New Roman" w:hAnsi="Times New Roman"/>
          <w:sz w:val="18"/>
          <w:szCs w:val="18"/>
          <w:color w:val="auto"/>
        </w:rPr>
        <w:t>Our research and development expenses were $23.9 million for the nine months ended September 30, 2022, and $17.5 million for the year ended December 31, 2021, and our research and development expenses are likely to grow in the future, due in part to our acquisition of RE2 and the Sapien product line. Our research and development program may not produce successful results, and our new products may not achieve market acceptance, create additional revenue or become profitable.</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laws and regulations, and our actual or perceived failure to comply with such obligations could harm our reputation, subject us to significant fines and liability or otherwise adversely affect our business, prospects, financial condition and operating results.</w:t>
      </w:r>
    </w:p>
    <w:p>
      <w:pPr>
        <w:spacing w:after="0" w:line="15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spacing w:after="0" w:line="18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new ways to opt-out of certain disclosures of personal information, and allow for a new cause of action for data breaches. Additionally, a new privacy law, the California Privacy Rights Act (“CPRA”), was approved by California voters in the November 3, 2020 election. The CPRA creates obligations relating to consumer data beginning on January 1, 2022, with enforcement anticipated to commence on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will go into effect January 1, 2023, Colorado has enacted the Colorado Privacy Act, which takes effect on July 1, 2023, Utah has enacted the Utah Consumer Privacy Act, which will go into effect on December 31, 2023, and Connecticut has enacted An Act Concerning Personal Data Privacy and Online Monitoring, which will go into effect on July 1, 2023. The U.S. federal government also is contemplating federal privacy legislation. These laws in Virginia, Colorado, Utah, and Connecticut share similarities with the CCPA, CPRA, and legislation proposed in other states.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which it maintains along with its Data Protection Act,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spacing w:after="0" w:line="1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compliance, including if our employees, contractors, service providers or vendors fail to comply with our published policies and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8" w:name="page59"/>
    <w:bookmarkEnd w:id="58"/>
    <w:p>
      <w:pPr>
        <w:jc w:val="both"/>
        <w:spacing w:after="0" w:line="247" w:lineRule="auto"/>
        <w:rPr>
          <w:sz w:val="20"/>
          <w:szCs w:val="20"/>
          <w:color w:val="auto"/>
        </w:rPr>
      </w:pPr>
      <w:r>
        <w:rPr>
          <w:rFonts w:ascii="Times New Roman" w:cs="Times New Roman" w:eastAsia="Times New Roman" w:hAnsi="Times New Roman"/>
          <w:sz w:val="18"/>
          <w:szCs w:val="18"/>
          <w:color w:val="auto"/>
        </w:rPr>
        <w:t>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integrated software in our products and data processed by us or third-party vendors.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Many of our employees work remotely which has increased security risks. In addition, the risk of state-supported and geopolitical-related cybersecurity attacks is believed to be heightened in connection with the war in Ukraine and any related political or economic responses and counter-responses.</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units; and (e) customer data that we process or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units. Certain efforts may be state-sponsored or supported by significant financial and technological resources, making them even more difficult to detect, remediate and otherwise respond to.</w:t>
      </w:r>
    </w:p>
    <w:p>
      <w:pPr>
        <w:spacing w:after="0" w:line="1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intend to use our product services and functionality to log information about each unit’s use in order to aid us in diagnostics and servicing. Our customers may object to the use of this data, which may require us to implement new or modified data handling policies and mechanisms, increase our unit maintenance costs and costs associated with data processing and handling, and harm our business prospects.</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or incidents, and third parties may be able to access data, including personal data and other sensitive and proprietary data of us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w:t>
      </w:r>
    </w:p>
    <w:p>
      <w:pPr>
        <w:spacing w:after="0" w:line="1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units,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9" w:name="page60"/>
    <w:bookmarkEnd w:id="59"/>
    <w:p>
      <w:pPr>
        <w:jc w:val="both"/>
        <w:spacing w:after="0" w:line="250" w:lineRule="auto"/>
        <w:rPr>
          <w:sz w:val="20"/>
          <w:szCs w:val="20"/>
          <w:color w:val="auto"/>
        </w:rPr>
      </w:pPr>
      <w:r>
        <w:rPr>
          <w:rFonts w:ascii="Times New Roman" w:cs="Times New Roman" w:eastAsia="Times New Roman" w:hAnsi="Times New Roman"/>
          <w:sz w:val="18"/>
          <w:szCs w:val="18"/>
          <w:color w:val="auto"/>
        </w:rPr>
        <w:t>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current revenue is generated by sales to government entities, which are subject to a number of uncertainties, challenges and risks.</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Sales to government entities are subject to a number of risks. Selling to government entities can be highly competitive, expensive and time-consuming, often requiring significant upfront time and expense without any assurance that these efforts will generate a sale. In the event that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Government entities may have statutory, contractual or other legal rights to terminate our contracts for convenience or default. For purchases by the U.S. federal government, the government may require certain products to be manufactured in the United States and other high cost manufacturing locations, and we or any third-party manufacturers may not manufacture all products in locations that meet government requirements, and as a result, our business and results of operations may suffer.</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products to our government customers. These laws and regulations may impose other added costs on our 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of these laws, which can harm our business, prospects, financial condition and operating results.</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direct and indirect interactions with foreign officials, including in furtherance of sales to governmental entities in non-U.S. countries. 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ultimately held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0" w:name="page61"/>
    <w:bookmarkEnd w:id="60"/>
    <w:p>
      <w:pPr>
        <w:jc w:val="both"/>
        <w:spacing w:after="0" w:line="282" w:lineRule="auto"/>
        <w:rPr>
          <w:sz w:val="20"/>
          <w:szCs w:val="20"/>
          <w:color w:val="auto"/>
        </w:rPr>
      </w:pPr>
      <w:r>
        <w:rPr>
          <w:rFonts w:ascii="Times New Roman" w:cs="Times New Roman" w:eastAsia="Times New Roman" w:hAnsi="Times New Roman"/>
          <w:sz w:val="18"/>
          <w:szCs w:val="18"/>
          <w:color w:val="auto"/>
        </w:rPr>
        <w:t>responsible. Our exposure for violating these laws increases as our international presence expands and as we increase sales and operations in foreign jurisdictions.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laws that could subject us to liability if we are not in compliance with such laws.</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products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robotic systems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international sales of certain of our products are subject to U.S. laws, regulations and policies like the International Traffic in Arms Regulations and other export laws and regulations and may be subject to first obtaining licenses, clearances or authorizations from various regulatory entities. If we are not allowed to export our products or the clearance process is burdensome and costly, our ability to generate revenue would be adversely affected.</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changes to our robotic systems, or changes in applicable export control, import or economic sanctions laws and regulations may create delays in the introduction and sale of our robotic systems and solutions or, in some cases, prevent the export or import of our robotic systems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robotic systems, as well as our decreased ability to export or market our robotic systems to potential customers. Any decreased use of our robotic systems or limitation on our ability to export or market our robotic systems would likely adversely affect our business, prospects, financial condition and operating results.</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broad discretion in making strategic decisions to execute our growth plans, and our management’s decisions may not be successful in achieving our business objectives or may have unintended consequences that negatively impact our growth prospects.</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management has broad discretion in making strategic decisions to execute our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our Common Stock to decline.</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1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may be subject to claims, lawsuits, arbitration proceedings, government investigations and other legal, regulatory and administrative proceedings. In addition, we may be subject to the heightened scrutiny that is sometimes directed toward companies taken public via a business combination with a special purpose acquisition company. The outcome of any such claims, investigations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under certain circumstances we may have contractual or other legal obligations to indemnify and to incur legal expenses on behalf of investors, directors, officers employees, customers, vendors or other third-parties. For example, our Amended and Restated</w:t>
      </w: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1" w:name="page62"/>
    <w:bookmarkEnd w:id="61"/>
    <w:p>
      <w:pPr>
        <w:jc w:val="both"/>
        <w:spacing w:after="0" w:line="245" w:lineRule="auto"/>
        <w:rPr>
          <w:sz w:val="20"/>
          <w:szCs w:val="20"/>
          <w:color w:val="auto"/>
        </w:rPr>
      </w:pPr>
      <w:r>
        <w:rPr>
          <w:rFonts w:ascii="Times New Roman" w:cs="Times New Roman" w:eastAsia="Times New Roman" w:hAnsi="Times New Roman"/>
          <w:sz w:val="18"/>
          <w:szCs w:val="18"/>
          <w:color w:val="auto"/>
        </w:rPr>
        <w:t>Bylaws (the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do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cash flows, results of operations or financial condition.</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and maintain protection for the intellectual property relating to or incorporated into our products.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protection for the intellectual property relating to or incorporated into our products.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trade secret law to protect our proprietary software and product candidates/products in development.</w:t>
      </w:r>
    </w:p>
    <w:p>
      <w:pPr>
        <w:spacing w:after="0" w:line="16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Patent positions covering robotic systems and human-augmented robotic systems (e.g., wearable humanoid or exoskeleton robotic systems) inventions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technology or products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patent pending applications or that any patents that are granted will be adequate to exclude others for any significant period of time or at all. Given the foregoing, and in order to continue reducing operational expenses in the future, we may invest fewer resources in filing and prosecuting new patents and on maintaining and enforcing various patents, especially in regions where we currently do not focus our market growth strategy.</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parties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spacing w:after="0" w:line="1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we seek to protect our trade secrets, know-how, and confidential information that is not patentable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our employees or consultants or service providers may own certain technology which they license to us for a set term. If these technologies are material to our business after the term of the license, our inability to use them could adversely affect our business and profitability.</w:t>
      </w:r>
    </w:p>
    <w:p>
      <w:pPr>
        <w:spacing w:after="0" w:line="1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also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products that we consider proprietary or our proprietary information may otherwise become known or may be independently developed by our competitors or other third parties. If other parties are able to use our proprietary technology or information, our ability to compete in the market could be harmed. Further, unauthorized use of our intellectual property may have occurred, or may occur in the future, without our knowledge.</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have made efforts to register and enforce our trademark 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obtain or maintain adequate protection for our intellectual property, or if any protection is reduced or eliminated, competitors may be able to use our technologies, resulting in harm to our competitive position and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in all countries.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Filing, prosecuting, maintaining and defending patents and trademarks on each of our products and intellectual property in all countries throughout the world would be prohibitively expensive and time consuming, and thus our intellectual property rights outside the United States are limited. In addition, the laws of some foreign countries,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countries, or from selling or importing products made using our inventions in the jurisdictions in which we do not have (or are unable to effectively enforce) patent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spacing w:after="0" w:line="1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misappropriation claims, which may be time consuming and expensive and, if adversely determined, could limit our ability to commercialize our products.</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Companies operating in the robotics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spacing w:after="0" w:line="1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is often uncertain. No assurance can be given that patents containing claims covering our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3" w:name="page64"/>
    <w:bookmarkEnd w:id="63"/>
    <w:p>
      <w:pPr>
        <w:jc w:val="both"/>
        <w:spacing w:after="0" w:line="250" w:lineRule="auto"/>
        <w:rPr>
          <w:sz w:val="20"/>
          <w:szCs w:val="20"/>
          <w:color w:val="auto"/>
        </w:rPr>
      </w:pPr>
      <w:r>
        <w:rPr>
          <w:rFonts w:ascii="Times New Roman" w:cs="Times New Roman" w:eastAsia="Times New Roman" w:hAnsi="Times New Roman"/>
          <w:sz w:val="18"/>
          <w:szCs w:val="18"/>
          <w:color w:val="auto"/>
        </w:rPr>
        <w:t>that potentially cover our products, technology or methods. Moreover, there may be pending, published or allowed applications that may disclose, but not claim, subject matter covering our products, technology or methods, where such pending or published applications may be amended, or one or more continuation or divisional applications may be filed, in an attempt to capture, to the extent possible, such products, technology or methods that are in the public domain, and which may result in issued patents that our current or future products infringe.</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products, unless we can obtain a license to use the technology covered by such patents or can redesign our products so that they do not infringe. A license may not be available on commercially reasonable terms or at all, and we may not be able to redesign our products to avoid infringement. In these circumstances, we may not be able to sell our products at competitive prices or at all, and our business, prospects, financial condition and operating results could be harmed.</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 of such rights. The U.S. government may also have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may be subject to claims that we or our employees have inadvertently or otherwise used or disclosed trade secrets or other proprietary information of an employee’s former employers. Litigation may be necessary to defend against these claims. If we fail in defending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products, which could severely harm our business. Even if we are successful in defending against these claims, litigation could result in substantial costs and demand on management resources.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Warrants</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Resales of the shares of Common Stock issued in connection with the Business Combination and our acquisition of RE2 could depress the market price of our Common Stock.</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or Warrants could occur at any time. These sales, or the perception in the market that the holders of a large number of shares intend to sell shares, could reduce the market price of our Common Stock or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4" w:name="page65"/>
    <w:bookmarkEnd w:id="64"/>
    <w:p>
      <w:pPr>
        <w:jc w:val="both"/>
        <w:spacing w:after="0" w:line="258" w:lineRule="auto"/>
        <w:rPr>
          <w:sz w:val="20"/>
          <w:szCs w:val="20"/>
          <w:color w:val="auto"/>
        </w:rPr>
      </w:pPr>
      <w:r>
        <w:rPr>
          <w:rFonts w:ascii="Times New Roman" w:cs="Times New Roman" w:eastAsia="Times New Roman" w:hAnsi="Times New Roman"/>
          <w:sz w:val="18"/>
          <w:szCs w:val="18"/>
          <w:color w:val="auto"/>
        </w:rPr>
        <w:t>Common Stock issued to the former securityholders of Old Sarcos (“Old Sarcos Security Holders”) represented approximately 71.3% of our Common Stock outstanding as of September 30, 2022, a portion of which remains remain subject to lock-up obligations under our Bylaws and under lock-up agreements entered into with us (the “Old Sarcos Lock-up Agreements”).</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connection with the entry by us into the RE2 Lock-up Agreements (as described below), a special committee of our board of directors, consisting solely of independent directors who did not hold, and whose affiliates did not hold, shares of capital stock of Sarcos subject to the applicable terms of the Old Sarcos Lock-up Agreements, recommended to the board of directors that the release provisions in the Old Sarcos Lock-up Agreements be reconciled to the release provisions in the RE2 Lock-up Agreements. On April 25, 2022, the board of directors approved an amendment to the Bylaws and to the Old Sarcos Lock-up Agreements to conform the release provisions to the RE2 Lock-up Agreements.</w:t>
      </w:r>
    </w:p>
    <w:p>
      <w:pPr>
        <w:spacing w:after="0" w:line="1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amendment described above, Common Stock issued from the exchange or conversion of Old Sarcos common stock, options, RSAs or RSUs is currently subject to the following remaining lock-up periods under the Bylaws and the Old Sarcos Lock-up Agreements:</w:t>
      </w:r>
    </w:p>
    <w:p>
      <w:pPr>
        <w:spacing w:after="0" w:line="243"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percent (20%) of the Common Stock became transferable at the close of business on March 23, 2022; and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eighty percent (80%) of the Common Stock may only be transferred beginning upon the earlier to occur of (a) such time as we or any of our subsidiaries have delivered to one or more customers at least 20 Guardian XO and/or Guardian XT and/or Sapien commercial units, but in no event prior to the close of business on September 24, 2022 and (b) the close of business on September 24, 2023.</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24, 2022, the lock-up periods under the Old Sarcos Lock-up Agreements and the Bylaws applicable to Common Stock issued from the exchange or conversion of shares of Old Sarcos preferred stock or warrants have fully expired.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Common Stock issued upon conversion of the shares of Rotor Class B Common Stock held by certain stockholders, including the Sponsor (the “Founder Shares”), represented approximately 4.1% of our Common Stock outstanding as of September 30, 2022. The applicable lock-up periods for the Common Stock held by the Rotor Restricted Stockholders have expired and such Common Stock is freely tradable.</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April 25, 2022, we issued 10.8 million shares of our Common Stock (the “Consideration Shares”), which represented approximately 7.0% of our Common Stock outstanding as of September 30, 2022, and assumed certain outstanding options to acquire RE2 common stock which, following such assumption, represent rights to acquire 3.9 million shares of our Common Stock (the “Assumed Options” and together with the Consideration Shares, the “RE2 Lock-up Shares”) in connection with our acquisition of RE2. RE2 securityholders who were RE2 employees and became our employees on such date received in the aggregate 7.0 million Consideration Shares, in addition to the Assumed Options, and entered into lock-up agreements (the “RE2 Lock-up Agreements”), pursuant to which, among other things, they agreed to the following transfer restrictions:</w:t>
      </w:r>
    </w:p>
    <w:p>
      <w:pPr>
        <w:spacing w:after="0" w:line="288" w:lineRule="exact"/>
        <w:rPr>
          <w:sz w:val="20"/>
          <w:szCs w:val="20"/>
          <w:color w:val="auto"/>
        </w:rPr>
      </w:pPr>
    </w:p>
    <w:p>
      <w:pPr>
        <w:jc w:val="both"/>
        <w:ind w:left="1020" w:hanging="503"/>
        <w:spacing w:after="0" w:line="258"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twenty percent (20%) of such holder’s RE2 Lock-up Shares, such shares became transferable on the trading day following May 23, 2022, the date on which the registration statement on Form S-1 for the resale of Consideration Shares was declared effective by the Securities and Exchange Commission; and</w:t>
      </w:r>
    </w:p>
    <w:p>
      <w:pPr>
        <w:spacing w:after="0" w:line="6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remaining eighty percent (80%) of such holder’s RE2 Lock-up Shares, such shares may be transferred beginning upon the earlier to occur of (a) such time as we or any of our subsidiaries have delivered to one or more customers at least twenty (20) Guardian XO and/or Guardian XT and/or Sapien commercial units (but in no event prior to the close of business on September 24, 2022) and (b) the close of business on September 24, 2023.</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originally issued to PIPE Investors (as defined in Note 1 to our condensed consolidated financial statements included in this Report) represented approximately 14.2% of our Common Stock outstanding as of September 30, 2022. These shares are not subject to any lock-up or transfer restrictions.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decline due to the large number of shares of our Common Stock subject to employee equity awards.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granted and expect to continue to grant equity awards to our directors and employees as additional compensation in an effort to align their interests with those of our stockholders. Because awards granted to certain executive officers and directors may be scheduled to vest during specified points in time, such as expected open trading windows under our insider trading policy, there is a potential that sales of large amounts of our Common Stock may take place during concentrated periods, leading to a decline in the price of our Common Stock.</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5" w:name="page66"/>
    <w:bookmarkEnd w:id="65"/>
    <w:p>
      <w:pPr>
        <w:jc w:val="both"/>
        <w:spacing w:after="0" w:line="245" w:lineRule="auto"/>
        <w:rPr>
          <w:sz w:val="20"/>
          <w:szCs w:val="20"/>
          <w:color w:val="auto"/>
        </w:rPr>
      </w:pPr>
      <w:r>
        <w:rPr>
          <w:rFonts w:ascii="Times New Roman" w:cs="Times New Roman" w:eastAsia="Times New Roman" w:hAnsi="Times New Roman"/>
          <w:sz w:val="18"/>
          <w:szCs w:val="18"/>
          <w:color w:val="auto"/>
        </w:rPr>
        <w:t>“Sell-to-cover” transactions are often utilized in connection with the vesting and settlement of equity awards that are granted to our employees so that shares of our Common Stock are sold on behalf of our employees in an amount sufficient to cover the tax withholding obligations associated with these awards. As a result of these transactions, a significant number of shares of our Common Stock may be sold over a limited time period in connection with significant vesting events. We may also settle tax withholding obligations in connection with vesting of awards through “net settlement,” in which we remit cash to satisfy the tax withholding obligation and withhold a number of the vested shares on each vesting date. Depending on the fair value of our Common Stock and the number of awards vesting on any applicable vesting date, such net settlement could require us to expend substantial funds to satisfy tax withholding.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for our Common Stock and Warrants have been volatile and may not continue at all.</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the Business Combination and the commencement of the trading of our Common Stock and Warrants on the Nasdaq Global Market, the prices of our Common Stock and Warrants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12"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our company or the market in general;</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sell and manufacture our products on a timely basis;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98"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the Common Stock and Public Warrants available for public sale, including as a result of the release of shares of our Common Stock from lock-up provisions (see "</w:t>
      </w:r>
      <w:r>
        <w:rPr>
          <w:rFonts w:ascii="Times New Roman" w:cs="Times New Roman" w:eastAsia="Times New Roman" w:hAnsi="Times New Roman"/>
          <w:sz w:val="18"/>
          <w:szCs w:val="18"/>
          <w:i w:val="1"/>
          <w:iCs w:val="1"/>
          <w:color w:val="auto"/>
        </w:rPr>
        <w:t>Resales of the shares of Common Stock issued in connection with the Business Combination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acquisition of RE2 could depress the market price of our Common Stock.</w:t>
      </w:r>
      <w:r>
        <w:rPr>
          <w:rFonts w:ascii="Times New Roman" w:cs="Times New Roman" w:eastAsia="Times New Roman" w:hAnsi="Times New Roman"/>
          <w:sz w:val="18"/>
          <w:szCs w:val="18"/>
          <w:color w:val="auto"/>
        </w:rPr>
        <w:t>") or after exercise of any of our Warrants or the exercise or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employee equity awards;</w:t>
      </w:r>
    </w:p>
    <w:p>
      <w:pPr>
        <w:spacing w:after="0" w:line="17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officers or significant stockholders or the perception that such sales could occur;</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discussed herein;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Nasdaq listing requirements;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6" w:name="page67"/>
    <w:bookmarkEnd w:id="66"/>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of 2002 or other laws or regulations;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or any of the factors listed above. The securities markets in general have experienced price and volume fluctuations that have often been unrelated or disproportionate to the operating performance of the particular companies affected. The trading prices and valuations of these securities, including our securities, are not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an active trading market for our securities may not be sustained. If our Common Stock or Warrants become delisted from Nasdaq for any reason and are quoted on the OTC Bulletin Board or OTC Pink, an inter-dealer automated quotation system for equity securities that is not a national securities exchange, the liquidity of our Common Stock or Warrants may be more limited and the price of the securities may be lower than if we were quoted or listed on Nasdaq or another national securities exchange. If an active trading market for our securities is not sustained with sufficient trading volume, you may have limited or no ability to sell your securities.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Common Stock, then the price and trading volume of our Common Stock could decline</w:t>
      </w:r>
      <w:r>
        <w:rPr>
          <w:rFonts w:ascii="Times New Roman" w:cs="Times New Roman" w:eastAsia="Times New Roman" w:hAnsi="Times New Roman"/>
          <w:sz w:val="18"/>
          <w:szCs w:val="18"/>
          <w:i w:val="1"/>
          <w:iCs w:val="1"/>
          <w:color w:val="auto"/>
        </w:rPr>
        <w:t>.</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trading markets for our Common Stock and Warrants will be influenced by the research and reports that industry or securities analysts may publish about us, our business, our market or our competitors. If any of the analysts who cover us now or in the future change their recommendation regarding our stock adversely, or provide more favorable relative recommendations about our competitors, the price of our Common Stock and Public Warrants would likely decline. If any analyst covering our company now or in the future were to cease coverage of us or fail to regularly publish reports on us, we could lose visibility in the financial markets, which could cause the prices and trading volumes of the Common Stock and Public Warrants to decline.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Public Warrants or Private Placement Warrants will ever be in the money, and they may expire worthless.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exercise price of our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Warrants is $11.50 per share of Common Stock. There is no guarantee that the Warrants will ever be in the money prior to their expiration, and as such, the Warrants may expire worthless.</w:t>
      </w:r>
    </w:p>
    <w:p>
      <w:pPr>
        <w:spacing w:after="0" w:line="16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Warrants prior to their exercise at a time that is disadvantageous to Warrant holders, thereby making their Warrants worthless</w:t>
      </w:r>
      <w:r>
        <w:rPr>
          <w:rFonts w:ascii="Times New Roman" w:cs="Times New Roman" w:eastAsia="Times New Roman" w:hAnsi="Times New Roman"/>
          <w:sz w:val="18"/>
          <w:szCs w:val="18"/>
          <w:i w:val="1"/>
          <w:iCs w:val="1"/>
          <w:color w:val="auto"/>
        </w:rPr>
        <w:t>.</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subject to certain exceptions, provided that the last reported sales price of our Common Stock equals or exceeds $10.00 per share (as adjusted for stock splits, stock dividends, reorganizations, recapitalization and the like) for any 20 trading days within a 30 trading-day period ending on the third trading day prior to the date on which we give proper notice of such redemption to the Warrant holders and provided certain other conditions are met. For additional information on the circumstances in which the Public Warrants may be redeemed, see "</w:t>
      </w:r>
      <w:r>
        <w:rPr>
          <w:rFonts w:ascii="Times New Roman" w:cs="Times New Roman" w:eastAsia="Times New Roman" w:hAnsi="Times New Roman"/>
          <w:sz w:val="18"/>
          <w:szCs w:val="18"/>
          <w:i w:val="1"/>
          <w:iCs w:val="1"/>
          <w:color w:val="auto"/>
        </w:rPr>
        <w:t>Description of Securities—Warrants—Public Stockholders’ Warrants</w:t>
      </w:r>
      <w:r>
        <w:rPr>
          <w:rFonts w:ascii="Times New Roman" w:cs="Times New Roman" w:eastAsia="Times New Roman" w:hAnsi="Times New Roman"/>
          <w:sz w:val="18"/>
          <w:szCs w:val="18"/>
          <w:color w:val="auto"/>
        </w:rPr>
        <w:t>" in our prospectus filed with the SEC on April 6, 2022. If and when the Warrants become redeemable by us, we may exercise our redemption right even if we are unable to register or qualify the underlying securities for sale under all applicable state securities laws. Redemption of the outstanding Warrants could force the Warrant holders (i) to exercise their Warrants and pay the exercise price therefor at a time when it may be disadvantageous for them to do so, (ii) to sell their Warrants at the then-current market price when they might otherwise wish to hold their Warrants or (iii) to accept the nominal redemption price which, at the time the outstanding Warrants are called for redemption, is likely to be substantially less than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7" w:name="page68"/>
    <w:bookmarkEnd w:id="67"/>
    <w:p>
      <w:pPr>
        <w:jc w:val="both"/>
        <w:spacing w:after="0" w:line="282" w:lineRule="auto"/>
        <w:rPr>
          <w:sz w:val="20"/>
          <w:szCs w:val="20"/>
          <w:color w:val="auto"/>
        </w:rPr>
      </w:pPr>
      <w:r>
        <w:rPr>
          <w:rFonts w:ascii="Times New Roman" w:cs="Times New Roman" w:eastAsia="Times New Roman" w:hAnsi="Times New Roman"/>
          <w:sz w:val="18"/>
          <w:szCs w:val="18"/>
          <w:color w:val="auto"/>
        </w:rPr>
        <w:t>the market value of their Warrants. None of the Private Placement Warrants will be redeemable by us so long as they are held by the initial purchasers or their permitted transferees, subject to certain exceptions.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are exercisable for Common Stock, and their exercise would increase the number of shares eligible for future resale in the public market and result in dilution to our stockholders</w:t>
      </w:r>
      <w:r>
        <w:rPr>
          <w:rFonts w:ascii="Times New Roman" w:cs="Times New Roman" w:eastAsia="Times New Roman" w:hAnsi="Times New Roman"/>
          <w:sz w:val="18"/>
          <w:szCs w:val="18"/>
          <w:i w:val="1"/>
          <w:iCs w:val="1"/>
          <w:color w:val="auto"/>
        </w:rPr>
        <w:t>.</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2022, we had outstanding Public Warrants to purchase approximately 13,806,340 shares of Common Stock at $11.50 per share and Private Placement Warrants to purchase 6,743,113 shares at $11.50 per share. The shares of Common Stock issued upon exercise of our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Public Warrants.</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so long as they are held by the initial purchasers or their permitted transferees, (i) they will not be redeemable by us subject to certain exceptions, (ii) they may be exercised by the holders on a cashless basis and (iii) they are subject to registration rights.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and Bylaws, as well as provisions of Delaware law, could impair a takeover attempt, which could limit the price investors might be willing to pay in the future for our Common Stock</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(the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177" w:lineRule="exact"/>
        <w:rPr>
          <w:sz w:val="20"/>
          <w:szCs w:val="20"/>
          <w:color w:val="auto"/>
        </w:rPr>
      </w:pPr>
    </w:p>
    <w:p>
      <w:pPr>
        <w:ind w:left="760" w:hanging="378"/>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4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board of directors (pursuant to a majority vote of the whole board), the chairperson of the board of directors, or the Chief Executive Officer may call a special meeting;</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remove a director for “cause”;</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approve certain amendments to the Charter and Bylaws;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Delaware and federal courts as the exclusive forums for certain disputes.</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spacing w:after="0" w:line="1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8" w:name="page69"/>
    <w:bookmarkEnd w:id="6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r>
        <w:rPr>
          <w:rFonts w:ascii="Times New Roman" w:cs="Times New Roman" w:eastAsia="Times New Roman" w:hAnsi="Times New Roman"/>
          <w:sz w:val="18"/>
          <w:szCs w:val="18"/>
          <w:i w:val="1"/>
          <w:iCs w:val="1"/>
          <w:color w:val="auto"/>
        </w:rPr>
        <w:t>.</w:t>
      </w:r>
    </w:p>
    <w:p>
      <w:pPr>
        <w:spacing w:after="0" w:line="1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January 20, 2026, the fifth anniversary of Rotor’s initial public offering, (b) in which we have total annual gross revenue of at least $1.235 billion or (c) in which we are deemed to be a large accelerated filer, which means the market value of our Common Stock and Public Warrants that is held by non-affiliates exceeds $700 million as of the last business day of our prior second fiscal quarter, and (ii) the date on which we have issued more than $1.0 billion in non-convertible debt during the prior three-year period.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the price of our Common Stock may be more volatile. We had total revenue during calendar year 2021 of approximately $5.1 million. If we continue to expand our business through acquisitions and/or grow revenue organically post-Business Combination, we may cease to be an emerging growth company prior to January 20, 2026.</w:t>
      </w:r>
    </w:p>
    <w:p>
      <w:pPr>
        <w:spacing w:after="0" w:line="1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predict if investors will find our Common Stock or Public Warrants less attractive because we may continue to rely on these exemptions to the extent they remain available to us. If some investors find our Common Stock or Public Warrants less attractive as a result, there may be a less active trading market for our Common Stock or Public Warrants and more stock price volatility.</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44"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gridSpan w:val="12"/>
            <w:vMerge w:val="restart"/>
          </w:tcPr>
          <w:p>
            <w:pPr>
              <w:ind w:left="3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80" w:type="dxa"/>
            <w:vAlign w:val="bottom"/>
            <w:tcBorders>
              <w:bottom w:val="single" w:sz="8" w:color="auto"/>
            </w:tcBorders>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14"/>
          </w:tcPr>
          <w:p>
            <w:pPr>
              <w:spacing w:after="0" w:line="15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Second Amended and Restated Certificate of Incorporation of Sarcos Technology and Robotics Corporation (incorporated by reference to</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Exhibit 3.1 to the Company’s Current Report on Form 8-K, filed with the SEC on September 30, 2021).</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4"/>
          </w:tcPr>
          <w:p>
            <w:pPr>
              <w:spacing w:after="0" w:line="182"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Amended and Restated Bylaws of Sarcos Technology and Robotics Corporation (incorporated by reference to Exhibit 3.1 to the Company’s</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Current Report on Form 8-K filed with the SEC on November 8, 2022).</w:t>
              </w:r>
            </w:hyperlink>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6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w:t>
            </w:r>
          </w:p>
        </w:tc>
        <w:tc>
          <w:tcPr>
            <w:tcW w:w="20" w:type="dxa"/>
            <w:vAlign w:val="bottom"/>
            <w:tcBorders>
              <w:top w:val="single" w:sz="8" w:color="0000EE"/>
            </w:tcBorders>
          </w:tcPr>
          <w:p>
            <w:pPr>
              <w:spacing w:after="0"/>
              <w:rPr>
                <w:sz w:val="15"/>
                <w:szCs w:val="15"/>
                <w:color w:val="auto"/>
              </w:rPr>
            </w:pPr>
          </w:p>
        </w:tc>
        <w:tc>
          <w:tcPr>
            <w:tcW w:w="5020" w:type="dxa"/>
            <w:vAlign w:val="bottom"/>
            <w:gridSpan w:val="8"/>
          </w:tcPr>
          <w:p>
            <w:pPr>
              <w:ind w:left="40"/>
              <w:spacing w:after="0" w:line="182" w:lineRule="exact"/>
              <w:rPr>
                <w:sz w:val="20"/>
                <w:szCs w:val="20"/>
                <w:color w:val="auto"/>
              </w:rPr>
            </w:pPr>
            <w:r>
              <w:rPr>
                <w:rFonts w:ascii="Times New Roman" w:cs="Times New Roman" w:eastAsia="Times New Roman" w:hAnsi="Times New Roman"/>
                <w:sz w:val="18"/>
                <w:szCs w:val="18"/>
                <w:color w:val="0000FF"/>
              </w:rPr>
              <w:t>and 15d-14(a) under the Securities Exchange Act of 1934, as</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60" w:type="dxa"/>
            <w:vAlign w:val="bottom"/>
            <w:tcBorders>
              <w:top w:val="single" w:sz="8" w:color="0000FF"/>
            </w:tcBorders>
            <w:gridSpan w:val="5"/>
          </w:tcPr>
          <w:p>
            <w:pPr>
              <w:spacing w:after="0"/>
              <w:rPr>
                <w:sz w:val="14"/>
                <w:szCs w:val="14"/>
                <w:color w:val="auto"/>
              </w:rPr>
            </w:pPr>
          </w:p>
        </w:tc>
        <w:tc>
          <w:tcPr>
            <w:tcW w:w="3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00" w:type="dxa"/>
            <w:vAlign w:val="bottom"/>
            <w:tcBorders>
              <w:top w:val="single" w:sz="8" w:color="0000FF"/>
            </w:tcBorders>
            <w:gridSpan w:val="4"/>
          </w:tcPr>
          <w:p>
            <w:pPr>
              <w:spacing w:after="0"/>
              <w:rPr>
                <w:sz w:val="14"/>
                <w:szCs w:val="14"/>
                <w:color w:val="auto"/>
              </w:rPr>
            </w:pPr>
          </w:p>
        </w:tc>
        <w:tc>
          <w:tcPr>
            <w:tcW w:w="4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60" w:type="dxa"/>
            <w:vAlign w:val="bottom"/>
            <w:tcBorders>
              <w:top w:val="single" w:sz="8" w:color="0000FF"/>
            </w:tcBorders>
            <w:gridSpan w:val="10"/>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Certification</w:t>
            </w:r>
          </w:p>
        </w:tc>
        <w:tc>
          <w:tcPr>
            <w:tcW w:w="9280" w:type="dxa"/>
            <w:vAlign w:val="bottom"/>
            <w:gridSpan w:val="12"/>
          </w:tcPr>
          <w:p>
            <w:pPr>
              <w:ind w:left="20"/>
              <w:spacing w:after="0" w:line="182" w:lineRule="exact"/>
              <w:rPr>
                <w:sz w:val="20"/>
                <w:szCs w:val="20"/>
                <w:color w:val="auto"/>
              </w:rPr>
            </w:pPr>
            <w:r>
              <w:rPr>
                <w:rFonts w:ascii="Times New Roman" w:cs="Times New Roman" w:eastAsia="Times New Roman" w:hAnsi="Times New Roman"/>
                <w:sz w:val="18"/>
                <w:szCs w:val="18"/>
                <w:color w:val="0000FF"/>
              </w:rPr>
              <w:t>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20" w:type="dxa"/>
            <w:vAlign w:val="bottom"/>
            <w:tcBorders>
              <w:top w:val="single" w:sz="8" w:color="0000FF"/>
            </w:tcBorders>
            <w:gridSpan w:val="9"/>
          </w:tcPr>
          <w:p>
            <w:pPr>
              <w:spacing w:after="0"/>
              <w:rPr>
                <w:sz w:val="14"/>
                <w:szCs w:val="14"/>
                <w:color w:val="auto"/>
              </w:rPr>
            </w:pPr>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w w:val="95"/>
              </w:rPr>
              <w:t>Inline XBRL</w:t>
            </w:r>
          </w:p>
        </w:tc>
        <w:tc>
          <w:tcPr>
            <w:tcW w:w="9280" w:type="dxa"/>
            <w:vAlign w:val="bottom"/>
            <w:gridSpan w:val="12"/>
          </w:tcPr>
          <w:p>
            <w:pPr>
              <w:ind w:left="60"/>
              <w:spacing w:after="0" w:line="177" w:lineRule="exact"/>
              <w:rPr>
                <w:sz w:val="20"/>
                <w:szCs w:val="20"/>
                <w:color w:val="auto"/>
              </w:rPr>
            </w:pPr>
            <w:r>
              <w:rPr>
                <w:rFonts w:ascii="Times New Roman" w:cs="Times New Roman" w:eastAsia="Times New Roman" w:hAnsi="Times New Roman"/>
                <w:sz w:val="18"/>
                <w:szCs w:val="18"/>
                <w:color w:val="auto"/>
              </w:rPr>
              <w:t>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4420" w:firstLine="21"/>
        <w:spacing w:after="0" w:line="497" w:lineRule="auto"/>
        <w:tabs>
          <w:tab w:leader="none" w:pos="102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520" w:right="140" w:hanging="512"/>
        <w:spacing w:after="0" w:line="250" w:lineRule="auto"/>
        <w:tabs>
          <w:tab w:leader="none" w:pos="46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not deemed filed with the Securities and Exchange Commission and are not to be incorporated by reference into any filing of Sarcos Technology and Robotics Corporation under the Securities Act of 1933, as amended, or the Securities Exchange Act of 1934, as amended, whether made before or after the date of this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-809625</wp:posOffset>
            </wp:positionV>
            <wp:extent cx="95123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71" w:name="page72"/>
    <w:bookmarkEnd w:id="7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202"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 /s/ Kiva A. Allgood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Kiva A. Allgood</w:t>
      </w:r>
    </w:p>
    <w:p>
      <w:pPr>
        <w:ind w:left="6040"/>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 (</w:t>
      </w:r>
      <w:r>
        <w:rPr>
          <w:rFonts w:ascii="Times New Roman" w:cs="Times New Roman" w:eastAsia="Times New Roman" w:hAnsi="Times New Roman"/>
          <w:sz w:val="17"/>
          <w:szCs w:val="17"/>
          <w:b w:val="1"/>
          <w:bCs w:val="1"/>
          <w:i w:val="1"/>
          <w:iCs w:val="1"/>
          <w:color w:val="auto"/>
        </w:rPr>
        <w:t>Principal Executive Officer</w:t>
      </w:r>
      <w:r>
        <w:rPr>
          <w:rFonts w:ascii="Times New Roman" w:cs="Times New Roman" w:eastAsia="Times New Roman" w:hAnsi="Times New Roman"/>
          <w:sz w:val="17"/>
          <w:szCs w:val="17"/>
          <w:b w:val="1"/>
          <w:bCs w:val="1"/>
          <w:color w:val="auto"/>
        </w:rPr>
        <w:t>)</w:t>
      </w:r>
    </w:p>
    <w:p>
      <w:pPr>
        <w:spacing w:after="0" w:line="190"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 /s/ Andrew Hamer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Andrew Hamer</w:t>
      </w:r>
    </w:p>
    <w:p>
      <w:pPr>
        <w:ind w:left="6040"/>
        <w:spacing w:after="0" w:line="219" w:lineRule="auto"/>
        <w:rPr>
          <w:sz w:val="20"/>
          <w:szCs w:val="20"/>
          <w:color w:val="auto"/>
        </w:rPr>
      </w:pPr>
      <w:r>
        <w:rPr>
          <w:rFonts w:ascii="Times New Roman" w:cs="Times New Roman" w:eastAsia="Times New Roman" w:hAnsi="Times New Roman"/>
          <w:sz w:val="18"/>
          <w:szCs w:val="18"/>
          <w:b w:val="1"/>
          <w:bCs w:val="1"/>
          <w:color w:val="auto"/>
        </w:rPr>
        <w:t>Chief Financial Officer (Principal Financial and Accounting</w:t>
      </w:r>
    </w:p>
    <w:p>
      <w:pPr>
        <w:ind w:left="604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1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0" w:right="4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Kiva A. Allgood, certify that:</w:t>
      </w:r>
    </w:p>
    <w:p>
      <w:pPr>
        <w:spacing w:after="0" w:line="212"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Sarcos Technology and Robotics Corporation;</w:t>
      </w:r>
    </w:p>
    <w:p>
      <w:pPr>
        <w:spacing w:after="0" w:line="211"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hanging="479"/>
        <w:spacing w:after="0" w:line="266" w:lineRule="auto"/>
        <w:tabs>
          <w:tab w:leader="none" w:pos="895"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 /s/ Kiva A. Allgood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Kiva A. Allgood</w:t>
      </w:r>
    </w:p>
    <w:p>
      <w:pPr>
        <w:ind w:left="6040"/>
        <w:spacing w:after="0" w:line="219" w:lineRule="auto"/>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Hamer, certify that:</w:t>
      </w:r>
    </w:p>
    <w:p>
      <w:pPr>
        <w:spacing w:after="0" w:line="212"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Sarcos Technology and Robotics Corporation;</w:t>
      </w:r>
    </w:p>
    <w:p>
      <w:pPr>
        <w:spacing w:after="0" w:line="211"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hanging="479"/>
        <w:spacing w:after="0" w:line="266" w:lineRule="auto"/>
        <w:tabs>
          <w:tab w:leader="none" w:pos="895"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 /s/ Andrew Hamer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Andrew Hamer</w:t>
      </w:r>
    </w:p>
    <w:p>
      <w:pPr>
        <w:ind w:left="6040"/>
        <w:spacing w:after="0" w:line="219"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Sarcos Technology and Robotics Corporation (the “Company”) on Form 10-Q for the period ending September 30, 2022 as filed with the Securities and Exchange Commission on the date hereof (the “Report”), I certify, pursuant to 18 U.S.C. § 1350, as adopted pursuant to § 906 of the Sarbanes-Oxley Act of 2002, that, to my knowledge:</w:t>
      </w:r>
    </w:p>
    <w:p>
      <w:pPr>
        <w:spacing w:after="0" w:line="190" w:lineRule="exact"/>
        <w:rPr>
          <w:sz w:val="20"/>
          <w:szCs w:val="20"/>
          <w:color w:val="auto"/>
        </w:rPr>
      </w:pPr>
    </w:p>
    <w:p>
      <w:pPr>
        <w:ind w:left="900" w:hanging="359"/>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 /s/ Kiva A. Allgood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Kiva A. Allgood</w:t>
      </w:r>
    </w:p>
    <w:p>
      <w:pPr>
        <w:ind w:left="6040"/>
        <w:spacing w:after="0" w:line="219"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Sarcos Technology and Robotics Corporation (the “Company”) on Form 10-Q for the period ending September 30, 2022 as filed with the Securities and Exchange Commission on the date hereof (the “Report”), I certify, pursuant to 18 U.S.C. § 1350, as adopted pursuant to § 906 of the Sarbanes-Oxley Act of 2002, that, to my knowledge:</w:t>
      </w:r>
    </w:p>
    <w:p>
      <w:pPr>
        <w:spacing w:after="0" w:line="190" w:lineRule="exact"/>
        <w:rPr>
          <w:sz w:val="20"/>
          <w:szCs w:val="20"/>
          <w:color w:val="auto"/>
        </w:rPr>
      </w:pPr>
    </w:p>
    <w:p>
      <w:pPr>
        <w:ind w:left="900" w:hanging="35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 /s/ Andrew Hamer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Andrew Hamer</w:t>
      </w:r>
    </w:p>
    <w:p>
      <w:pPr>
        <w:ind w:left="6040"/>
        <w:spacing w:after="0" w:line="219"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2"/>
    </w:lvl>
  </w:abstractNum>
  <w:abstractNum w:abstractNumId="8">
    <w:nsid w:val="B03E0C6"/>
    <w:multiLevelType w:val="hybridMultilevel"/>
    <w:lvl w:ilvl="0">
      <w:lvlJc w:val="left"/>
      <w:lvlText w:val="%1."/>
      <w:numFmt w:val="decimal"/>
      <w:start w:val="5"/>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lvl w:ilvl="1">
      <w:lvlJc w:val="left"/>
      <w:lvlText w:val="(%2)"/>
      <w:numFmt w:val="decimal"/>
      <w:start w:val="1"/>
    </w:lvl>
  </w:abstractNum>
  <w:abstractNum w:abstractNumId="11">
    <w:nsid w:val="71F32454"/>
    <w:multiLevelType w:val="hybridMultilevel"/>
    <w:lvl w:ilvl="0">
      <w:lvlJc w:val="left"/>
      <w:lvlText w:val="%1."/>
      <w:numFmt w:val="decimal"/>
      <w:start w:val="8"/>
    </w:lvl>
    <w:lvl w:ilvl="1">
      <w:lvlJc w:val="left"/>
      <w:lvlText w:val="%2"/>
      <w:numFmt w:val="decimal"/>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9"/>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lowerRoman"/>
      <w:start w:val="2"/>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lvl w:ilvl="1">
      <w:lvlJc w:val="left"/>
      <w:lvlText w:val="%2"/>
      <w:numFmt w:val="decimal"/>
      <w:start w:val="104"/>
    </w:lvl>
  </w:abstractNum>
  <w:abstractNum w:abstractNumId="38">
    <w:nsid w:val="153EA438"/>
    <w:multiLevelType w:val="hybridMultilevel"/>
    <w:lvl w:ilvl="0">
      <w:lvlJc w:val="left"/>
      <w:lvlText w:val="**"/>
      <w:numFmt w:val="bullet"/>
      <w:start w:val="1"/>
    </w:lvl>
    <w:lvl w:ilvl="1">
      <w:lvlJc w:val="left"/>
      <w:lvlText w:val="%2"/>
      <w:numFmt w:val="decimal"/>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25" Type="http://schemas.openxmlformats.org/officeDocument/2006/relationships/hyperlink" Target="https://www.sec.gov/Archives/edgar/data/1826681/000156459021049662/strc-ex31_83.htm" TargetMode="External"/><Relationship Id="rId326" Type="http://schemas.openxmlformats.org/officeDocument/2006/relationships/hyperlink" Target="https://www.sec.gov/Archives/edgar/data/1826681/000095017022023251/strc-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2022-11-08T17:21:47Z</dcterms:created>
  <dcterms:modified xsi:type="dcterms:W3CDTF">2022-11-08T17:21:47Z</dcterms:modified>
</cp:coreProperties>
</file>