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dyn-20260608.htm"/>
      <w:bookmarkStart w:id="1" w:name="kspdyn202606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Palladyne AI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001-39897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85-2838301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South 500 West, Suite 150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Salt Lake City,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927-7296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073"/>
        <w:gridCol w:w="146"/>
        <w:gridCol w:w="903"/>
        <w:gridCol w:w="146"/>
        <w:gridCol w:w="2937"/>
      </w:tblGrid>
      <w:tr>
        <w:trPr/>
        <w:tc>
          <w:tcPr>
            <w:tcW w:w="6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60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3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PDYN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exercisable for shares of Common Stock at an exercise price of $69.00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PDYNW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8, 2026, Palladyne AI Corp. (the "Company") held its 2026 annual meeting of stockholders (the "Annual Meeting"). At the Annual Meeting, 32,816,253 shares of the Company’s common stock, or approximately 69% of the total shares entitled to vote, were present in person or represented by proxy, which constituted a quorum for the transaction of business.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left"/>
        <w:rPr>
          <w:rFonts w:ascii="Times New Roman" w:hAnsi="Times New Roman"/>
          <w:color w:val="000000"/>
          <w:sz w:val="20"/>
        </w:rPr>
      </w:pPr>
      <w:r>
        <w:rPr>
          <w:rFonts w:ascii="Times New Roman" w:hAnsi="Times New Roman"/>
          <w:color w:val="000000"/>
          <w:sz w:val="20"/>
        </w:rPr>
        <w:t>The description of the Senior Executive Awards (as defined below) in Item 5.02 of this Current Report on Form 8-K and in the Company’s Proxy Statement (as defined below) is incorporated herein by reference. The Senior Executive Awards were issued pursuant to the exemption provided in Section 4(a)(2) of the Securities 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Stockholder Approval of Amendment and Restatement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(the “Board”) previously approved, subject to stockholder approval, an amendment and restatement of the Palladyne AI Corp. 2021 Equity Incentive Plan (the “2021 Plan”) to increase the number of shares of common stock that may be issued under the 2021 Plan by 4,500,000 shares, as further described in the Company’s Definitive Proxy Statement filed with the U.S. Securities and Exchange Commission (the “SEC”) on April 22, 2026 (the “Proxy Statement”). At the Annual Meeting, the Company’s stockholders approved the amendment and restatement of the 2021 Plan. </w:t>
      </w:r>
    </w:p>
    <w:p>
      <w:pPr>
        <w:pStyle w:val="TextBody"/>
        <w:bidi w:val="0"/>
        <w:jc w:val="left"/>
        <w:rPr>
          <w:rFonts w:ascii="Times New Roman" w:hAnsi="Times New Roman"/>
          <w:color w:val="000000"/>
          <w:sz w:val="20"/>
        </w:rPr>
      </w:pPr>
      <w:r>
        <w:rPr>
          <w:rFonts w:ascii="Times New Roman" w:hAnsi="Times New Roman"/>
          <w:color w:val="000000"/>
          <w:sz w:val="20"/>
        </w:rPr>
        <w:br/>
        <w:t>A summary of the 2021 Plan is set forth in the Proxy Statement and is incorporated herein by reference. That summary and the foregoing description of the 2021 Plan are qualified in their entirety by reference to the text of the 2021 Plan, a copy of which is filed as Exhibit 10.1 hereto and incorporated herein by reference.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Stockholder Approval of Restricted Stock Unit Awards to Senior Executives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previously approved certain restricted stock unit awards covering an aggregate of 5,360,659 shares of common stock to senior executives of the Company (the “Senior Executive Awards”), which Senior Executive Awards became fully effective and eligible for vesting upon receipt of stockholder approval at the Annual Meeting. A summary of the Senior Executive Awards is set forth in the Proxy Statement and is incorporated herein by reference.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The following sets forth the final results of the voting at the Annual Meeting. The proposals considered at the Annual Meeting are described in more detail in the Company’s definitive proxy statement filed with the Securities and Exchange Commission (the “SEC”) on April 22,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Proposal One - Election of Class II Director</w:t>
      </w:r>
      <w:r>
        <w:rPr>
          <w:rFonts w:ascii="Times New Roman" w:hAnsi="Times New Roman"/>
          <w:color w:val="000000"/>
          <w:sz w:val="20"/>
        </w:rPr>
        <w:t>. The following nominee was elected as a Class II director to hold office until our 2029 annual meeting of stockholders and until his successor is elected and qualified or until his earlier death, resignation or removal.</w:t>
      </w:r>
    </w:p>
    <w:tbl>
      <w:tblPr>
        <w:tblW w:w="5527" w:type="dxa"/>
        <w:jc w:val="left"/>
        <w:tblInd w:w="0" w:type="dxa"/>
        <w:tblLayout w:type="fixed"/>
        <w:tblCellMar>
          <w:top w:w="28" w:type="dxa"/>
          <w:left w:w="28" w:type="dxa"/>
          <w:bottom w:w="28" w:type="dxa"/>
          <w:right w:w="28" w:type="dxa"/>
        </w:tblCellMar>
      </w:tblPr>
      <w:tblGrid>
        <w:gridCol w:w="1501"/>
        <w:gridCol w:w="146"/>
        <w:gridCol w:w="1036"/>
        <w:gridCol w:w="146"/>
        <w:gridCol w:w="931"/>
        <w:gridCol w:w="146"/>
        <w:gridCol w:w="162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5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Nominee</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Withhold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Dennis Weibling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19,383,890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3,856,640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9,575,723</w:t>
            </w:r>
          </w:p>
        </w:tc>
      </w:tr>
      <w:tr>
        <w:trPr/>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sz w:val="20"/>
        </w:rPr>
      </w:pPr>
      <w:r>
        <w:rPr>
          <w:rFonts w:ascii="Times New Roman" w:hAnsi="Times New Roman"/>
          <w:i/>
          <w:color w:val="000000"/>
          <w:sz w:val="20"/>
        </w:rPr>
        <w:t>Proposal Two - Ratification of Appointment of Independent Registered Public Accounting Firm</w:t>
      </w:r>
      <w:r>
        <w:rPr>
          <w:rFonts w:ascii="Times New Roman" w:hAnsi="Times New Roman"/>
          <w:color w:val="000000"/>
          <w:sz w:val="20"/>
        </w:rPr>
        <w:t>. The appointment of KPMG LLP as the Company’s independent registered public accounting firm for the Company’s fiscal year ending December 31, 2026 was ratified.</w:t>
      </w:r>
    </w:p>
    <w:tbl>
      <w:tblPr>
        <w:tblW w:w="4777" w:type="dxa"/>
        <w:jc w:val="left"/>
        <w:tblInd w:w="0" w:type="dxa"/>
        <w:tblLayout w:type="fixed"/>
        <w:tblCellMar>
          <w:top w:w="28" w:type="dxa"/>
          <w:left w:w="28" w:type="dxa"/>
          <w:bottom w:w="28" w:type="dxa"/>
          <w:right w:w="28" w:type="dxa"/>
        </w:tblCellMar>
      </w:tblPr>
      <w:tblGrid>
        <w:gridCol w:w="1051"/>
        <w:gridCol w:w="146"/>
        <w:gridCol w:w="931"/>
        <w:gridCol w:w="146"/>
        <w:gridCol w:w="736"/>
        <w:gridCol w:w="146"/>
        <w:gridCol w:w="162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29,069,119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3,677,340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69,794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Proposal Three - Approval of the Company's 2021 Equity Incentive Plan, as amended and restated, to increase the number of shares authorized for issuance thereunder</w:t>
      </w:r>
      <w:r>
        <w:rPr>
          <w:rFonts w:ascii="Times New Roman" w:hAnsi="Times New Roman"/>
          <w:color w:val="000000"/>
          <w:sz w:val="20"/>
        </w:rPr>
        <w:t>. The Company's 2021 Equity Incentive Plan, as amended and restated was approved.</w:t>
      </w:r>
    </w:p>
    <w:tbl>
      <w:tblPr>
        <w:tblW w:w="4822" w:type="dxa"/>
        <w:jc w:val="left"/>
        <w:tblInd w:w="0" w:type="dxa"/>
        <w:tblLayout w:type="fixed"/>
        <w:tblCellMar>
          <w:top w:w="28" w:type="dxa"/>
          <w:left w:w="28" w:type="dxa"/>
          <w:bottom w:w="28" w:type="dxa"/>
          <w:right w:w="28" w:type="dxa"/>
        </w:tblCellMar>
      </w:tblPr>
      <w:tblGrid>
        <w:gridCol w:w="1051"/>
        <w:gridCol w:w="146"/>
        <w:gridCol w:w="931"/>
        <w:gridCol w:w="146"/>
        <w:gridCol w:w="781"/>
        <w:gridCol w:w="146"/>
        <w:gridCol w:w="162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16,236,339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6,865,822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138,369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9,575,723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Proposal Four- Approval of Restricted Stock Unit Awards to our Senior Executives.</w:t>
      </w:r>
      <w:r>
        <w:rPr>
          <w:rFonts w:ascii="Times New Roman" w:hAnsi="Times New Roman"/>
          <w:color w:val="000000"/>
          <w:sz w:val="20"/>
        </w:rPr>
        <w:t xml:space="preserve"> The restricted stock unit awards to our senior executives were approved.</w:t>
      </w:r>
    </w:p>
    <w:tbl>
      <w:tblPr>
        <w:tblW w:w="4822" w:type="dxa"/>
        <w:jc w:val="left"/>
        <w:tblInd w:w="0" w:type="dxa"/>
        <w:tblLayout w:type="fixed"/>
        <w:tblCellMar>
          <w:top w:w="28" w:type="dxa"/>
          <w:left w:w="28" w:type="dxa"/>
          <w:bottom w:w="28" w:type="dxa"/>
          <w:right w:w="28" w:type="dxa"/>
        </w:tblCellMar>
      </w:tblPr>
      <w:tblGrid>
        <w:gridCol w:w="1051"/>
        <w:gridCol w:w="146"/>
        <w:gridCol w:w="931"/>
        <w:gridCol w:w="146"/>
        <w:gridCol w:w="781"/>
        <w:gridCol w:w="146"/>
        <w:gridCol w:w="162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19,630,273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3,440,470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169,787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9,575,723</w:t>
            </w:r>
          </w:p>
        </w:tc>
      </w:tr>
    </w:tbl>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tbl>
      <w:tblPr>
        <w:tblW w:w="6647" w:type="dxa"/>
        <w:jc w:val="left"/>
        <w:tblInd w:w="0" w:type="dxa"/>
        <w:tblLayout w:type="fixed"/>
        <w:tblCellMar>
          <w:top w:w="28" w:type="dxa"/>
          <w:left w:w="28" w:type="dxa"/>
          <w:bottom w:w="28" w:type="dxa"/>
          <w:right w:w="28" w:type="dxa"/>
        </w:tblCellMar>
      </w:tblPr>
      <w:tblGrid>
        <w:gridCol w:w="811"/>
        <w:gridCol w:w="5836"/>
      </w:tblGrid>
      <w:tr>
        <w:trPr/>
        <w:tc>
          <w:tcPr>
            <w:tcW w:w="81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Number</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pdyn-ex10_1.htm">
              <w:r>
                <w:rPr>
                  <w:rStyle w:val="InternetLink"/>
                  <w:rFonts w:ascii="Times New Roman" w:hAnsi="Times New Roman"/>
                  <w:color w:val="0000FF"/>
                  <w:sz w:val="20"/>
                  <w:u w:val="single"/>
                </w:rPr>
                <w:t>Palladyne AI Cop. Amended and Restated 2021 Equity Incentive Plan</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79" w:type="dxa"/>
        <w:jc w:val="left"/>
        <w:tblInd w:w="0" w:type="dxa"/>
        <w:tblLayout w:type="fixed"/>
        <w:tblCellMar>
          <w:top w:w="28" w:type="dxa"/>
          <w:left w:w="28" w:type="dxa"/>
          <w:bottom w:w="28" w:type="dxa"/>
          <w:right w:w="28" w:type="dxa"/>
        </w:tblCellMar>
      </w:tblPr>
      <w:tblGrid>
        <w:gridCol w:w="661"/>
        <w:gridCol w:w="1141"/>
        <w:gridCol w:w="631"/>
        <w:gridCol w:w="2746"/>
      </w:tblGrid>
      <w:tr>
        <w:trPr/>
        <w:tc>
          <w:tcPr>
            <w:tcW w:w="6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Palladyne AI Corp.</w:t>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8,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Sonne</w:t>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Sonne</w:t>
              <w:br/>
              <w:t xml:space="preserve">Chief Legal Officer &amp; Secretary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dyn-ex10_1.htm"/>
      <w:bookmarkStart w:id="3" w:name="kspdynex10_1"/>
      <w:bookmarkEnd w:id="2"/>
      <w:bookmarkEnd w:id="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PALLADYNE AI CORP.</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(effective as of June 8, 2026)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color w:val="000000"/>
          <w:sz w:val="24"/>
        </w:rPr>
        <w:t>Purposes of the Plan</w:t>
      </w:r>
      <w:r>
        <w:rPr>
          <w:rFonts w:ascii="Times New Roman" w:hAnsi="Times New Roman"/>
          <w:color w:val="000000"/>
          <w:sz w:val="24"/>
        </w:rPr>
        <w:t>. The purposes of this Plan 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provide additional incentive to Employees, Directors and Consultants,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b/>
          <w:color w:val="000000"/>
          <w:sz w:val="24"/>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b/>
          <w:color w:val="000000"/>
          <w:sz w:val="24"/>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b/>
          <w:color w:val="000000"/>
          <w:sz w:val="24"/>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color w:val="000000"/>
          <w:sz w:val="24"/>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b/>
          <w:color w:val="000000"/>
          <w:sz w:val="24"/>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4"/>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4"/>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b/>
          <w:color w:val="000000"/>
          <w:sz w:val="24"/>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b/>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b/>
          <w:color w:val="000000"/>
          <w:sz w:val="24"/>
        </w:rPr>
        <w:t>Company</w:t>
      </w:r>
      <w:r>
        <w:rPr>
          <w:color w:val="000000"/>
        </w:rPr>
        <w:t xml:space="preserve">” </w:t>
      </w:r>
      <w:r>
        <w:rPr>
          <w:rFonts w:ascii="Times New Roman" w:hAnsi="Times New Roman"/>
          <w:color w:val="000000"/>
          <w:sz w:val="24"/>
        </w:rPr>
        <w:t>means Palladyne AI Corp., a 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b/>
          <w:color w:val="000000"/>
          <w:sz w:val="24"/>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b/>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b/>
          <w:color w:val="000000"/>
          <w:sz w:val="24"/>
        </w:rPr>
        <w:t>Disability</w:t>
      </w:r>
      <w:r>
        <w:rPr>
          <w:color w:val="000000"/>
        </w:rPr>
        <w:t xml:space="preserve">” </w:t>
      </w:r>
      <w:r>
        <w:rPr>
          <w:rFonts w:ascii="Times New Roman" w:hAnsi="Times New Roman"/>
          <w:color w:val="000000"/>
          <w:sz w:val="24"/>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means the date of the consummation of the merger by and between the Company, Sarcos Corp., and certain other parties, pursuant to that certain Agreement and Plan of Merger dated April 5, 2021 (such merger, the “</w:t>
      </w:r>
      <w:r>
        <w:rPr>
          <w:rFonts w:ascii="Times New Roman" w:hAnsi="Times New Roman"/>
          <w:b/>
          <w:color w:val="000000"/>
          <w:sz w:val="24"/>
        </w:rPr>
        <w:t>Merger</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b/>
          <w:color w:val="000000"/>
          <w:sz w:val="24"/>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b/>
          <w:color w:val="000000"/>
          <w:sz w:val="24"/>
        </w:rPr>
        <w:t>Exchange Program</w:t>
      </w:r>
      <w:r>
        <w:rPr>
          <w:color w:val="00000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b/>
          <w:color w:val="000000"/>
          <w:sz w:val="24"/>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b/>
          <w:color w:val="000000"/>
          <w:sz w:val="24"/>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b/>
          <w:color w:val="000000"/>
          <w:sz w:val="24"/>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b/>
          <w:color w:val="000000"/>
          <w:sz w:val="24"/>
        </w:rPr>
        <w:t>Inside Director</w:t>
      </w:r>
      <w:r>
        <w:rPr>
          <w:color w:val="000000"/>
        </w:rPr>
        <w:t xml:space="preserve">” </w:t>
      </w:r>
      <w:r>
        <w:rPr>
          <w:rFonts w:ascii="Times New Roman" w:hAnsi="Times New Roman"/>
          <w:color w:val="000000"/>
          <w:sz w:val="24"/>
        </w:rPr>
        <w:t xml:space="preserve">means a Director who is an Employee.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b/>
          <w:color w:val="000000"/>
          <w:sz w:val="24"/>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b/>
          <w:color w:val="000000"/>
          <w:sz w:val="24"/>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b/>
          <w:color w:val="000000"/>
          <w:sz w:val="24"/>
        </w:rPr>
        <w:t>Option</w:t>
      </w:r>
      <w:r>
        <w:rPr>
          <w:color w:val="000000"/>
        </w:rPr>
        <w:t xml:space="preserve">” </w:t>
      </w:r>
      <w:r>
        <w:rPr>
          <w:rFonts w:ascii="Times New Roman" w:hAnsi="Times New Roman"/>
          <w:color w:val="000000"/>
          <w:sz w:val="24"/>
        </w:rPr>
        <w:t>means a stock option granted pursuant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both"/>
        <w:rPr/>
      </w:pPr>
      <w:r>
        <w:rPr>
          <w:color w:val="000000"/>
        </w:rPr>
        <w:t>“</w:t>
      </w:r>
      <w:r>
        <w:rPr>
          <w:rFonts w:ascii="Times New Roman" w:hAnsi="Times New Roman"/>
          <w:b/>
          <w:color w:val="000000"/>
          <w:sz w:val="24"/>
        </w:rPr>
        <w:t>Outside Director</w:t>
      </w:r>
      <w:r>
        <w:rPr>
          <w:color w:val="000000"/>
        </w:rPr>
        <w:t xml:space="preserve">” </w:t>
      </w:r>
      <w:r>
        <w:rPr>
          <w:rFonts w:ascii="Times New Roman" w:hAnsi="Times New Roman"/>
          <w:color w:val="000000"/>
          <w:sz w:val="24"/>
        </w:rPr>
        <w:t>means a Director who is not an Employee.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b/>
          <w:color w:val="000000"/>
          <w:sz w:val="24"/>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color w:val="000000"/>
        </w:rPr>
        <w:t>“</w:t>
      </w:r>
      <w:r>
        <w:rPr>
          <w:rFonts w:ascii="Times New Roman" w:hAnsi="Times New Roman"/>
          <w:b/>
          <w:color w:val="000000"/>
          <w:sz w:val="24"/>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b/>
          <w:color w:val="000000"/>
          <w:sz w:val="24"/>
        </w:rPr>
        <w:t>Performance Awards</w:t>
      </w:r>
      <w:r>
        <w:rPr>
          <w:color w:val="000000"/>
        </w:rPr>
        <w:t xml:space="preserve">” </w:t>
      </w:r>
      <w:r>
        <w:rPr>
          <w:rFonts w:ascii="Times New Roman" w:hAnsi="Times New Roman"/>
          <w:color w:val="000000"/>
          <w:sz w:val="24"/>
        </w:rPr>
        <w:t>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b/>
          <w:color w:val="000000"/>
          <w:sz w:val="24"/>
        </w:rPr>
        <w:t>Performance Period</w:t>
      </w:r>
      <w:r>
        <w:rPr>
          <w:color w:val="000000"/>
        </w:rPr>
        <w:t xml:space="preserve">” </w:t>
      </w:r>
      <w:r>
        <w:rPr>
          <w:rFonts w:ascii="Times New Roman" w:hAnsi="Times New Roman"/>
          <w:color w:val="000000"/>
          <w:sz w:val="24"/>
        </w:rPr>
        <w:t>means Performance Period as defined in Section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b/>
          <w:color w:val="000000"/>
          <w:sz w:val="24"/>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b/>
          <w:color w:val="000000"/>
          <w:sz w:val="24"/>
        </w:rPr>
        <w:t>Plan</w:t>
      </w:r>
      <w:r>
        <w:rPr>
          <w:color w:val="000000"/>
        </w:rPr>
        <w:t xml:space="preserve">” </w:t>
      </w:r>
      <w:r>
        <w:rPr>
          <w:rFonts w:ascii="Times New Roman" w:hAnsi="Times New Roman"/>
          <w:color w:val="000000"/>
          <w:sz w:val="24"/>
        </w:rPr>
        <w:t>means this Amended and Restated 2021 Equity Incentive Plan, as may be amended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b/>
          <w:color w:val="000000"/>
          <w:sz w:val="24"/>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b/>
          <w:color w:val="000000"/>
          <w:sz w:val="24"/>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b/>
          <w:color w:val="000000"/>
          <w:sz w:val="24"/>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b/>
          <w:color w:val="000000"/>
          <w:sz w:val="24"/>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b/>
          <w:color w:val="000000"/>
          <w:sz w:val="24"/>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b/>
          <w:color w:val="000000"/>
          <w:sz w:val="24"/>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b/>
          <w:color w:val="000000"/>
          <w:sz w:val="24"/>
        </w:rPr>
        <w:t>Share</w:t>
      </w:r>
      <w:r>
        <w:rPr>
          <w:color w:val="000000"/>
        </w:rPr>
        <w:t xml:space="preserve">” </w:t>
      </w:r>
      <w:r>
        <w:rPr>
          <w:rFonts w:ascii="Times New Roman" w:hAnsi="Times New Roman"/>
          <w:color w:val="000000"/>
          <w:sz w:val="24"/>
        </w:rPr>
        <w:t>means a share of the Common Stock, as adjusted in accordance with Section 15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b/>
          <w:color w:val="000000"/>
          <w:sz w:val="24"/>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2.41.</w:t>
      </w:r>
    </w:p>
    <w:p>
      <w:pPr>
        <w:pStyle w:val="TextBody"/>
        <w:bidi w:val="0"/>
        <w:spacing w:before="240" w:after="283"/>
        <w:jc w:val="both"/>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2.42.</w:t>
      </w:r>
    </w:p>
    <w:p>
      <w:pPr>
        <w:pStyle w:val="TextBody"/>
        <w:bidi w:val="0"/>
        <w:spacing w:before="240" w:after="283"/>
        <w:jc w:val="both"/>
        <w:rPr/>
      </w:pPr>
      <w:r>
        <w:rPr>
          <w:color w:val="000000"/>
        </w:rPr>
        <w:t>“</w:t>
      </w:r>
      <w:r>
        <w:rPr>
          <w:rFonts w:ascii="Times New Roman" w:hAnsi="Times New Roman"/>
          <w:b/>
          <w:color w:val="000000"/>
          <w:sz w:val="24"/>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2.43.</w:t>
      </w:r>
    </w:p>
    <w:p>
      <w:pPr>
        <w:pStyle w:val="TextBody"/>
        <w:bidi w:val="0"/>
        <w:spacing w:before="240" w:after="283"/>
        <w:jc w:val="both"/>
        <w:rPr/>
      </w:pPr>
      <w:r>
        <w:rPr>
          <w:color w:val="000000"/>
        </w:rPr>
        <w:t>“</w:t>
      </w:r>
      <w:r>
        <w:rPr>
          <w:rFonts w:ascii="Times New Roman" w:hAnsi="Times New Roman"/>
          <w:b/>
          <w:color w:val="000000"/>
          <w:sz w:val="24"/>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b/>
          <w:color w:val="000000"/>
          <w:sz w:val="24"/>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b/>
          <w:color w:val="000000"/>
          <w:sz w:val="24"/>
        </w:rPr>
        <w:t>Stock Subject to the Plan</w:t>
      </w:r>
      <w:r>
        <w:rPr>
          <w:rFonts w:ascii="Times New Roman" w:hAnsi="Times New Roman"/>
          <w:color w:val="000000"/>
          <w:sz w:val="24"/>
        </w:rPr>
        <w:t>. Subject to adjustment upon changes in capitalization of the Company as provided in Section 15, the maximum aggregate number of Shares that may be subject to Awards and sold under the Plan will be equal to (a) 9,500,000 Shares, plus (b) any shares of the Company’s common stock subject to stock options, awards of restricted stock, awards of restricted stock units, or other awards that were assumed in the Merger (“</w:t>
      </w:r>
      <w:r>
        <w:rPr>
          <w:rFonts w:ascii="Times New Roman" w:hAnsi="Times New Roman"/>
          <w:b/>
          <w:color w:val="000000"/>
          <w:sz w:val="24"/>
        </w:rPr>
        <w:t>Assumed Awards</w:t>
      </w:r>
      <w:r>
        <w:rPr>
          <w:color w:val="000000"/>
        </w:rPr>
        <w:t>”</w:t>
      </w:r>
      <w:r>
        <w:rPr>
          <w:rFonts w:ascii="Times New Roman" w:hAnsi="Times New Roman"/>
          <w:color w:val="000000"/>
          <w:sz w:val="24"/>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2,126,767 Shares. Effective as of July 5, 2023, the Company effected a 6-for-1 reverse stock split with respect to the Company’s common stock. In connection with this reverse stock split, the shares of Company common stock subject to the Plan were adjusted to reflect the impact thereof. Prior to such adjustment, the total number of Shares authorized under the Plan under clause (a) above was 30,000,000 Shares, and the maximum number of Shares to be added to the Plan pursuant to clause (b) was 12,760,600 Shares. In addition, Shares may become available for issuance under Section 3.2. The Shares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b/>
          <w:color w:val="000000"/>
          <w:sz w:val="24"/>
        </w:rPr>
        <w:t>Lapsed Awards</w:t>
      </w:r>
      <w:r>
        <w:rPr>
          <w:rFonts w:ascii="Times New Roman" w:hAnsi="Times New Roman"/>
          <w:color w:val="000000"/>
          <w:sz w:val="24"/>
        </w:rPr>
        <w:t xml:space="preserve">.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b/>
          <w:color w:val="000000"/>
          <w:sz w:val="24"/>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b/>
          <w:color w:val="000000"/>
          <w:sz w:val="24"/>
        </w:rPr>
        <w:t>Administration of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b/>
          <w:color w:val="000000"/>
          <w:sz w:val="24"/>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b/>
          <w:color w:val="000000"/>
          <w:sz w:val="24"/>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b/>
          <w:color w:val="000000"/>
          <w:sz w:val="24"/>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b/>
          <w:color w:val="000000"/>
          <w:sz w:val="24"/>
        </w:rPr>
        <w:t>Other Administration</w:t>
      </w:r>
      <w:r>
        <w:rPr>
          <w:rFonts w:ascii="Times New Roman" w:hAnsi="Times New Roman"/>
          <w:color w:val="000000"/>
          <w:sz w:val="24"/>
        </w:rPr>
        <w:t xml:space="preserve">. Other than as provided above, the Plan will be administered by (A) the Board or (B) a Committee, which Committee will be constituted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b/>
          <w:color w:val="000000"/>
          <w:sz w:val="24"/>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select the Service Providers to whom Awards may be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or dollar amounts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institute and determine the terms and conditions of an Exchange Program, including, subject to Section 20.3, to unilaterally implement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facilitating compliance with applicable non</w:t>
        <w:noBreakHyphen/>
        <w:t>U.S. laws, easing the administration of the Plan and/or for qualifying for favorable tax treatment under applicable non</w:t>
        <w:noBreakHyphen/>
        <w:t>U.S. laws, in each case as the Administrator may deem necessary or advisable;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temporarily suspend the exercisability of an Award if the Administrator deems such suspension to be necessary or appropriate for administrative purposes;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b/>
          <w:color w:val="000000"/>
          <w:sz w:val="24"/>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rPr>
        <w:t>Eligibility</w:t>
      </w:r>
      <w:r>
        <w:rPr>
          <w:rFonts w:ascii="Times New Roman" w:hAnsi="Times New Roman"/>
          <w:color w:val="000000"/>
          <w:sz w:val="24"/>
        </w:rPr>
        <w:t>. Nonstatutory Stock Options, Stock Appreciation Rights, Restricted Stock, Restricted Stock Units, or Performance Awards may be granted to Service Providers. Incentive Stock Options may be granted only to Employees.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b/>
          <w:color w:val="000000"/>
          <w:sz w:val="24"/>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b/>
          <w:color w:val="000000"/>
          <w:sz w:val="24"/>
        </w:rPr>
        <w:t>Grant of Options</w:t>
      </w:r>
      <w:r>
        <w:rPr>
          <w:rFonts w:ascii="Times New Roman" w:hAnsi="Times New Roman"/>
          <w:color w:val="000000"/>
          <w:sz w:val="24"/>
        </w:rPr>
        <w:t>. Subject to the terms and provisions of the Plan, the Administrator, at any time and from time to time, may grant Options to Service Providers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b/>
          <w:color w:val="000000"/>
          <w:sz w:val="24"/>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b/>
          <w:color w:val="000000"/>
          <w:sz w:val="24"/>
        </w:rPr>
        <w:t>Limitations</w:t>
      </w:r>
      <w:r>
        <w:rPr>
          <w:rFonts w:ascii="Times New Roman" w:hAnsi="Times New Roman"/>
          <w:color w:val="000000"/>
          <w:sz w:val="24"/>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b/>
          <w:color w:val="000000"/>
          <w:sz w:val="24"/>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b/>
          <w:color w:val="000000"/>
          <w:sz w:val="24"/>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b/>
          <w:color w:val="000000"/>
          <w:sz w:val="24"/>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b/>
          <w:color w:val="000000"/>
          <w:sz w:val="24"/>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b/>
          <w:color w:val="000000"/>
          <w:sz w:val="24"/>
        </w:rPr>
        <w:t>Form of Consideration</w:t>
      </w:r>
      <w:r>
        <w:rPr>
          <w:rFonts w:ascii="Times New Roman" w:hAnsi="Times New Roman"/>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w:t>
      </w:r>
    </w:p>
    <w:p>
      <w:pPr>
        <w:pStyle w:val="TextBody"/>
        <w:bidi w:val="0"/>
        <w:spacing w:before="240" w:after="283"/>
        <w:jc w:val="both"/>
        <w:rPr/>
      </w:pPr>
      <w:r>
        <w:rPr>
          <w:rFonts w:ascii="Times New Roman" w:hAnsi="Times New Roman"/>
          <w:b/>
          <w:color w:val="000000"/>
          <w:sz w:val="24"/>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6.6.1.</w:t>
      </w:r>
    </w:p>
    <w:p>
      <w:pPr>
        <w:pStyle w:val="TextBody"/>
        <w:bidi w:val="0"/>
        <w:spacing w:before="240" w:after="283"/>
        <w:jc w:val="both"/>
        <w:rPr/>
      </w:pPr>
      <w:r>
        <w:rPr>
          <w:rFonts w:ascii="Times New Roman" w:hAnsi="Times New Roman"/>
          <w:b/>
          <w:color w:val="000000"/>
          <w:sz w:val="24"/>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such Participant’s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6.6.2.</w:t>
      </w:r>
    </w:p>
    <w:p>
      <w:pPr>
        <w:pStyle w:val="TextBody"/>
        <w:bidi w:val="0"/>
        <w:spacing w:before="240" w:after="283"/>
        <w:jc w:val="both"/>
        <w:rPr/>
      </w:pPr>
      <w:r>
        <w:rPr>
          <w:rFonts w:ascii="Times New Roman" w:hAnsi="Times New Roman"/>
          <w:b/>
          <w:color w:val="000000"/>
          <w:sz w:val="24"/>
        </w:rPr>
        <w:t>Termination of Relationship as a Service Provider</w:t>
      </w:r>
      <w:r>
        <w:rPr>
          <w:rFonts w:ascii="Times New Roman" w:hAnsi="Times New Roman"/>
          <w:color w:val="000000"/>
          <w:sz w:val="24"/>
        </w:rPr>
        <w:t>. If a Participant ceases to be a Service Provider, other than upon such cessation as the result of the Participant’s death or Disability, the Participant may exercise such Participant’s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6.6.3.</w:t>
      </w:r>
    </w:p>
    <w:p>
      <w:pPr>
        <w:pStyle w:val="TextBody"/>
        <w:bidi w:val="0"/>
        <w:spacing w:before="240" w:after="283"/>
        <w:jc w:val="both"/>
        <w:rPr/>
      </w:pPr>
      <w:r>
        <w:rPr>
          <w:rFonts w:ascii="Times New Roman" w:hAnsi="Times New Roman"/>
          <w:b/>
          <w:color w:val="000000"/>
          <w:sz w:val="24"/>
        </w:rPr>
        <w:t>Disability of Participant</w:t>
      </w:r>
      <w:r>
        <w:rPr>
          <w:rFonts w:ascii="Times New Roman" w:hAnsi="Times New Roman"/>
          <w:color w:val="000000"/>
          <w:sz w:val="24"/>
        </w:rPr>
        <w:t>. If a Participant ceases to be a Service Provider as a result of the Participant’s Disability, the Participant may exercise such Participant’s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6.6.4.</w:t>
      </w:r>
    </w:p>
    <w:p>
      <w:pPr>
        <w:pStyle w:val="TextBody"/>
        <w:bidi w:val="0"/>
        <w:spacing w:before="240" w:after="283"/>
        <w:jc w:val="both"/>
        <w:rPr/>
      </w:pPr>
      <w:r>
        <w:rPr>
          <w:rFonts w:ascii="Times New Roman" w:hAnsi="Times New Roman"/>
          <w:b/>
          <w:color w:val="000000"/>
          <w:sz w:val="24"/>
        </w:rPr>
        <w:t>Death of Participant</w:t>
      </w:r>
      <w:r>
        <w:rPr>
          <w:rFonts w:ascii="Times New Roman" w:hAnsi="Times New Roman"/>
          <w:color w:val="000000"/>
          <w:sz w:val="24"/>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hAnsi="Times New Roman"/>
          <w:b/>
          <w:color w:val="000000"/>
          <w:sz w:val="24"/>
        </w:rPr>
        <w:t>Legal Representative</w:t>
      </w:r>
      <w:r>
        <w:rPr>
          <w:color w:val="000000"/>
        </w:rPr>
        <w:t>”</w:t>
      </w:r>
      <w:r>
        <w:rPr>
          <w:rFonts w:ascii="Times New Roman" w:hAnsi="Times New Roman"/>
          <w:color w:val="000000"/>
          <w:sz w:val="24"/>
        </w:rPr>
        <w:t xml:space="preser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such Participant’s entire Option, the Shares covered by the unvested portion of the Option will revert to the Plan immediately. If the Option is not so exercised within the time specified herein, the Option will terminate, and the Shares covered by such Option will revert to the Plan.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6.6.5.</w:t>
      </w:r>
    </w:p>
    <w:p>
      <w:pPr>
        <w:pStyle w:val="TextBody"/>
        <w:bidi w:val="0"/>
        <w:spacing w:before="240" w:after="283"/>
        <w:jc w:val="both"/>
        <w:rPr/>
      </w:pPr>
      <w:r>
        <w:rPr>
          <w:rFonts w:ascii="Times New Roman" w:hAnsi="Times New Roman"/>
          <w:b/>
          <w:color w:val="000000"/>
          <w:sz w:val="24"/>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b/>
          <w:color w:val="000000"/>
          <w:sz w:val="24"/>
        </w:rPr>
        <w:t>Grant of Stock Appreciation Rights</w:t>
      </w:r>
      <w:r>
        <w:rPr>
          <w:rFonts w:ascii="Times New Roman" w:hAnsi="Times New Roman"/>
          <w:color w:val="000000"/>
          <w:sz w:val="24"/>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b/>
          <w:color w:val="000000"/>
          <w:sz w:val="24"/>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b/>
          <w:color w:val="000000"/>
          <w:sz w:val="24"/>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b/>
          <w:color w:val="000000"/>
          <w:sz w:val="24"/>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b/>
          <w:color w:val="000000"/>
          <w:sz w:val="24"/>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b/>
          <w:color w:val="000000"/>
          <w:sz w:val="24"/>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b/>
          <w:color w:val="000000"/>
          <w:sz w:val="24"/>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b/>
          <w:color w:val="000000"/>
          <w:sz w:val="24"/>
        </w:rPr>
        <w:t>Grant of Restricted Stock</w:t>
      </w:r>
      <w:r>
        <w:rPr>
          <w:rFonts w:ascii="Times New Roman" w:hAnsi="Times New Roman"/>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b/>
          <w:color w:val="000000"/>
          <w:sz w:val="24"/>
        </w:rPr>
        <w:t>Restricted Stock Agreement</w:t>
      </w:r>
      <w:r>
        <w:rPr>
          <w:rFonts w:ascii="Times New Roman" w:hAnsi="Times New Roman"/>
          <w:color w:val="000000"/>
          <w:sz w:val="24"/>
        </w:rPr>
        <w:t xml:space="preserve">.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b/>
          <w:color w:val="000000"/>
          <w:sz w:val="24"/>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b/>
          <w:color w:val="000000"/>
          <w:sz w:val="24"/>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b/>
          <w:color w:val="000000"/>
          <w:sz w:val="24"/>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b/>
          <w:color w:val="000000"/>
          <w:sz w:val="24"/>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b/>
          <w:color w:val="000000"/>
          <w:sz w:val="24"/>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b/>
          <w:color w:val="000000"/>
          <w:sz w:val="24"/>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b/>
          <w:color w:val="000000"/>
          <w:sz w:val="24"/>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b/>
          <w:color w:val="000000"/>
          <w:sz w:val="24"/>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b/>
          <w:color w:val="000000"/>
          <w:sz w:val="24"/>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b/>
          <w:color w:val="000000"/>
          <w:sz w:val="24"/>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b/>
          <w:color w:val="000000"/>
          <w:sz w:val="24"/>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b/>
          <w:color w:val="000000"/>
          <w:sz w:val="24"/>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b/>
          <w:color w:val="000000"/>
          <w:sz w:val="24"/>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b/>
          <w:color w:val="000000"/>
          <w:sz w:val="24"/>
        </w:rPr>
        <w:t>Award Agreement</w:t>
      </w:r>
      <w:r>
        <w:rPr>
          <w:rFonts w:ascii="Times New Roman" w:hAnsi="Times New Roman"/>
          <w:color w:val="000000"/>
          <w:sz w:val="24"/>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b/>
          <w:color w:val="000000"/>
          <w:sz w:val="24"/>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b/>
          <w:color w:val="000000"/>
          <w:sz w:val="24"/>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b/>
          <w:color w:val="000000"/>
          <w:sz w:val="24"/>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b/>
          <w:color w:val="000000"/>
          <w:sz w:val="24"/>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b/>
          <w:color w:val="000000"/>
          <w:sz w:val="24"/>
        </w:rPr>
        <w:t>Outside Director Award Limitations</w:t>
      </w:r>
      <w:r>
        <w:rPr>
          <w:rFonts w:ascii="Times New Roman" w:hAnsi="Times New Roman"/>
          <w:color w:val="000000"/>
          <w:sz w:val="24"/>
        </w:rPr>
        <w:t xml:space="preserve">.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the individual’s initial service as an Outside Director. Any Awards or other compensation provided to an individual (a) for the individual’s services as an Employee, or for the individual’s services as a Consultant other than as an Outside Director, or (b) prior to the closing of the Merger, will be excluded for purposes of this Section 11.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b/>
          <w:color w:val="000000"/>
          <w:sz w:val="24"/>
        </w:rPr>
        <w:t>Compliance With Section 409A</w:t>
      </w:r>
      <w:r>
        <w:rPr>
          <w:rFonts w:ascii="Times New Roman" w:hAnsi="Times New Roman"/>
          <w:color w:val="000000"/>
          <w:sz w:val="24"/>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b/>
          <w:color w:val="000000"/>
          <w:sz w:val="24"/>
        </w:rPr>
        <w:t>Leaves of Absence/Transfer Between Locations</w:t>
      </w:r>
      <w:r>
        <w:rPr>
          <w:rFonts w:ascii="Times New Roman" w:hAnsi="Times New Roman"/>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color w:val="000000"/>
          <w:sz w:val="16"/>
        </w:rPr>
        <w:t>st</w:t>
      </w:r>
      <w:r>
        <w:rPr>
          <w:rFonts w:ascii="Times New Roman" w:hAnsi="Times New Roman"/>
          <w:color w:val="000000"/>
          <w:sz w:val="24"/>
        </w:rPr>
        <w:t>) day of such leave, any Incentive Stock Option held by the Participant will cease to be treated as an Incentive Stock Option and will be treated for tax purposes as a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b/>
          <w:color w:val="000000"/>
          <w:sz w:val="24"/>
        </w:rPr>
        <w:t>Limited Transferability of Awards</w:t>
      </w:r>
      <w:r>
        <w:rPr>
          <w:rFonts w:ascii="Times New Roman" w:hAnsi="Times New Roman"/>
          <w:color w:val="000000"/>
          <w:sz w:val="24"/>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b/>
          <w:color w:val="000000"/>
          <w:sz w:val="24"/>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b/>
          <w:color w:val="000000"/>
          <w:sz w:val="24"/>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b/>
          <w:color w:val="000000"/>
          <w:sz w:val="24"/>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15.3.</w:t>
      </w:r>
    </w:p>
    <w:p>
      <w:pPr>
        <w:pStyle w:val="TextBody"/>
        <w:bidi w:val="0"/>
        <w:spacing w:before="240" w:after="283"/>
        <w:jc w:val="both"/>
        <w:rPr/>
      </w:pPr>
      <w:r>
        <w:rPr>
          <w:rFonts w:ascii="Times New Roman" w:hAnsi="Times New Roman"/>
          <w:b/>
          <w:color w:val="000000"/>
          <w:sz w:val="24"/>
        </w:rPr>
        <w:t>Merger or Change in Control</w:t>
      </w:r>
      <w:r>
        <w:rPr>
          <w:rFonts w:ascii="Times New Roman" w:hAnsi="Times New Roman"/>
          <w:color w:val="000000"/>
          <w:sz w:val="24"/>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such Participant’s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15.4.</w:t>
      </w:r>
    </w:p>
    <w:p>
      <w:pPr>
        <w:pStyle w:val="TextBody"/>
        <w:bidi w:val="0"/>
        <w:spacing w:before="240" w:after="283"/>
        <w:jc w:val="both"/>
        <w:rPr/>
      </w:pPr>
      <w:r>
        <w:rPr>
          <w:rFonts w:ascii="Times New Roman" w:hAnsi="Times New Roman"/>
          <w:b/>
          <w:color w:val="000000"/>
          <w:sz w:val="24"/>
        </w:rPr>
        <w:t>Outside Director Awards</w:t>
      </w:r>
      <w:r>
        <w:rPr>
          <w:rFonts w:ascii="Times New Roman" w:hAnsi="Times New Roman"/>
          <w:color w:val="000000"/>
          <w:sz w:val="24"/>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b/>
          <w:color w:val="000000"/>
          <w:sz w:val="24"/>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16.1.</w:t>
      </w:r>
    </w:p>
    <w:p>
      <w:pPr>
        <w:pStyle w:val="TextBody"/>
        <w:bidi w:val="0"/>
        <w:spacing w:before="240" w:after="283"/>
        <w:jc w:val="both"/>
        <w:rPr/>
      </w:pPr>
      <w:r>
        <w:rPr>
          <w:rFonts w:ascii="Times New Roman" w:hAnsi="Times New Roman"/>
          <w:b/>
          <w:color w:val="000000"/>
          <w:sz w:val="24"/>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or other social insurance contribution obligation) required to be withheld or paid with respect to such Award (or exercise thereof).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16.2.</w:t>
      </w:r>
    </w:p>
    <w:p>
      <w:pPr>
        <w:pStyle w:val="TextBody"/>
        <w:bidi w:val="0"/>
        <w:spacing w:before="240" w:after="283"/>
        <w:jc w:val="both"/>
        <w:rPr/>
      </w:pPr>
      <w:r>
        <w:rPr>
          <w:rFonts w:ascii="Times New Roman" w:hAnsi="Times New Roman"/>
          <w:b/>
          <w:color w:val="000000"/>
          <w:sz w:val="24"/>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b/>
          <w:color w:val="000000"/>
          <w:sz w:val="24"/>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b/>
          <w:color w:val="000000"/>
          <w:sz w:val="24"/>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b/>
          <w:color w:val="000000"/>
          <w:sz w:val="24"/>
        </w:rPr>
        <w:t>Term of Plan</w:t>
      </w:r>
      <w:r>
        <w:rPr>
          <w:rFonts w:ascii="Times New Roman" w:hAnsi="Times New Roman"/>
          <w:color w:val="000000"/>
          <w:sz w:val="24"/>
        </w:rPr>
        <w:t>. The Plan became effective upon the later to occur of (a) its adoption by the Board, (b) approval by the Company’s stockholders, or (c) the time as of immediately prior to the completion of the Merger. The Plan will continue in effect until terminated under Section 20 of the Plan, but no Options that qualify as incentive stock options within the meaning of Code Section 422 may be granted after ten (10) years from the earlier of the Board or stockholder approval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b/>
          <w:color w:val="000000"/>
          <w:sz w:val="24"/>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b/>
          <w:color w:val="000000"/>
          <w:sz w:val="24"/>
        </w:rPr>
        <w:t>Amendment and Termination</w:t>
      </w:r>
      <w:r>
        <w:rPr>
          <w:rFonts w:ascii="Times New Roman" w:hAnsi="Times New Roman"/>
          <w:color w:val="000000"/>
          <w:sz w:val="24"/>
        </w:rPr>
        <w:t xml:space="preserve">. The Administrator, in its sole discretion, may amend, alter, suspend or terminate the Plan, or any part thereof, at any time and for any reason.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b/>
          <w:color w:val="000000"/>
          <w:sz w:val="24"/>
        </w:rPr>
        <w:t>Stockholder Approval</w:t>
      </w:r>
      <w:r>
        <w:rPr>
          <w:rFonts w:ascii="Times New Roman" w:hAnsi="Times New Roman"/>
          <w:color w:val="000000"/>
          <w:sz w:val="24"/>
        </w:rPr>
        <w:t xml:space="preserve">. The Company will obtain stockholder approval of any Plan amendment to the extent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20.3.</w:t>
      </w:r>
    </w:p>
    <w:p>
      <w:pPr>
        <w:pStyle w:val="TextBody"/>
        <w:bidi w:val="0"/>
        <w:spacing w:before="240" w:after="283"/>
        <w:jc w:val="both"/>
        <w:rPr/>
      </w:pPr>
      <w:r>
        <w:rPr>
          <w:rFonts w:ascii="Times New Roman" w:hAnsi="Times New Roman"/>
          <w:b/>
          <w:color w:val="000000"/>
          <w:sz w:val="24"/>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b/>
          <w:color w:val="000000"/>
          <w:sz w:val="24"/>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rFonts w:ascii="Times New Roman" w:hAnsi="Times New Roman"/>
          <w:b/>
          <w:color w:val="000000"/>
          <w:sz w:val="24"/>
        </w:rPr>
        <w:t>Legal Compliance</w:t>
      </w:r>
      <w:r>
        <w:rPr>
          <w:rFonts w:ascii="Times New Roman" w:hAnsi="Times New Roman"/>
          <w:color w:val="000000"/>
          <w:sz w:val="24"/>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rFonts w:ascii="Times New Roman" w:hAnsi="Times New Roman"/>
          <w:b/>
          <w:color w:val="000000"/>
          <w:sz w:val="24"/>
        </w:rPr>
        <w:t>Investment Representations</w:t>
      </w:r>
      <w:r>
        <w:rPr>
          <w:rFonts w:ascii="Times New Roman" w:hAnsi="Times New Roman"/>
          <w:color w:val="000000"/>
          <w:sz w:val="24"/>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b/>
          <w:color w:val="000000"/>
          <w:sz w:val="24"/>
        </w:rPr>
        <w:t>Inability to Obtain Authority</w:t>
      </w:r>
      <w:r>
        <w:rPr>
          <w:rFonts w:ascii="Times New Roman" w:hAnsi="Times New Roman"/>
          <w:color w:val="000000"/>
          <w:sz w:val="24"/>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b/>
          <w:color w:val="000000"/>
          <w:sz w:val="24"/>
        </w:rPr>
        <w:t>Stockholder Approval</w:t>
      </w:r>
      <w:r>
        <w:rPr>
          <w:rFonts w:ascii="Times New Roman" w:hAnsi="Times New Roman"/>
          <w:color w:val="000000"/>
          <w:sz w:val="24"/>
        </w:rPr>
        <w:t xml:space="preserve">. The amendment and restatement of the Plan will be subject to approval by the stockholders of the Company within twelve (12) months after the date the amendment and restatement is adopted by the Board. Such stockholder approval will be obtained in the manner and to the degree required under Applicable Laws.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b/>
          <w:color w:val="000000"/>
          <w:sz w:val="24"/>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hAnsi="Times New Roman"/>
          <w:b/>
          <w:color w:val="000000"/>
          <w:sz w:val="24"/>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11829</Words>
  <Characters>61915</Characters>
  <CharactersWithSpaces>73426</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