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534035</wp:posOffset>
            </wp:positionH>
            <wp:positionV relativeFrom="page">
              <wp:posOffset>706120</wp:posOffset>
            </wp:positionV>
            <wp:extent cx="68065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6565" cy="8890"/>
                    </a:xfrm>
                    <a:prstGeom prst="rect">
                      <a:avLst/>
                    </a:prstGeom>
                    <a:noFill/>
                  </pic:spPr>
                </pic:pic>
              </a:graphicData>
            </a:graphic>
          </wp:anchor>
        </w:drawing>
        <w:drawing>
          <wp:anchor simplePos="0" relativeHeight="251657728" behindDoc="1" locked="0" layoutInCell="0" allowOverlap="1">
            <wp:simplePos x="0" y="0"/>
            <wp:positionH relativeFrom="page">
              <wp:posOffset>534035</wp:posOffset>
            </wp:positionH>
            <wp:positionV relativeFrom="page">
              <wp:posOffset>723265</wp:posOffset>
            </wp:positionV>
            <wp:extent cx="68065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6565"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104775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3680" w:right="1600" w:hanging="3659"/>
        <w:spacing w:after="0" w:line="375" w:lineRule="auto"/>
        <w:tabs>
          <w:tab w:leader="none" w:pos="472"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 to 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001-39897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Palladyne AI Corp.</w:t>
      </w:r>
    </w:p>
    <w:p>
      <w:pPr>
        <w:sectPr>
          <w:pgSz w:w="11900" w:h="16838" w:orient="portrait"/>
          <w:cols w:equalWidth="0" w:num="1">
            <w:col w:w="11240"/>
          </w:cols>
          <w:pgMar w:left="320" w:top="1159" w:right="339" w:bottom="1440" w:gutter="0" w:footer="0" w:header="0"/>
        </w:sectPr>
      </w:pPr>
    </w:p>
    <w:p>
      <w:pPr>
        <w:spacing w:after="0" w:line="4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9"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1"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7"/>
          <w:szCs w:val="17"/>
          <w:b w:val="1"/>
          <w:bCs w:val="1"/>
          <w:color w:val="auto"/>
        </w:rPr>
        <w:t>650 South 500 West, Suite 150</w:t>
      </w:r>
    </w:p>
    <w:p>
      <w:pPr>
        <w:spacing w:after="0" w:line="23"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Salt Lake City, Utah</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85-2838301</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22"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84101</w:t>
      </w:r>
    </w:p>
    <w:p>
      <w:pPr>
        <w:spacing w:after="0" w:line="27" w:lineRule="exact"/>
        <w:rPr>
          <w:sz w:val="24"/>
          <w:szCs w:val="24"/>
          <w:color w:val="auto"/>
        </w:rPr>
      </w:pPr>
    </w:p>
    <w:p>
      <w:pPr>
        <w:sectPr>
          <w:pgSz w:w="11900" w:h="16838" w:orient="portrait"/>
          <w:cols w:equalWidth="0" w:num="2">
            <w:col w:w="7700" w:space="240"/>
            <w:col w:w="3300"/>
          </w:cols>
          <w:pgMar w:left="320" w:top="1159" w:right="339" w:bottom="1440" w:gutter="0" w:footer="0" w:header="0"/>
          <w:type w:val="continuous"/>
        </w:sectPr>
      </w:pPr>
    </w:p>
    <w:tbl>
      <w:tblPr>
        <w:tblLayout w:type="fixed"/>
        <w:tblInd w:w="0" w:type="dxa"/>
        <w:tblCellMar>
          <w:top w:w="0" w:type="dxa"/>
          <w:left w:w="0" w:type="dxa"/>
          <w:bottom w:w="0" w:type="dxa"/>
          <w:right w:w="0" w:type="dxa"/>
        </w:tblCellMar>
      </w:tblPr>
      <w:tr>
        <w:trPr>
          <w:trHeight w:val="166"/>
        </w:trPr>
        <w:tc>
          <w:tcPr>
            <w:tcW w:w="3940" w:type="dxa"/>
            <w:vAlign w:val="bottom"/>
          </w:tcPr>
          <w:p>
            <w:pPr>
              <w:ind w:left="176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80" w:type="dxa"/>
            <w:vAlign w:val="bottom"/>
          </w:tcPr>
          <w:p>
            <w:pPr>
              <w:ind w:left="1280"/>
              <w:spacing w:after="0"/>
              <w:rPr>
                <w:sz w:val="20"/>
                <w:szCs w:val="20"/>
                <w:color w:val="auto"/>
              </w:rPr>
            </w:pPr>
            <w:r>
              <w:rPr>
                <w:rFonts w:ascii="Times New Roman" w:cs="Times New Roman" w:eastAsia="Times New Roman" w:hAnsi="Times New Roman"/>
                <w:sz w:val="13"/>
                <w:szCs w:val="13"/>
                <w:b w:val="1"/>
                <w:bCs w:val="1"/>
                <w:color w:val="auto"/>
              </w:rPr>
              <w:t>(Zip Code)</w:t>
            </w:r>
          </w:p>
        </w:tc>
        <w:tc>
          <w:tcPr>
            <w:tcW w:w="0" w:type="dxa"/>
            <w:vAlign w:val="bottom"/>
          </w:tcPr>
          <w:p>
            <w:pPr>
              <w:spacing w:after="0"/>
              <w:rPr>
                <w:sz w:val="1"/>
                <w:szCs w:val="1"/>
                <w:color w:val="auto"/>
              </w:rPr>
            </w:pPr>
          </w:p>
        </w:tc>
      </w:tr>
      <w:tr>
        <w:trPr>
          <w:trHeight w:val="257"/>
        </w:trPr>
        <w:tc>
          <w:tcPr>
            <w:tcW w:w="11240" w:type="dxa"/>
            <w:vAlign w:val="bottom"/>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(888) 927-7296</w:t>
            </w:r>
          </w:p>
        </w:tc>
        <w:tc>
          <w:tcPr>
            <w:tcW w:w="0" w:type="dxa"/>
            <w:vAlign w:val="bottom"/>
          </w:tcPr>
          <w:p>
            <w:pPr>
              <w:spacing w:after="0"/>
              <w:rPr>
                <w:sz w:val="1"/>
                <w:szCs w:val="1"/>
                <w:color w:val="auto"/>
              </w:rPr>
            </w:pPr>
          </w:p>
        </w:tc>
      </w:tr>
      <w:tr>
        <w:trPr>
          <w:trHeight w:val="135"/>
        </w:trPr>
        <w:tc>
          <w:tcPr>
            <w:tcW w:w="39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1"/>
        </w:trPr>
        <w:tc>
          <w:tcPr>
            <w:tcW w:w="3940" w:type="dxa"/>
            <w:vAlign w:val="bottom"/>
          </w:tcPr>
          <w:p>
            <w:pPr>
              <w:spacing w:after="0"/>
              <w:rPr>
                <w:sz w:val="23"/>
                <w:szCs w:val="23"/>
                <w:color w:val="auto"/>
              </w:rPr>
            </w:pPr>
          </w:p>
        </w:tc>
        <w:tc>
          <w:tcPr>
            <w:tcW w:w="7300" w:type="dxa"/>
            <w:vAlign w:val="bottom"/>
            <w:gridSpan w:val="7"/>
          </w:tcPr>
          <w:p>
            <w:pPr>
              <w:ind w:left="1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0" w:type="dxa"/>
            <w:vAlign w:val="bottom"/>
          </w:tcPr>
          <w:p>
            <w:pPr>
              <w:spacing w:after="0"/>
              <w:rPr>
                <w:sz w:val="1"/>
                <w:szCs w:val="1"/>
                <w:color w:val="auto"/>
              </w:rPr>
            </w:pPr>
          </w:p>
        </w:tc>
      </w:tr>
      <w:tr>
        <w:trPr>
          <w:trHeight w:val="463"/>
        </w:trPr>
        <w:tc>
          <w:tcPr>
            <w:tcW w:w="3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940" w:type="dxa"/>
            <w:vAlign w:val="bottom"/>
            <w:tcBorders>
              <w:bottom w:val="single" w:sz="8" w:color="auto"/>
            </w:tcBorders>
          </w:tcPr>
          <w:p>
            <w:pPr>
              <w:jc w:val="center"/>
              <w:ind w:left="401"/>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10"/>
        </w:trPr>
        <w:tc>
          <w:tcPr>
            <w:tcW w:w="3940" w:type="dxa"/>
            <w:vAlign w:val="bottom"/>
          </w:tcPr>
          <w:p>
            <w:pPr>
              <w:jc w:val="center"/>
              <w:ind w:left="381"/>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PDYN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383"/>
        </w:trPr>
        <w:tc>
          <w:tcPr>
            <w:tcW w:w="450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color w:val="auto"/>
              </w:rPr>
              <w:t>Redeemable warrants, exercisable for shares of Common Stock at</w:t>
            </w:r>
          </w:p>
        </w:tc>
        <w:tc>
          <w:tcPr>
            <w:tcW w:w="20" w:type="dxa"/>
            <w:vAlign w:val="bottom"/>
          </w:tcPr>
          <w:p>
            <w:pPr>
              <w:spacing w:after="0"/>
              <w:rPr>
                <w:sz w:val="24"/>
                <w:szCs w:val="24"/>
                <w:color w:val="auto"/>
              </w:rPr>
            </w:pPr>
          </w:p>
        </w:tc>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PDYNW</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102"/>
        </w:trPr>
        <w:tc>
          <w:tcPr>
            <w:tcW w:w="3940" w:type="dxa"/>
            <w:vAlign w:val="bottom"/>
            <w:vMerge w:val="restart"/>
          </w:tcPr>
          <w:p>
            <w:pPr>
              <w:jc w:val="center"/>
              <w:ind w:left="401"/>
              <w:spacing w:after="0"/>
              <w:rPr>
                <w:sz w:val="20"/>
                <w:szCs w:val="20"/>
                <w:color w:val="auto"/>
              </w:rPr>
            </w:pPr>
            <w:r>
              <w:rPr>
                <w:rFonts w:ascii="Times New Roman" w:cs="Times New Roman" w:eastAsia="Times New Roman" w:hAnsi="Times New Roman"/>
                <w:sz w:val="16"/>
                <w:szCs w:val="16"/>
                <w:color w:val="auto"/>
              </w:rPr>
              <w:t>an exercise price of $69.00 per share</w:t>
            </w: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94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3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81"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jc w:val="both"/>
        <w:ind w:right="22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47" w:lineRule="exact"/>
        <w:rPr>
          <w:sz w:val="24"/>
          <w:szCs w:val="24"/>
          <w:color w:val="auto"/>
        </w:rPr>
      </w:pPr>
    </w:p>
    <w:p>
      <w:pPr>
        <w:ind w:right="48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600" w:right="2000"/>
        <w:spacing w:after="0" w:line="25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April 29, 2025 the registrant had 35,713,527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865505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58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9"/>
        </w:trPr>
        <w:tc>
          <w:tcPr>
            <w:tcW w:w="1160" w:type="dxa"/>
            <w:vAlign w:val="bottom"/>
            <w:gridSpan w:val="2"/>
            <w:vMerge w:val="continue"/>
          </w:tcPr>
          <w:p>
            <w:pPr>
              <w:spacing w:after="0"/>
              <w:rPr>
                <w:sz w:val="14"/>
                <w:szCs w:val="14"/>
                <w:color w:val="auto"/>
              </w:rPr>
            </w:pPr>
          </w:p>
        </w:tc>
        <w:tc>
          <w:tcPr>
            <w:tcW w:w="9300" w:type="dxa"/>
            <w:vAlign w:val="bottom"/>
            <w:gridSpan w:val="17"/>
            <w:vMerge w:val="continue"/>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36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(Loss)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4"/>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40" w:type="dxa"/>
            <w:vAlign w:val="bottom"/>
            <w:tcBorders>
              <w:left w:val="single" w:sz="8" w:color="0000FF"/>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 (Deficit)</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4"/>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4"/>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960" w:type="dxa"/>
            <w:vAlign w:val="bottom"/>
            <w:tcBorders>
              <w:left w:val="single" w:sz="8" w:color="0000FF"/>
            </w:tcBorders>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vMerge w:val="continue"/>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698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40" w:type="dxa"/>
            <w:vAlign w:val="bottom"/>
            <w:gridSpan w:val="1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453"/>
        </w:trPr>
        <w:tc>
          <w:tcPr>
            <w:tcW w:w="7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4800" w:type="dxa"/>
            <w:vAlign w:val="bottom"/>
            <w:gridSpan w:val="14"/>
          </w:tcPr>
          <w:p>
            <w:pPr>
              <w:ind w:left="442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33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highlighted in Part II, Item 1A Risk Factors of this Report. The following is a summary of the principal risks we face:</w:t>
      </w:r>
    </w:p>
    <w:p>
      <w:pPr>
        <w:spacing w:after="0" w:line="54"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early stage company with a history of losses, and expect to incur significant losses for the foreseeable future.</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and financial projections rely on management assumptions and analyses. If these assumptions or analyses prove to be incorrect, as they often have in the past, our actual operating results may be materially different from our expected or forecasted results.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yet to achieve positive operating cash flow and our ability to generate positive cash flow is uncertain.</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previous history or experience with commercializing software products and may not be able to do so efficiently, effectively or at all. We were unsuccessful in our efforts to commercialize the hardware technologies that we and our predecessor companies developed over the past several decades.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commercialization of our AI/ML Foundational Technology and related products may be delayed beyond our current expectations and therefore product availability to customers, customer acquisition and receipt of software licensing revenue could be delayed.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revenues are expected to be primarily derived from the licensing of our AI/ML software products for the foreseeable future.</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issues in the development and use of our AI/ML Foundational Technology or related products, or issues in products developed by others, may result in reputational harm or liability.</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AI/ML Foundational Technology and related products are new technologies and the timing and magnitude of revenues from customers is uncertain. If we cannot successfully commercialize our AI/ML Foundational Technology and related products on our expected schedule, if our technology does not offer our potential customers the features, functionality and return on investment that they expect and/or if potential customers are not willing to pay for our software products at the license rates that we currently expect, our ability to generate material revenues will be materially impaired.</w:t>
      </w:r>
    </w:p>
    <w:p>
      <w:pPr>
        <w:spacing w:after="0" w:line="7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generate material revenues from our software products before we exhaust our financial resources, we may need to cease business operations.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attract or retain customers at sufficient rates or in sufficient numbers or at all.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previous history with our licensing sales model.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Important assumptions about market demand, pricing, adoption rates and sales cycles for our software products may be inaccurate.</w:t>
      </w:r>
    </w:p>
    <w:p>
      <w:pPr>
        <w:spacing w:after="0" w:line="117" w:lineRule="exact"/>
        <w:rPr>
          <w:rFonts w:ascii="Times New Roman" w:cs="Times New Roman" w:eastAsia="Times New Roman" w:hAnsi="Times New Roman"/>
          <w:sz w:val="18"/>
          <w:szCs w:val="18"/>
          <w:color w:val="auto"/>
        </w:rPr>
      </w:pPr>
    </w:p>
    <w:p>
      <w:pPr>
        <w:jc w:val="both"/>
        <w:ind w:left="760" w:right="20" w:hanging="378"/>
        <w:spacing w:after="0" w:line="26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related to our AI/ML Foundational Technology require certain limited hardware components, and we are dependent on our suppliers, some of which are currently single, sole or limited source suppliers. Any inability of these suppliers to deliver necessary components of our products at prices, volumes, performance, timing and specifications acceptable to us, could have a material adverse effect on our business, prospects, financial condition and operating results.</w:t>
      </w:r>
    </w:p>
    <w:p>
      <w:pPr>
        <w:spacing w:after="0" w:line="7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competitive industry that is subject to rapid technological change, and we expect competition to increase. Our products may not be competitive with other alternatives.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enhance our product offerings through our research and development efforts.</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or perceived design flaws, errors, defects, glitches, bugs or malfunctions in our AI/ML Foundational Technology and related products, failure of our software products to perform as expected, connectivity issues or user errors can result in lower than expected return on investment for customers, personal injury or property damage and significant security or safety concerns, each of which could materially and adversely affect our results of operations, financial condition or reputation.</w:t>
      </w:r>
    </w:p>
    <w:p>
      <w:pPr>
        <w:spacing w:after="0" w:line="7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"open source" software, which could negatively affect our ability to offer our AI/ML Foundational Technology and related products and subject us to possible litigation.</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54"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prospects depend significantly on our ability to build our brand. We may not succeed in establishing, maintaining and strengthening an effective brand, and our brand and reputation could be harmed by negative publicity regarding us or our AI/ML Foundational Technology and related products. We believe that our previous inability to successfully commercialize our hardware products, and our resulting financial performance, damaged our prior brand. As a result, in March 2024 we changed our name to Palladyne AI Corp. and have branded our AI/ML software products accordingly.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both"/>
        <w:ind w:left="380" w:hanging="378"/>
        <w:spacing w:after="0" w:line="266"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team has broad discretion in making strategic decisions to execute our growth plans, and our management's decisions have not always led to the desired result. Current and future decisions may not be successful in achieving our business objectives or may have unintended consequences that negatively impact our growth prospects.</w:t>
      </w:r>
    </w:p>
    <w:p>
      <w:pPr>
        <w:spacing w:after="0" w:line="67" w:lineRule="exact"/>
        <w:rPr>
          <w:rFonts w:ascii="Times New Roman" w:cs="Times New Roman" w:eastAsia="Times New Roman" w:hAnsi="Times New Roman"/>
          <w:sz w:val="18"/>
          <w:szCs w:val="18"/>
          <w:color w:val="auto"/>
        </w:rPr>
      </w:pPr>
    </w:p>
    <w:p>
      <w:pPr>
        <w:ind w:left="380" w:right="2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effectively manage our business, we may not be able to design, develop, market and commercialize our software products successfully.</w:t>
      </w:r>
    </w:p>
    <w:p>
      <w:pPr>
        <w:spacing w:after="0" w:line="5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adequately control the costs associated with our operations in order to achieve profitability.</w:t>
      </w:r>
    </w:p>
    <w:p>
      <w:pPr>
        <w:spacing w:after="0" w:line="117" w:lineRule="exact"/>
        <w:rPr>
          <w:rFonts w:ascii="Times New Roman" w:cs="Times New Roman" w:eastAsia="Times New Roman" w:hAnsi="Times New Roman"/>
          <w:sz w:val="18"/>
          <w:szCs w:val="18"/>
          <w:color w:val="auto"/>
        </w:rPr>
      </w:pPr>
    </w:p>
    <w:p>
      <w:pPr>
        <w:ind w:left="38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incur substantial research and development costs and devote significant resources to developing and commercializing our AI/ML Foundational Technology and related products, and we may never reach profitability and/or achieve significant or any licensing revenue.</w:t>
      </w:r>
    </w:p>
    <w:p>
      <w:pPr>
        <w:spacing w:after="0" w:line="53" w:lineRule="exact"/>
        <w:rPr>
          <w:rFonts w:ascii="Times New Roman" w:cs="Times New Roman" w:eastAsia="Times New Roman" w:hAnsi="Times New Roman"/>
          <w:sz w:val="18"/>
          <w:szCs w:val="18"/>
          <w:color w:val="auto"/>
        </w:rPr>
      </w:pPr>
    </w:p>
    <w:p>
      <w:pPr>
        <w:jc w:val="both"/>
        <w:ind w:left="380" w:right="20" w:hanging="378"/>
        <w:spacing w:after="0" w:line="266"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plans require a significant amount of capital. We may sell additional equity or debt securities to meet capital needs or as we may otherwise determine to be advisable that may dilute our stockholders or introduce covenants that may restrict our operations or our ability to pay dividends. If we require additional capital and are not able to secure new funding, we may not be able to continue our business operations.</w:t>
      </w:r>
    </w:p>
    <w:p>
      <w:pPr>
        <w:spacing w:after="0" w:line="67" w:lineRule="exact"/>
        <w:rPr>
          <w:rFonts w:ascii="Times New Roman" w:cs="Times New Roman" w:eastAsia="Times New Roman" w:hAnsi="Times New Roman"/>
          <w:sz w:val="18"/>
          <w:szCs w:val="18"/>
          <w:color w:val="auto"/>
        </w:rPr>
      </w:pPr>
    </w:p>
    <w:p>
      <w:pPr>
        <w:ind w:left="38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results may vary significantly from period to period due to fluctuations in our operating costs, revenues, product demand and other factors.</w:t>
      </w:r>
    </w:p>
    <w:p>
      <w:pPr>
        <w:spacing w:after="0" w:line="53" w:lineRule="exact"/>
        <w:rPr>
          <w:rFonts w:ascii="Times New Roman" w:cs="Times New Roman" w:eastAsia="Times New Roman" w:hAnsi="Times New Roman"/>
          <w:sz w:val="18"/>
          <w:szCs w:val="18"/>
          <w:color w:val="auto"/>
        </w:rPr>
      </w:pPr>
    </w:p>
    <w:p>
      <w:pPr>
        <w:jc w:val="both"/>
        <w:ind w:left="380" w:right="20" w:hanging="378"/>
        <w:spacing w:after="0" w:line="266"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the services of our senior management and other key employees and, if we are unable to attract, integrate and retain a sufficient number of qualified employees, our ability to design and commercialize our AI/ML Foundational Technology and related products, operate our business and compete could be harmed.</w:t>
      </w:r>
    </w:p>
    <w:p>
      <w:pPr>
        <w:spacing w:after="0" w:line="67" w:lineRule="exact"/>
        <w:rPr>
          <w:rFonts w:ascii="Times New Roman" w:cs="Times New Roman" w:eastAsia="Times New Roman" w:hAnsi="Times New Roman"/>
          <w:sz w:val="18"/>
          <w:szCs w:val="18"/>
          <w:color w:val="auto"/>
        </w:rPr>
      </w:pPr>
    </w:p>
    <w:p>
      <w:pPr>
        <w:ind w:left="38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and strengthen effective systems of disclosure controls and procedures and internal control over financial reporting, our ability to produce timely and accurate financial statements or comply with applicable regulations could be adversely affected.</w:t>
      </w:r>
    </w:p>
    <w:p>
      <w:pPr>
        <w:spacing w:after="0" w:line="53" w:lineRule="exact"/>
        <w:rPr>
          <w:rFonts w:ascii="Times New Roman" w:cs="Times New Roman" w:eastAsia="Times New Roman" w:hAnsi="Times New Roman"/>
          <w:sz w:val="18"/>
          <w:szCs w:val="18"/>
          <w:color w:val="auto"/>
        </w:rPr>
      </w:pPr>
    </w:p>
    <w:p>
      <w:pPr>
        <w:ind w:left="380" w:hanging="37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and may in the future be subject to risks associated with strategic relationships or transactions and may not identify or form desired strategic relationships in the future.</w:t>
      </w:r>
    </w:p>
    <w:p>
      <w:pPr>
        <w:spacing w:after="0" w:line="53" w:lineRule="exact"/>
        <w:rPr>
          <w:rFonts w:ascii="Times New Roman" w:cs="Times New Roman" w:eastAsia="Times New Roman" w:hAnsi="Times New Roman"/>
          <w:sz w:val="18"/>
          <w:szCs w:val="18"/>
          <w:color w:val="auto"/>
        </w:rPr>
      </w:pPr>
    </w:p>
    <w:p>
      <w:pPr>
        <w:jc w:val="both"/>
        <w:ind w:left="380" w:hanging="378"/>
        <w:spacing w:after="0" w:line="261"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subject to new or changing governmental regulations relating to the development, marketing, licensing, distribution or use of our AI/ML Foundational Technology and related products or to the providing of customer service, and a failure to comply with such regulations</w:t>
      </w:r>
    </w:p>
    <w:p>
      <w:pPr>
        <w:ind w:left="380" w:right="20"/>
        <w:spacing w:after="0" w:line="250" w:lineRule="auto"/>
        <w:rPr>
          <w:sz w:val="20"/>
          <w:szCs w:val="20"/>
          <w:color w:val="auto"/>
        </w:rPr>
      </w:pPr>
      <w:r>
        <w:rPr>
          <w:rFonts w:ascii="Times New Roman" w:cs="Times New Roman" w:eastAsia="Times New Roman" w:hAnsi="Times New Roman"/>
          <w:sz w:val="18"/>
          <w:szCs w:val="18"/>
          <w:color w:val="auto"/>
        </w:rPr>
        <w:t>could lead to delays in launching our software products and/or withdrawal of our software products from the market, delay our projected revenues, increase costs and/or make our business unviable if we are unable to modify our software products to comply.</w:t>
      </w:r>
    </w:p>
    <w:p>
      <w:pPr>
        <w:spacing w:after="0" w:line="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473075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09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PALLADYNE AI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 except share data</w:t>
      </w:r>
      <w:r>
        <w:rPr>
          <w:rFonts w:ascii="Times New Roman" w:cs="Times New Roman" w:eastAsia="Times New Roman" w:hAnsi="Times New Roman"/>
          <w:sz w:val="18"/>
          <w:szCs w:val="18"/>
          <w:color w:val="auto"/>
        </w:rPr>
        <w: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tcPr>
          <w:p>
            <w:pPr>
              <w:spacing w:after="0"/>
              <w:rPr>
                <w:sz w:val="17"/>
                <w:szCs w:val="17"/>
                <w:color w:val="auto"/>
              </w:rPr>
            </w:pPr>
          </w:p>
        </w:tc>
      </w:tr>
      <w:tr>
        <w:trPr>
          <w:trHeight w:val="196"/>
        </w:trPr>
        <w:tc>
          <w:tcPr>
            <w:tcW w:w="77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10,060</w:t>
            </w:r>
          </w:p>
        </w:tc>
        <w:tc>
          <w:tcPr>
            <w:tcW w:w="16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31,188</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Marketable securities</w:t>
            </w: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36,582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8,883</w:t>
            </w:r>
          </w:p>
        </w:tc>
        <w:tc>
          <w:tcPr>
            <w:tcW w:w="100" w:type="dxa"/>
            <w:vAlign w:val="bottom"/>
          </w:tcPr>
          <w:p>
            <w:pPr>
              <w:spacing w:after="0"/>
              <w:rPr>
                <w:sz w:val="17"/>
                <w:szCs w:val="17"/>
                <w:color w:val="auto"/>
              </w:rPr>
            </w:pPr>
          </w:p>
        </w:tc>
      </w:tr>
      <w:tr>
        <w:trPr>
          <w:trHeight w:val="189"/>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 $0.3 million at March 31, 2025 and December 31, 2024,</w:t>
            </w:r>
          </w:p>
        </w:tc>
        <w:tc>
          <w:tcPr>
            <w:tcW w:w="16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respectively</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shd w:val="clear" w:color="auto" w:fill="CFF0FC"/>
          </w:tcPr>
          <w:p>
            <w:pPr>
              <w:spacing w:after="0"/>
              <w:rPr>
                <w:sz w:val="18"/>
                <w:szCs w:val="18"/>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Unbilled receivables</w:t>
            </w: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1,275</w:t>
            </w:r>
          </w:p>
        </w:tc>
        <w:tc>
          <w:tcPr>
            <w:tcW w:w="100" w:type="dxa"/>
            <w:vAlign w:val="bottom"/>
          </w:tcPr>
          <w:p>
            <w:pPr>
              <w:spacing w:after="0"/>
              <w:rPr>
                <w:sz w:val="17"/>
                <w:szCs w:val="17"/>
                <w:color w:val="auto"/>
              </w:rPr>
            </w:pPr>
          </w:p>
        </w:tc>
      </w:tr>
      <w:tr>
        <w:trPr>
          <w:trHeight w:val="19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50,262</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42,730</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4,244</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assets</w:t>
            </w: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8,516</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8,841</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00" w:type="dxa"/>
            <w:vAlign w:val="bottom"/>
          </w:tcPr>
          <w:p>
            <w:pPr>
              <w:spacing w:after="0"/>
              <w:rPr>
                <w:sz w:val="17"/>
                <w:szCs w:val="17"/>
                <w:color w:val="auto"/>
              </w:rPr>
            </w:pPr>
          </w:p>
        </w:tc>
      </w:tr>
      <w:tr>
        <w:trPr>
          <w:trHeight w:val="23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63,301</w:t>
            </w:r>
          </w:p>
        </w:tc>
        <w:tc>
          <w:tcPr>
            <w:tcW w:w="16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56,253</w:t>
            </w:r>
          </w:p>
        </w:tc>
        <w:tc>
          <w:tcPr>
            <w:tcW w:w="100" w:type="dxa"/>
            <w:vAlign w:val="bottom"/>
            <w:shd w:val="clear" w:color="auto" w:fill="CFF0FC"/>
          </w:tcPr>
          <w:p>
            <w:pPr>
              <w:spacing w:after="0"/>
              <w:rPr>
                <w:sz w:val="20"/>
                <w:szCs w:val="20"/>
                <w:color w:val="auto"/>
              </w:rPr>
            </w:pPr>
          </w:p>
        </w:tc>
      </w:tr>
      <w:tr>
        <w:trPr>
          <w:trHeight w:val="183"/>
        </w:trPr>
        <w:tc>
          <w:tcPr>
            <w:tcW w:w="7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 (deficit)</w:t>
            </w:r>
          </w:p>
        </w:tc>
        <w:tc>
          <w:tcPr>
            <w:tcW w:w="16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0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6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2,919</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989</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100" w:type="dxa"/>
            <w:vAlign w:val="bottom"/>
            <w:tcBorders>
              <w:bottom w:val="single" w:sz="8" w:color="CFF0FC"/>
            </w:tcBorders>
          </w:tcPr>
          <w:p>
            <w:pPr>
              <w:spacing w:after="0"/>
              <w:rPr>
                <w:sz w:val="17"/>
                <w:szCs w:val="17"/>
                <w:color w:val="auto"/>
              </w:rPr>
            </w:pPr>
          </w:p>
        </w:tc>
      </w:tr>
      <w:tr>
        <w:trPr>
          <w:trHeight w:val="19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3,136</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4,433</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9,957</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Warrant liabilities</w:t>
            </w:r>
          </w:p>
        </w:tc>
        <w:tc>
          <w:tcPr>
            <w:tcW w:w="1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22,148</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51,396</w:t>
            </w:r>
          </w:p>
        </w:tc>
        <w:tc>
          <w:tcPr>
            <w:tcW w:w="100" w:type="dxa"/>
            <w:vAlign w:val="bottom"/>
            <w:shd w:val="clear" w:color="auto" w:fill="CFF0FC"/>
          </w:tcPr>
          <w:p>
            <w:pPr>
              <w:spacing w:after="0"/>
              <w:rPr>
                <w:sz w:val="17"/>
                <w:szCs w:val="17"/>
                <w:color w:val="auto"/>
              </w:rPr>
            </w:pPr>
          </w:p>
        </w:tc>
      </w:tr>
      <w:tr>
        <w:trPr>
          <w:trHeight w:val="196"/>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35,002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65,786</w:t>
            </w:r>
          </w:p>
        </w:tc>
        <w:tc>
          <w:tcPr>
            <w:tcW w:w="100" w:type="dxa"/>
            <w:vAlign w:val="bottom"/>
          </w:tcPr>
          <w:p>
            <w:pPr>
              <w:spacing w:after="0"/>
              <w:rPr>
                <w:sz w:val="17"/>
                <w:szCs w:val="17"/>
                <w:color w:val="auto"/>
              </w:rPr>
            </w:pPr>
          </w:p>
        </w:tc>
      </w:tr>
      <w:tr>
        <w:trPr>
          <w:trHeight w:val="19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Commitments and contingencies (Note 10)</w:t>
            </w: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 (deficit):</w:t>
            </w: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Common stock, $0.0001 par value, 165,000,000 shares authorized as of March 31, 2025 and December 31, 2024;</w:t>
            </w:r>
          </w:p>
        </w:tc>
        <w:tc>
          <w:tcPr>
            <w:tcW w:w="16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0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35,712,516 and 33,883,894 shares issued and outstanding as of March 31, 2025 and December 31, 2024,</w:t>
            </w: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respectively</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18"/>
                <w:szCs w:val="18"/>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496,370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481,289</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Accumulated other comprehensive (loss) income</w:t>
            </w:r>
          </w:p>
        </w:tc>
        <w:tc>
          <w:tcPr>
            <w:tcW w:w="16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16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(468,072)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(490,831)</w:t>
            </w:r>
          </w:p>
        </w:tc>
      </w:tr>
      <w:tr>
        <w:trPr>
          <w:trHeight w:val="20"/>
        </w:trPr>
        <w:tc>
          <w:tcPr>
            <w:tcW w:w="7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stockholders’ equity (deficit)</w:t>
            </w: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28,299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(9,533)</w:t>
            </w:r>
          </w:p>
        </w:tc>
      </w:tr>
      <w:tr>
        <w:trPr>
          <w:trHeight w:val="20"/>
        </w:trPr>
        <w:tc>
          <w:tcPr>
            <w:tcW w:w="77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 and stockholders’ equity (deficit)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63,301</w:t>
            </w:r>
          </w:p>
        </w:tc>
        <w:tc>
          <w:tcPr>
            <w:tcW w:w="16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56,253</w:t>
            </w:r>
          </w:p>
        </w:tc>
        <w:tc>
          <w:tcPr>
            <w:tcW w:w="100" w:type="dxa"/>
            <w:vAlign w:val="bottom"/>
          </w:tcPr>
          <w:p>
            <w:pPr>
              <w:spacing w:after="0"/>
              <w:rPr>
                <w:sz w:val="17"/>
                <w:szCs w:val="17"/>
                <w:color w:val="auto"/>
              </w:rPr>
            </w:pPr>
          </w:p>
        </w:tc>
      </w:tr>
      <w:tr>
        <w:trPr>
          <w:trHeight w:val="20"/>
        </w:trPr>
        <w:tc>
          <w:tcPr>
            <w:tcW w:w="7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-2536825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-2519680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-2536825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-2519680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-1868170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-1868170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-1486535</wp:posOffset>
            </wp:positionV>
            <wp:extent cx="9398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-1486535</wp:posOffset>
            </wp:positionV>
            <wp:extent cx="939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-162560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PALLADYNE AI CORP.</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 except share and per share data</w:t>
      </w:r>
      <w:r>
        <w:rPr>
          <w:rFonts w:ascii="Times New Roman" w:cs="Times New Roman" w:eastAsia="Times New Roman" w:hAnsi="Times New Roman"/>
          <w:sz w:val="18"/>
          <w:szCs w:val="18"/>
          <w:color w:val="auto"/>
        </w:rPr>
        <w: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60" w:type="dxa"/>
            <w:vAlign w:val="bottom"/>
            <w:gridSpan w:val="6"/>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196"/>
        </w:trPr>
        <w:tc>
          <w:tcPr>
            <w:tcW w:w="6200" w:type="dxa"/>
            <w:vAlign w:val="bottom"/>
          </w:tcPr>
          <w:p>
            <w:pPr>
              <w:ind w:left="3780"/>
              <w:spacing w:after="0"/>
              <w:rPr>
                <w:sz w:val="20"/>
                <w:szCs w:val="20"/>
                <w:color w:val="auto"/>
              </w:rPr>
            </w:pPr>
            <w:r>
              <w:rPr>
                <w:rFonts w:ascii="Times New Roman" w:cs="Times New Roman" w:eastAsia="Times New Roman" w:hAnsi="Times New Roman"/>
                <w:sz w:val="16"/>
                <w:szCs w:val="16"/>
                <w:b w:val="1"/>
                <w:bCs w:val="1"/>
                <w:color w:val="auto"/>
              </w:rPr>
              <w:t>​</w:t>
            </w:r>
          </w:p>
        </w:tc>
        <w:tc>
          <w:tcPr>
            <w:tcW w:w="154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196"/>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 net</w:t>
            </w:r>
          </w:p>
        </w:tc>
        <w:tc>
          <w:tcPr>
            <w:tcW w:w="18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1,710</w:t>
            </w:r>
          </w:p>
        </w:tc>
        <w:tc>
          <w:tcPr>
            <w:tcW w:w="16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3,441</w:t>
            </w:r>
          </w:p>
        </w:tc>
        <w:tc>
          <w:tcPr>
            <w:tcW w:w="100" w:type="dxa"/>
            <w:vAlign w:val="bottom"/>
            <w:shd w:val="clear" w:color="auto" w:fill="CFF0FC"/>
          </w:tcPr>
          <w:p>
            <w:pPr>
              <w:spacing w:after="0"/>
              <w:rPr>
                <w:sz w:val="17"/>
                <w:szCs w:val="17"/>
                <w:color w:val="auto"/>
              </w:rPr>
            </w:pPr>
          </w:p>
        </w:tc>
      </w:tr>
      <w:tr>
        <w:trPr>
          <w:trHeight w:val="203"/>
        </w:trPr>
        <w:tc>
          <w:tcPr>
            <w:tcW w:w="620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Cost of revenue (exclusive of items shown separately below)</w:t>
            </w:r>
          </w:p>
        </w:tc>
        <w:tc>
          <w:tcPr>
            <w:tcW w:w="15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1,886</w:t>
            </w:r>
          </w:p>
        </w:tc>
        <w:tc>
          <w:tcPr>
            <w:tcW w:w="100" w:type="dxa"/>
            <w:vAlign w:val="bottom"/>
            <w:shd w:val="clear" w:color="auto" w:fill="CFF0FC"/>
          </w:tcPr>
          <w:p>
            <w:pPr>
              <w:spacing w:after="0"/>
              <w:rPr>
                <w:sz w:val="17"/>
                <w:szCs w:val="17"/>
                <w:color w:val="auto"/>
              </w:rPr>
            </w:pPr>
          </w:p>
        </w:tc>
      </w:tr>
      <w:tr>
        <w:trPr>
          <w:trHeight w:val="203"/>
        </w:trPr>
        <w:tc>
          <w:tcPr>
            <w:tcW w:w="6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2,895</w:t>
            </w:r>
          </w:p>
        </w:tc>
        <w:tc>
          <w:tcPr>
            <w:tcW w:w="100" w:type="dxa"/>
            <w:vAlign w:val="bottom"/>
          </w:tcPr>
          <w:p>
            <w:pPr>
              <w:spacing w:after="0"/>
              <w:rPr>
                <w:sz w:val="17"/>
                <w:szCs w:val="17"/>
                <w:color w:val="auto"/>
              </w:rPr>
            </w:pPr>
          </w:p>
        </w:tc>
      </w:tr>
      <w:tr>
        <w:trPr>
          <w:trHeight w:val="203"/>
        </w:trPr>
        <w:tc>
          <w:tcPr>
            <w:tcW w:w="6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5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4,199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5,125</w:t>
            </w:r>
          </w:p>
        </w:tc>
        <w:tc>
          <w:tcPr>
            <w:tcW w:w="100" w:type="dxa"/>
            <w:vAlign w:val="bottom"/>
            <w:shd w:val="clear" w:color="auto" w:fill="CFF0FC"/>
          </w:tcPr>
          <w:p>
            <w:pPr>
              <w:spacing w:after="0"/>
              <w:rPr>
                <w:sz w:val="17"/>
                <w:szCs w:val="17"/>
                <w:color w:val="auto"/>
              </w:rPr>
            </w:pPr>
          </w:p>
        </w:tc>
      </w:tr>
      <w:tr>
        <w:trPr>
          <w:trHeight w:val="203"/>
        </w:trPr>
        <w:tc>
          <w:tcPr>
            <w:tcW w:w="6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1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100" w:type="dxa"/>
            <w:vAlign w:val="bottom"/>
          </w:tcPr>
          <w:p>
            <w:pPr>
              <w:spacing w:after="0"/>
              <w:rPr>
                <w:sz w:val="17"/>
                <w:szCs w:val="17"/>
                <w:color w:val="auto"/>
              </w:rPr>
            </w:pPr>
          </w:p>
        </w:tc>
      </w:tr>
      <w:tr>
        <w:trPr>
          <w:trHeight w:val="203"/>
        </w:trPr>
        <w:tc>
          <w:tcPr>
            <w:tcW w:w="6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Asset write-down and restructuring</w:t>
            </w:r>
          </w:p>
        </w:tc>
        <w:tc>
          <w:tcPr>
            <w:tcW w:w="15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FF0FC"/>
          </w:tcPr>
          <w:p>
            <w:pPr>
              <w:spacing w:after="0"/>
              <w:rPr>
                <w:sz w:val="17"/>
                <w:szCs w:val="17"/>
                <w:color w:val="auto"/>
              </w:rPr>
            </w:pPr>
          </w:p>
        </w:tc>
      </w:tr>
      <w:tr>
        <w:trPr>
          <w:trHeight w:val="196"/>
        </w:trPr>
        <w:tc>
          <w:tcPr>
            <w:tcW w:w="62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54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8,641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10,794</w:t>
            </w:r>
          </w:p>
        </w:tc>
        <w:tc>
          <w:tcPr>
            <w:tcW w:w="100" w:type="dxa"/>
            <w:vAlign w:val="bottom"/>
          </w:tcPr>
          <w:p>
            <w:pPr>
              <w:spacing w:after="0"/>
              <w:rPr>
                <w:sz w:val="17"/>
                <w:szCs w:val="17"/>
                <w:color w:val="auto"/>
              </w:rPr>
            </w:pPr>
          </w:p>
        </w:tc>
      </w:tr>
      <w:tr>
        <w:trPr>
          <w:trHeight w:val="196"/>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15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(6,931)</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(7,353)</w:t>
            </w:r>
          </w:p>
        </w:tc>
      </w:tr>
      <w:tr>
        <w:trPr>
          <w:trHeight w:val="203"/>
        </w:trPr>
        <w:tc>
          <w:tcPr>
            <w:tcW w:w="620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 net</w:t>
            </w:r>
          </w:p>
        </w:tc>
        <w:tc>
          <w:tcPr>
            <w:tcW w:w="1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tcPr>
          <w:p>
            <w:pPr>
              <w:spacing w:after="0"/>
              <w:rPr>
                <w:sz w:val="17"/>
                <w:szCs w:val="17"/>
                <w:color w:val="auto"/>
              </w:rPr>
            </w:pPr>
          </w:p>
        </w:tc>
      </w:tr>
      <w:tr>
        <w:trPr>
          <w:trHeight w:val="203"/>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Gain (loss) on warrant liabilities</w:t>
            </w:r>
          </w:p>
        </w:tc>
        <w:tc>
          <w:tcPr>
            <w:tcW w:w="15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29,248</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(248)</w:t>
            </w:r>
          </w:p>
        </w:tc>
      </w:tr>
      <w:tr>
        <w:trPr>
          <w:trHeight w:val="196"/>
        </w:trPr>
        <w:tc>
          <w:tcPr>
            <w:tcW w:w="6200" w:type="dxa"/>
            <w:vAlign w:val="bottom"/>
          </w:tcPr>
          <w:p>
            <w:pPr>
              <w:spacing w:after="0"/>
              <w:rPr>
                <w:sz w:val="20"/>
                <w:szCs w:val="20"/>
                <w:color w:val="auto"/>
              </w:rPr>
            </w:pPr>
            <w:r>
              <w:rPr>
                <w:rFonts w:ascii="Times New Roman" w:cs="Times New Roman" w:eastAsia="Times New Roman" w:hAnsi="Times New Roman"/>
                <w:sz w:val="16"/>
                <w:szCs w:val="16"/>
                <w:color w:val="auto"/>
              </w:rPr>
              <w:t>Income (loss) before income tax expense</w:t>
            </w:r>
          </w:p>
        </w:tc>
        <w:tc>
          <w:tcPr>
            <w:tcW w:w="154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22,759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(7,229)</w:t>
            </w:r>
          </w:p>
        </w:tc>
        <w:tc>
          <w:tcPr>
            <w:tcW w:w="100" w:type="dxa"/>
            <w:vAlign w:val="bottom"/>
          </w:tcPr>
          <w:p>
            <w:pPr>
              <w:spacing w:after="0"/>
              <w:rPr>
                <w:sz w:val="17"/>
                <w:szCs w:val="17"/>
                <w:color w:val="auto"/>
              </w:rPr>
            </w:pPr>
          </w:p>
        </w:tc>
      </w:tr>
      <w:tr>
        <w:trPr>
          <w:trHeight w:val="196"/>
        </w:trPr>
        <w:tc>
          <w:tcPr>
            <w:tcW w:w="6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15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20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18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22,759</w:t>
            </w:r>
          </w:p>
        </w:tc>
        <w:tc>
          <w:tcPr>
            <w:tcW w:w="160" w:type="dxa"/>
            <w:vAlign w:val="bottom"/>
          </w:tcPr>
          <w:p>
            <w:pPr>
              <w:spacing w:after="0"/>
              <w:rPr>
                <w:sz w:val="17"/>
                <w:szCs w:val="17"/>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(7,229)</w:t>
            </w:r>
          </w:p>
        </w:tc>
      </w:tr>
      <w:tr>
        <w:trPr>
          <w:trHeight w:val="20"/>
        </w:trPr>
        <w:tc>
          <w:tcPr>
            <w:tcW w:w="6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 (loss) per share</w:t>
            </w:r>
          </w:p>
        </w:tc>
        <w:tc>
          <w:tcPr>
            <w:tcW w:w="15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8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0.64</w:t>
            </w:r>
          </w:p>
        </w:tc>
        <w:tc>
          <w:tcPr>
            <w:tcW w:w="160" w:type="dxa"/>
            <w:vAlign w:val="bottom"/>
          </w:tcPr>
          <w:p>
            <w:pPr>
              <w:spacing w:after="0"/>
              <w:rPr>
                <w:sz w:val="17"/>
                <w:szCs w:val="17"/>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(0.28)</w:t>
            </w:r>
          </w:p>
        </w:tc>
      </w:tr>
      <w:tr>
        <w:trPr>
          <w:trHeight w:val="203"/>
        </w:trPr>
        <w:tc>
          <w:tcPr>
            <w:tcW w:w="6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8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0.55</w:t>
            </w:r>
          </w:p>
        </w:tc>
        <w:tc>
          <w:tcPr>
            <w:tcW w:w="16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(0.28)</w:t>
            </w:r>
          </w:p>
        </w:tc>
      </w:tr>
      <w:tr>
        <w:trPr>
          <w:trHeight w:val="203"/>
        </w:trPr>
        <w:tc>
          <w:tcPr>
            <w:tcW w:w="620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shares used in computing net income (loss) per share</w:t>
            </w:r>
          </w:p>
        </w:tc>
        <w:tc>
          <w:tcPr>
            <w:tcW w:w="1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5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35,345,672</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25,879,043</w:t>
            </w:r>
          </w:p>
        </w:tc>
        <w:tc>
          <w:tcPr>
            <w:tcW w:w="100" w:type="dxa"/>
            <w:vAlign w:val="bottom"/>
            <w:shd w:val="clear" w:color="auto" w:fill="CFF0FC"/>
          </w:tcPr>
          <w:p>
            <w:pPr>
              <w:spacing w:after="0"/>
              <w:rPr>
                <w:sz w:val="17"/>
                <w:szCs w:val="17"/>
                <w:color w:val="auto"/>
              </w:rPr>
            </w:pPr>
          </w:p>
        </w:tc>
      </w:tr>
      <w:tr>
        <w:trPr>
          <w:trHeight w:val="210"/>
        </w:trPr>
        <w:tc>
          <w:tcPr>
            <w:tcW w:w="6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41,067,950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25,879,043</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5890260</wp:posOffset>
            </wp:positionH>
            <wp:positionV relativeFrom="paragraph">
              <wp:posOffset>-1757045</wp:posOffset>
            </wp:positionV>
            <wp:extent cx="939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-1757045</wp:posOffset>
            </wp:positionV>
            <wp:extent cx="9398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-1225550</wp:posOffset>
            </wp:positionV>
            <wp:extent cx="93980" cy="1708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-1225550</wp:posOffset>
            </wp:positionV>
            <wp:extent cx="93980" cy="1708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-938530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-938530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PALLADYNE AI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880" w:type="dxa"/>
            <w:vAlign w:val="bottom"/>
          </w:tcPr>
          <w:p>
            <w:pPr>
              <w:spacing w:after="0"/>
              <w:rPr>
                <w:sz w:val="18"/>
                <w:szCs w:val="18"/>
                <w:color w:val="auto"/>
              </w:rPr>
            </w:pPr>
          </w:p>
        </w:tc>
        <w:tc>
          <w:tcPr>
            <w:tcW w:w="2200" w:type="dxa"/>
            <w:vAlign w:val="bottom"/>
            <w:gridSpan w:val="2"/>
          </w:tcPr>
          <w:p>
            <w:pPr>
              <w:spacing w:after="0"/>
              <w:rPr>
                <w:sz w:val="18"/>
                <w:szCs w:val="18"/>
                <w:color w:val="auto"/>
              </w:rPr>
            </w:pPr>
          </w:p>
        </w:tc>
        <w:tc>
          <w:tcPr>
            <w:tcW w:w="3160" w:type="dxa"/>
            <w:vAlign w:val="bottom"/>
            <w:gridSpan w:val="6"/>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196"/>
        </w:trPr>
        <w:tc>
          <w:tcPr>
            <w:tcW w:w="5880" w:type="dxa"/>
            <w:vAlign w:val="bottom"/>
          </w:tcPr>
          <w:p>
            <w:pPr>
              <w:ind w:left="3780"/>
              <w:spacing w:after="0"/>
              <w:rPr>
                <w:sz w:val="20"/>
                <w:szCs w:val="20"/>
                <w:color w:val="auto"/>
              </w:rPr>
            </w:pPr>
            <w:r>
              <w:rPr>
                <w:rFonts w:ascii="Times New Roman" w:cs="Times New Roman" w:eastAsia="Times New Roman" w:hAnsi="Times New Roman"/>
                <w:sz w:val="16"/>
                <w:szCs w:val="16"/>
                <w:b w:val="1"/>
                <w:bCs w:val="1"/>
                <w:color w:val="auto"/>
              </w:rPr>
              <w:t>​</w:t>
            </w:r>
          </w:p>
        </w:tc>
        <w:tc>
          <w:tcPr>
            <w:tcW w:w="1860" w:type="dxa"/>
            <w:vAlign w:val="bottom"/>
          </w:tcPr>
          <w:p>
            <w:pPr>
              <w:ind w:left="1760"/>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2200" w:type="dxa"/>
            <w:vAlign w:val="bottom"/>
            <w:gridSpan w:val="2"/>
            <w:shd w:val="clear" w:color="auto" w:fill="CFF0FC"/>
          </w:tcPr>
          <w:p>
            <w:pPr>
              <w:ind w:left="18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22,759</w:t>
            </w:r>
          </w:p>
        </w:tc>
        <w:tc>
          <w:tcPr>
            <w:tcW w:w="16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(7,229)</w:t>
            </w:r>
          </w:p>
        </w:tc>
        <w:tc>
          <w:tcPr>
            <w:tcW w:w="0" w:type="dxa"/>
            <w:vAlign w:val="bottom"/>
          </w:tcPr>
          <w:p>
            <w:pPr>
              <w:spacing w:after="0"/>
              <w:rPr>
                <w:sz w:val="1"/>
                <w:szCs w:val="1"/>
                <w:color w:val="auto"/>
              </w:rPr>
            </w:pPr>
          </w:p>
        </w:tc>
      </w:tr>
      <w:tr>
        <w:trPr>
          <w:trHeight w:val="203"/>
        </w:trPr>
        <w:tc>
          <w:tcPr>
            <w:tcW w:w="588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2200" w:type="dxa"/>
            <w:vAlign w:val="bottom"/>
            <w:gridSpan w:val="2"/>
          </w:tcPr>
          <w:p>
            <w:pPr>
              <w:ind w:left="18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Change in unrealized gain on available-for-sale investments</w:t>
            </w:r>
          </w:p>
        </w:tc>
        <w:tc>
          <w:tcPr>
            <w:tcW w:w="2200" w:type="dxa"/>
            <w:vAlign w:val="bottom"/>
            <w:gridSpan w:val="2"/>
            <w:shd w:val="clear" w:color="auto" w:fill="CFF0FC"/>
          </w:tcPr>
          <w:p>
            <w:pPr>
              <w:ind w:left="18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
        </w:trPr>
        <w:tc>
          <w:tcPr>
            <w:tcW w:w="588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auto"/>
              </w:rPr>
              <w:t>Total other comprehensive loss</w:t>
            </w:r>
          </w:p>
        </w:tc>
        <w:tc>
          <w:tcPr>
            <w:tcW w:w="18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80" w:type="dxa"/>
            <w:vAlign w:val="bottom"/>
            <w:vMerge w:val="continue"/>
          </w:tcPr>
          <w:p>
            <w:pPr>
              <w:spacing w:after="0"/>
              <w:rPr>
                <w:sz w:val="17"/>
                <w:szCs w:val="17"/>
                <w:color w:val="auto"/>
              </w:rPr>
            </w:pPr>
          </w:p>
        </w:tc>
        <w:tc>
          <w:tcPr>
            <w:tcW w:w="1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8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22,750</w:t>
            </w: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(7,233)</w:t>
            </w:r>
          </w:p>
        </w:tc>
        <w:tc>
          <w:tcPr>
            <w:tcW w:w="0" w:type="dxa"/>
            <w:vAlign w:val="bottom"/>
          </w:tcPr>
          <w:p>
            <w:pPr>
              <w:spacing w:after="0"/>
              <w:rPr>
                <w:sz w:val="1"/>
                <w:szCs w:val="1"/>
                <w:color w:val="auto"/>
              </w:rPr>
            </w:pPr>
          </w:p>
        </w:tc>
      </w:tr>
      <w:tr>
        <w:trPr>
          <w:trHeight w:val="20"/>
        </w:trPr>
        <w:tc>
          <w:tcPr>
            <w:tcW w:w="5880" w:type="dxa"/>
            <w:vAlign w:val="bottom"/>
            <w:tcBorders>
              <w:top w:val="single" w:sz="8" w:color="CFF0FC"/>
            </w:tcBorders>
            <w:shd w:val="clear" w:color="auto" w:fill="CFF0FC"/>
          </w:tcPr>
          <w:p>
            <w:pPr>
              <w:spacing w:after="0" w:line="20" w:lineRule="exact"/>
              <w:rPr>
                <w:sz w:val="1"/>
                <w:szCs w:val="1"/>
                <w:color w:val="auto"/>
              </w:rPr>
            </w:pPr>
          </w:p>
        </w:tc>
        <w:tc>
          <w:tcPr>
            <w:tcW w:w="18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5890260</wp:posOffset>
            </wp:positionH>
            <wp:positionV relativeFrom="paragraph">
              <wp:posOffset>-312420</wp:posOffset>
            </wp:positionV>
            <wp:extent cx="9398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-312420</wp:posOffset>
            </wp:positionV>
            <wp:extent cx="9398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PALLADYNE AI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60" w:type="dxa"/>
            <w:vAlign w:val="bottom"/>
          </w:tcPr>
          <w:p>
            <w:pPr>
              <w:spacing w:after="0"/>
              <w:rPr>
                <w:sz w:val="17"/>
                <w:szCs w:val="17"/>
                <w:color w:val="auto"/>
              </w:rPr>
            </w:pPr>
          </w:p>
        </w:tc>
        <w:tc>
          <w:tcPr>
            <w:tcW w:w="2340" w:type="dxa"/>
            <w:vAlign w:val="bottom"/>
            <w:gridSpan w:val="3"/>
            <w:vMerge w:val="restart"/>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360" w:type="dxa"/>
            <w:vAlign w:val="bottom"/>
          </w:tcPr>
          <w:p>
            <w:pPr>
              <w:spacing w:after="0"/>
              <w:rPr>
                <w:sz w:val="17"/>
                <w:szCs w:val="17"/>
                <w:color w:val="auto"/>
              </w:rPr>
            </w:pPr>
          </w:p>
        </w:tc>
        <w:tc>
          <w:tcPr>
            <w:tcW w:w="2340" w:type="dxa"/>
            <w:vAlign w:val="bottom"/>
            <w:tcBorders>
              <w:bottom w:val="single" w:sz="8" w:color="auto"/>
            </w:tcBorders>
            <w:gridSpan w:val="3"/>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2340" w:type="dxa"/>
            <w:vAlign w:val="bottom"/>
            <w:tcBorders>
              <w:bottom w:val="single" w:sz="8" w:color="auto"/>
            </w:tcBorders>
            <w:gridSpan w:val="3"/>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w w:val="99"/>
              </w:rPr>
              <w:t>Class A</w:t>
            </w:r>
          </w:p>
        </w:tc>
        <w:tc>
          <w:tcPr>
            <w:tcW w:w="2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2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12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25,877,865</w:t>
            </w:r>
          </w:p>
        </w:tc>
        <w:tc>
          <w:tcPr>
            <w:tcW w:w="120" w:type="dxa"/>
            <w:vAlign w:val="bottom"/>
            <w:tcBorders>
              <w:right w:val="single" w:sz="8" w:color="CFF0FC"/>
            </w:tcBorders>
            <w:shd w:val="clear" w:color="auto" w:fill="CFF0FC"/>
          </w:tcPr>
          <w:p>
            <w:pPr>
              <w:spacing w:after="0"/>
              <w:rPr>
                <w:sz w:val="17"/>
                <w:szCs w:val="17"/>
                <w:color w:val="auto"/>
              </w:rPr>
            </w:pPr>
          </w:p>
        </w:tc>
        <w:tc>
          <w:tcPr>
            <w:tcW w:w="96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459,113</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(418,214)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40,905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Common stock issued under equity award plans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697,967</w:t>
            </w:r>
          </w:p>
        </w:tc>
        <w:tc>
          <w:tcPr>
            <w:tcW w:w="120" w:type="dxa"/>
            <w:vAlign w:val="bottom"/>
            <w:tcBorders>
              <w:right w:val="single" w:sz="8" w:color="CFF0FC"/>
            </w:tcBorders>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Shares repurchased for payment of tax</w:t>
            </w: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withholdings and other</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(23,260)</w:t>
            </w:r>
          </w:p>
        </w:tc>
        <w:tc>
          <w:tcPr>
            <w:tcW w:w="9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(42)</w:t>
            </w:r>
          </w:p>
        </w:tc>
        <w:tc>
          <w:tcPr>
            <w:tcW w:w="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05"/>
        </w:trPr>
        <w:tc>
          <w:tcPr>
            <w:tcW w:w="33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3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3"/>
        </w:trPr>
        <w:tc>
          <w:tcPr>
            <w:tcW w:w="3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(7,229)</w:t>
            </w:r>
          </w:p>
        </w:tc>
        <w:tc>
          <w:tcPr>
            <w:tcW w:w="10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(7,229)</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March 31, 2024</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26,552,572</w:t>
            </w:r>
          </w:p>
        </w:tc>
        <w:tc>
          <w:tcPr>
            <w:tcW w:w="120" w:type="dxa"/>
            <w:vAlign w:val="bottom"/>
            <w:tcBorders>
              <w:right w:val="single" w:sz="8" w:color="CFF0FC"/>
            </w:tcBorders>
            <w:shd w:val="clear" w:color="auto" w:fill="CFF0FC"/>
          </w:tcPr>
          <w:p>
            <w:pPr>
              <w:spacing w:after="0"/>
              <w:rPr>
                <w:sz w:val="18"/>
                <w:szCs w:val="18"/>
                <w:color w:val="auto"/>
              </w:rPr>
            </w:pPr>
          </w:p>
        </w:tc>
        <w:tc>
          <w:tcPr>
            <w:tcW w:w="96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459,642</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(425,443)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34,201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3360" w:type="dxa"/>
            <w:vAlign w:val="bottom"/>
          </w:tcPr>
          <w:p>
            <w:pPr>
              <w:spacing w:after="0"/>
              <w:rPr>
                <w:sz w:val="24"/>
                <w:szCs w:val="24"/>
                <w:color w:val="auto"/>
              </w:rPr>
            </w:pPr>
          </w:p>
        </w:tc>
        <w:tc>
          <w:tcPr>
            <w:tcW w:w="2340" w:type="dxa"/>
            <w:vAlign w:val="bottom"/>
            <w:gridSpan w:val="3"/>
            <w:vMerge w:val="restart"/>
          </w:tcPr>
          <w:p>
            <w:pPr>
              <w:jc w:val="center"/>
              <w:ind w:left="1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360" w:type="dxa"/>
            <w:vAlign w:val="bottom"/>
          </w:tcPr>
          <w:p>
            <w:pPr>
              <w:spacing w:after="0"/>
              <w:rPr>
                <w:sz w:val="17"/>
                <w:szCs w:val="17"/>
                <w:color w:val="auto"/>
              </w:rPr>
            </w:pPr>
          </w:p>
        </w:tc>
        <w:tc>
          <w:tcPr>
            <w:tcW w:w="2340" w:type="dxa"/>
            <w:vAlign w:val="bottom"/>
            <w:tcBorders>
              <w:bottom w:val="single" w:sz="8" w:color="auto"/>
            </w:tcBorders>
            <w:gridSpan w:val="3"/>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2340" w:type="dxa"/>
            <w:vAlign w:val="bottom"/>
            <w:tcBorders>
              <w:bottom w:val="single" w:sz="8" w:color="auto"/>
            </w:tcBorders>
            <w:gridSpan w:val="3"/>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w w:val="99"/>
              </w:rPr>
              <w:t>Class A</w:t>
            </w:r>
          </w:p>
        </w:tc>
        <w:tc>
          <w:tcPr>
            <w:tcW w:w="2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2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12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17"/>
                <w:szCs w:val="17"/>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Equity (Deficit)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33,883,894</w:t>
            </w:r>
          </w:p>
        </w:tc>
        <w:tc>
          <w:tcPr>
            <w:tcW w:w="120" w:type="dxa"/>
            <w:vAlign w:val="bottom"/>
            <w:tcBorders>
              <w:right w:val="single" w:sz="8" w:color="CFF0FC"/>
            </w:tcBorders>
            <w:shd w:val="clear" w:color="auto" w:fill="CFF0FC"/>
          </w:tcPr>
          <w:p>
            <w:pPr>
              <w:spacing w:after="0"/>
              <w:rPr>
                <w:sz w:val="17"/>
                <w:szCs w:val="17"/>
                <w:color w:val="auto"/>
              </w:rPr>
            </w:pPr>
          </w:p>
        </w:tc>
        <w:tc>
          <w:tcPr>
            <w:tcW w:w="96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481,289</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(490,831)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(9,533)</w:t>
            </w:r>
          </w:p>
        </w:tc>
        <w:tc>
          <w:tcPr>
            <w:tcW w:w="0" w:type="dxa"/>
            <w:vAlign w:val="bottom"/>
          </w:tcPr>
          <w:p>
            <w:pPr>
              <w:spacing w:after="0"/>
              <w:rPr>
                <w:sz w:val="1"/>
                <w:szCs w:val="1"/>
                <w:color w:val="auto"/>
              </w:rPr>
            </w:pPr>
          </w:p>
        </w:tc>
      </w:tr>
      <w:tr>
        <w:trPr>
          <w:trHeight w:val="203"/>
        </w:trPr>
        <w:tc>
          <w:tcPr>
            <w:tcW w:w="3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Common stock issued under equity award plans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492,815</w:t>
            </w:r>
          </w:p>
        </w:tc>
        <w:tc>
          <w:tcPr>
            <w:tcW w:w="120" w:type="dxa"/>
            <w:vAlign w:val="bottom"/>
            <w:tcBorders>
              <w:right w:val="single" w:sz="8" w:color="CFF0FC"/>
            </w:tcBorders>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 common stock, net of cost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1,335,807</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13,932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3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3"/>
        </w:trPr>
        <w:tc>
          <w:tcPr>
            <w:tcW w:w="3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22,759</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March 31, 2025</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35,712,516</w:t>
            </w:r>
          </w:p>
        </w:tc>
        <w:tc>
          <w:tcPr>
            <w:tcW w:w="120" w:type="dxa"/>
            <w:vAlign w:val="bottom"/>
            <w:tcBorders>
              <w:right w:val="single" w:sz="8" w:color="CFF0FC"/>
            </w:tcBorders>
            <w:shd w:val="clear" w:color="auto" w:fill="CFF0FC"/>
          </w:tcPr>
          <w:p>
            <w:pPr>
              <w:spacing w:after="0"/>
              <w:rPr>
                <w:sz w:val="18"/>
                <w:szCs w:val="18"/>
                <w:color w:val="auto"/>
              </w:rPr>
            </w:pPr>
          </w:p>
        </w:tc>
        <w:tc>
          <w:tcPr>
            <w:tcW w:w="96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496,370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(468,072)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28,299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-1696720</wp:posOffset>
            </wp:positionV>
            <wp:extent cx="768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-1679575</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-1696720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-1679575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-1696720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-1679575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-1696720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-1679575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-1696720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-1679575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-1679575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-24765</wp:posOffset>
            </wp:positionV>
            <wp:extent cx="768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-7620</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-24765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-7620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-24765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-7620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-24765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PALLADYNE AI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1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6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6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200" w:type="dxa"/>
            <w:vAlign w:val="bottom"/>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2180" w:type="dxa"/>
            <w:vAlign w:val="bottom"/>
            <w:gridSpan w:val="2"/>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22,759</w:t>
            </w:r>
          </w:p>
        </w:tc>
        <w:tc>
          <w:tcPr>
            <w:tcW w:w="160" w:type="dxa"/>
            <w:vAlign w:val="bottom"/>
          </w:tcPr>
          <w:p>
            <w:pPr>
              <w:spacing w:after="0"/>
              <w:rPr>
                <w:sz w:val="17"/>
                <w:szCs w:val="17"/>
                <w:color w:val="auto"/>
              </w:rPr>
            </w:pPr>
          </w:p>
        </w:tc>
        <w:tc>
          <w:tcPr>
            <w:tcW w:w="1140" w:type="dxa"/>
            <w:vAlign w:val="bottom"/>
            <w:gridSpan w:val="2"/>
          </w:tcPr>
          <w:p>
            <w:pPr>
              <w:jc w:val="right"/>
              <w:ind w:right="9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(7,229)</w:t>
            </w:r>
          </w:p>
        </w:tc>
      </w:tr>
      <w:tr>
        <w:trPr>
          <w:trHeight w:val="203"/>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income (loss) to net cash used in operating activities:</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00" w:type="dxa"/>
            <w:vAlign w:val="bottom"/>
          </w:tcPr>
          <w:p>
            <w:pPr>
              <w:spacing w:after="0"/>
              <w:rPr>
                <w:sz w:val="17"/>
                <w:szCs w:val="17"/>
                <w:color w:val="auto"/>
              </w:rPr>
            </w:pPr>
          </w:p>
        </w:tc>
      </w:tr>
      <w:tr>
        <w:trPr>
          <w:trHeight w:val="203"/>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Depreciation of property and equipment</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shd w:val="clear" w:color="auto" w:fill="CFF0FC"/>
          </w:tcPr>
          <w:p>
            <w:pPr>
              <w:spacing w:after="0"/>
              <w:rPr>
                <w:sz w:val="17"/>
                <w:szCs w:val="17"/>
                <w:color w:val="auto"/>
              </w:rPr>
            </w:pPr>
          </w:p>
        </w:tc>
      </w:tr>
      <w:tr>
        <w:trPr>
          <w:trHeight w:val="20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(29,248)</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tcPr>
          <w:p>
            <w:pPr>
              <w:spacing w:after="0"/>
              <w:rPr>
                <w:sz w:val="17"/>
                <w:szCs w:val="17"/>
                <w:color w:val="auto"/>
              </w:rPr>
            </w:pPr>
          </w:p>
        </w:tc>
      </w:tr>
      <w:tr>
        <w:trPr>
          <w:trHeight w:val="203"/>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Amortization of investment discount</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(255)</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(57)</w:t>
            </w:r>
          </w:p>
        </w:tc>
      </w:tr>
      <w:tr>
        <w:trPr>
          <w:trHeight w:val="20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Asset write-down</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17"/>
                <w:szCs w:val="17"/>
                <w:color w:val="auto"/>
              </w:rPr>
            </w:pPr>
          </w:p>
        </w:tc>
      </w:tr>
      <w:tr>
        <w:trPr>
          <w:trHeight w:val="203"/>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Pr>
          <w:p>
            <w:pPr>
              <w:spacing w:after="0"/>
              <w:rPr>
                <w:sz w:val="17"/>
                <w:szCs w:val="17"/>
                <w:color w:val="auto"/>
              </w:rPr>
            </w:pPr>
          </w:p>
        </w:tc>
      </w:tr>
      <w:tr>
        <w:trPr>
          <w:trHeight w:val="203"/>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Unbilled receivable</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(592)</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00" w:type="dxa"/>
            <w:vAlign w:val="bottom"/>
            <w:shd w:val="clear" w:color="auto" w:fill="CFF0FC"/>
          </w:tcPr>
          <w:p>
            <w:pPr>
              <w:spacing w:after="0"/>
              <w:rPr>
                <w:sz w:val="17"/>
                <w:szCs w:val="17"/>
                <w:color w:val="auto"/>
              </w:rPr>
            </w:pPr>
          </w:p>
        </w:tc>
      </w:tr>
      <w:tr>
        <w:trPr>
          <w:trHeight w:val="20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100" w:type="dxa"/>
            <w:vAlign w:val="bottom"/>
          </w:tcPr>
          <w:p>
            <w:pPr>
              <w:spacing w:after="0"/>
              <w:rPr>
                <w:sz w:val="17"/>
                <w:szCs w:val="17"/>
                <w:color w:val="auto"/>
              </w:rPr>
            </w:pPr>
          </w:p>
        </w:tc>
      </w:tr>
      <w:tr>
        <w:trPr>
          <w:trHeight w:val="203"/>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(342)</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100" w:type="dxa"/>
            <w:vAlign w:val="bottom"/>
            <w:shd w:val="clear" w:color="auto" w:fill="CFF0FC"/>
          </w:tcPr>
          <w:p>
            <w:pPr>
              <w:spacing w:after="0"/>
              <w:rPr>
                <w:sz w:val="17"/>
                <w:szCs w:val="17"/>
                <w:color w:val="auto"/>
              </w:rPr>
            </w:pPr>
          </w:p>
        </w:tc>
      </w:tr>
      <w:tr>
        <w:trPr>
          <w:trHeight w:val="20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assets &amp; other non-current assets</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tcPr>
          <w:p>
            <w:pPr>
              <w:spacing w:after="0"/>
              <w:rPr>
                <w:sz w:val="17"/>
                <w:szCs w:val="17"/>
                <w:color w:val="auto"/>
              </w:rPr>
            </w:pPr>
          </w:p>
        </w:tc>
      </w:tr>
      <w:tr>
        <w:trPr>
          <w:trHeight w:val="203"/>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(162)</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(511)</w:t>
            </w:r>
          </w:p>
        </w:tc>
      </w:tr>
      <w:tr>
        <w:trPr>
          <w:trHeight w:val="20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liabilities and current operating lease liabilities</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(1,135)</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(2,787)</w:t>
            </w:r>
          </w:p>
        </w:tc>
      </w:tr>
      <w:tr>
        <w:trPr>
          <w:trHeight w:val="203"/>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(240)</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(329)</w:t>
            </w:r>
          </w:p>
        </w:tc>
      </w:tr>
      <w:tr>
        <w:trPr>
          <w:trHeight w:val="196"/>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200" w:type="dxa"/>
            <w:vAlign w:val="bottom"/>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(7,516)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(7,236)</w:t>
            </w:r>
          </w:p>
        </w:tc>
        <w:tc>
          <w:tcPr>
            <w:tcW w:w="100" w:type="dxa"/>
            <w:vAlign w:val="bottom"/>
          </w:tcPr>
          <w:p>
            <w:pPr>
              <w:spacing w:after="0"/>
              <w:rPr>
                <w:sz w:val="17"/>
                <w:szCs w:val="17"/>
                <w:color w:val="auto"/>
              </w:rPr>
            </w:pPr>
          </w:p>
        </w:tc>
      </w:tr>
      <w:tr>
        <w:trPr>
          <w:trHeight w:val="196"/>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(62)</w:t>
            </w:r>
          </w:p>
        </w:tc>
      </w:tr>
      <w:tr>
        <w:trPr>
          <w:trHeight w:val="203"/>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(27,452)</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12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16,000</w:t>
            </w:r>
          </w:p>
        </w:tc>
        <w:tc>
          <w:tcPr>
            <w:tcW w:w="100" w:type="dxa"/>
            <w:vAlign w:val="bottom"/>
          </w:tcPr>
          <w:p>
            <w:pPr>
              <w:spacing w:after="0"/>
              <w:rPr>
                <w:sz w:val="17"/>
                <w:szCs w:val="17"/>
                <w:color w:val="auto"/>
              </w:rPr>
            </w:pPr>
          </w:p>
        </w:tc>
      </w:tr>
      <w:tr>
        <w:trPr>
          <w:trHeight w:val="196"/>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(27,545)</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15,938</w:t>
            </w:r>
          </w:p>
        </w:tc>
        <w:tc>
          <w:tcPr>
            <w:tcW w:w="100" w:type="dxa"/>
            <w:vAlign w:val="bottom"/>
            <w:shd w:val="clear" w:color="auto" w:fill="CFF0FC"/>
          </w:tcPr>
          <w:p>
            <w:pPr>
              <w:spacing w:after="0"/>
              <w:rPr>
                <w:sz w:val="17"/>
                <w:szCs w:val="17"/>
                <w:color w:val="auto"/>
              </w:rPr>
            </w:pPr>
          </w:p>
        </w:tc>
      </w:tr>
      <w:tr>
        <w:trPr>
          <w:trHeight w:val="196"/>
        </w:trPr>
        <w:tc>
          <w:tcPr>
            <w:tcW w:w="65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200" w:type="dxa"/>
            <w:vAlign w:val="bottom"/>
            <w:tcBorders>
              <w:top w:val="single" w:sz="8" w:color="CFF0FC"/>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03"/>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Shares repurchased for payment of tax withholdings</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(42)</w:t>
            </w:r>
          </w:p>
        </w:tc>
      </w:tr>
      <w:tr>
        <w:trPr>
          <w:trHeight w:val="20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 of obligations under capital leases</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r>
      <w:tr>
        <w:trPr>
          <w:trHeight w:val="203"/>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issuance of common stock</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13,983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 of transaction costs related to issuance of common stock</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13,933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(43)</w:t>
            </w:r>
          </w:p>
        </w:tc>
      </w:tr>
      <w:tr>
        <w:trPr>
          <w:trHeight w:val="20"/>
        </w:trPr>
        <w:tc>
          <w:tcPr>
            <w:tcW w:w="654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Net (decrease) increase in cash and cash equivalents</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(21,128)</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8,659</w:t>
            </w:r>
          </w:p>
        </w:tc>
        <w:tc>
          <w:tcPr>
            <w:tcW w:w="100" w:type="dxa"/>
            <w:vAlign w:val="bottom"/>
          </w:tcPr>
          <w:p>
            <w:pPr>
              <w:spacing w:after="0"/>
              <w:rPr>
                <w:sz w:val="17"/>
                <w:szCs w:val="17"/>
                <w:color w:val="auto"/>
              </w:rPr>
            </w:pPr>
          </w:p>
        </w:tc>
      </w:tr>
      <w:tr>
        <w:trPr>
          <w:trHeight w:val="203"/>
        </w:trPr>
        <w:tc>
          <w:tcPr>
            <w:tcW w:w="6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120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31,188</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23,139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180" w:type="dxa"/>
            <w:vAlign w:val="bottom"/>
            <w:gridSpan w:val="2"/>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10,060</w:t>
            </w:r>
          </w:p>
        </w:tc>
        <w:tc>
          <w:tcPr>
            <w:tcW w:w="160" w:type="dxa"/>
            <w:vAlign w:val="bottom"/>
          </w:tcPr>
          <w:p>
            <w:pPr>
              <w:spacing w:after="0"/>
              <w:rPr>
                <w:sz w:val="17"/>
                <w:szCs w:val="17"/>
                <w:color w:val="auto"/>
              </w:rPr>
            </w:pPr>
          </w:p>
        </w:tc>
        <w:tc>
          <w:tcPr>
            <w:tcW w:w="1140" w:type="dxa"/>
            <w:vAlign w:val="bottom"/>
            <w:gridSpan w:val="2"/>
          </w:tcPr>
          <w:p>
            <w:pPr>
              <w:jc w:val="right"/>
              <w:ind w:right="9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31,798</w:t>
            </w:r>
          </w:p>
        </w:tc>
        <w:tc>
          <w:tcPr>
            <w:tcW w:w="100" w:type="dxa"/>
            <w:vAlign w:val="bottom"/>
          </w:tcPr>
          <w:p>
            <w:pPr>
              <w:spacing w:after="0"/>
              <w:rPr>
                <w:sz w:val="17"/>
                <w:szCs w:val="17"/>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non-cash activities:</w:t>
            </w:r>
          </w:p>
        </w:tc>
        <w:tc>
          <w:tcPr>
            <w:tcW w:w="12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10"/>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property and equipment included in accounts payable at period-end</w:t>
            </w:r>
          </w:p>
        </w:tc>
        <w:tc>
          <w:tcPr>
            <w:tcW w:w="2180" w:type="dxa"/>
            <w:vAlign w:val="bottom"/>
            <w:gridSpan w:val="2"/>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9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5890260</wp:posOffset>
            </wp:positionH>
            <wp:positionV relativeFrom="paragraph">
              <wp:posOffset>-2288540</wp:posOffset>
            </wp:positionV>
            <wp:extent cx="93980" cy="1708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-2288540</wp:posOffset>
            </wp:positionV>
            <wp:extent cx="93980" cy="1708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-1478915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-1478915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-690245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-690245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-424180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-424180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PALLADYNE AI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p>
    <w:p>
      <w:pPr>
        <w:spacing w:after="0" w:line="9"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Business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full-stack, closed-loop autonomy software ("AI/ML Foundational Technology") is designed with artificial intelligence ("AI") and machine learning ("ML") technologies to enable robotic systems to perceive their environment and quickly adapt to changing circumstances by generalizing (i.e., learning) from their past experience using dynamic real-time operations "on the edge" (i.e., on the robotic system) without extensive programming and with minimal robot training or the latency associated with processing in the cloud.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Consolidation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interim unaudited condensed consolidated financial statements have been prepared in accordance with accounting principles generally accepted in the United States ("GAAP").</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condensed consolidated financial statements as of March 31, 2025 are unaudited. The condensed consolidated balance sheet as of December 31, 2024 included herein was derived from the audited consolidated financial statements as of that date. Certain information and note disclosures normally included in annual financial statements prepared in accordance with GAAP have been condensed or omitted. As such, the information included herein should be read in conjunction with the consolidated financial statements and accompanying notes as of and for the year ended December 31, 2024 included in the Company’s Annual Report on Form 10-K filed with the SEC on February 20, 2025.</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 owned subsidiaries. All intercompany accounts and transactions have been eliminated in consolidation. The Company’s fiscal year begins on January 1 and ends on December 31.</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opinion of the Company’s management, the unaudited condensed consolidated financial statements include all adjustments necessary for fair financial statement presentation. All adjustments are of a normal recurring nature. Interim results are not necessarily indicative of the results to be expected for any subsequent quarter or for the fiscal year ending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Significant Accounting Policies and Use of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to the Company’s significant accounting policies and use of estimates and assumptions described in the annual consolidated financial statements for the year ended December 31, 2024 that have had a material impact on the Company’s condensed consolidated financial statements and related notes.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cash equivalents and marketable securities were $46.6 million as of March 31, 2025, compared to $40.1 million as of December 31, 2024. The Company has incurred losses from operations and negative cash flows from operations since inception and is likely to continue to incur losses and negative cash flows from operations in the near term. As of March 31, 2025, the Company had an accumulated deficit of approximately $468.1 million and working capital of $47.1 million.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financial statements have been prepared in accordance with GAAP and on the basis that the Company will continue as a going concern, which contemplates the realization of assets and the satisfaction of liabilities and commitments in the normal course of business. The Company’s main source of liquidity has been cash generated by equity offerings. The Company’s primary use of cash is for operations and administrative activities, including employee-related expenses and general, operating and overhead expenses. Future capital requirements will depend on many factors, including the Company’s timing and extent of development efforts, the expansion and success of sales and marketing activities, revenue growth rate, customer retention, the introduction of new and enhanced product offerings and market acceptance of the Company’s products. The Company believes it has sufficient financial resources for at least the next 12 months from the date of this Report.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recognizes revenue from the sale of its products and from the delivery of goods and services arising out of its contractual arrangements to provide product development contract services that are funded by the customer. The Company recognizes revenue when promised goods or services are transferred to customers in an amount that reflects the consideration to which the Company expects to be entitled in exchange for those goods or services by following a five-step process: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jc w:val="both"/>
        <w:ind w:left="1020" w:hanging="503"/>
        <w:spacing w:after="0" w:line="256" w:lineRule="auto"/>
        <w:tabs>
          <w:tab w:leader="none" w:pos="102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Identify the contract with a customer: </w:t>
      </w:r>
      <w:r>
        <w:rPr>
          <w:rFonts w:ascii="Times New Roman" w:cs="Times New Roman" w:eastAsia="Times New Roman" w:hAnsi="Times New Roman"/>
          <w:sz w:val="18"/>
          <w:szCs w:val="18"/>
          <w:color w:val="auto"/>
        </w:rPr>
        <w:t>A contract with a customer exists when (a) the Company enters into an enforceable contract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that defines each party's rights and obligations regarding the products and services to be transferred and identifies the payment terms related to these products and services, (b) the contract has commercial substance and (c) the Company determines that collection of substantially all consideration for products and services that are transferred is probable based on the customer's intent and ability to pay the promised consideration. Contract modifications may include changes in scope of work, and/or the period of completion of the project. The Company analyzes contract modifications to determine if they should be accounted for as a modification to an existing contract or a new stand-alone contract.</w:t>
      </w:r>
    </w:p>
    <w:p>
      <w:pPr>
        <w:spacing w:after="0" w:line="182" w:lineRule="exact"/>
        <w:rPr>
          <w:rFonts w:ascii="Times New Roman" w:cs="Times New Roman" w:eastAsia="Times New Roman" w:hAnsi="Times New Roman"/>
          <w:sz w:val="18"/>
          <w:szCs w:val="18"/>
          <w:i w:val="1"/>
          <w:iCs w:val="1"/>
          <w:color w:val="auto"/>
        </w:rPr>
      </w:pPr>
    </w:p>
    <w:p>
      <w:pPr>
        <w:jc w:val="both"/>
        <w:ind w:left="1020" w:hanging="503"/>
        <w:spacing w:after="0" w:line="261" w:lineRule="auto"/>
        <w:tabs>
          <w:tab w:leader="none" w:pos="102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Identify the performance obligations in the contract: </w:t>
      </w:r>
      <w:r>
        <w:rPr>
          <w:rFonts w:ascii="Times New Roman" w:cs="Times New Roman" w:eastAsia="Times New Roman" w:hAnsi="Times New Roman"/>
          <w:sz w:val="18"/>
          <w:szCs w:val="18"/>
          <w:color w:val="auto"/>
        </w:rPr>
        <w:t>The Company enters into contracts that can include combinations of products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which are either capable of being distinct and accounted for as separate performance obligations or as one performance obligation if the majority of tasks and services form a single project or capability. Determining whether products or services are considered distinct performance obligations that should be accounted for separately may require significant judgment.</w:t>
      </w:r>
    </w:p>
    <w:p>
      <w:pPr>
        <w:spacing w:after="0" w:line="179" w:lineRule="exact"/>
        <w:rPr>
          <w:rFonts w:ascii="Times New Roman" w:cs="Times New Roman" w:eastAsia="Times New Roman" w:hAnsi="Times New Roman"/>
          <w:sz w:val="18"/>
          <w:szCs w:val="18"/>
          <w:i w:val="1"/>
          <w:iCs w:val="1"/>
          <w:color w:val="auto"/>
        </w:rPr>
      </w:pPr>
    </w:p>
    <w:p>
      <w:pPr>
        <w:jc w:val="both"/>
        <w:ind w:left="1020" w:hanging="503"/>
        <w:spacing w:after="0" w:line="254" w:lineRule="auto"/>
        <w:tabs>
          <w:tab w:leader="none" w:pos="102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Determine the transaction price: </w:t>
      </w:r>
      <w:r>
        <w:rPr>
          <w:rFonts w:ascii="Times New Roman" w:cs="Times New Roman" w:eastAsia="Times New Roman" w:hAnsi="Times New Roman"/>
          <w:sz w:val="18"/>
          <w:szCs w:val="18"/>
          <w:color w:val="auto"/>
        </w:rPr>
        <w:t>The transaction price is determined based on the consideration to which the Company will be entitled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for transferring goods or services to the customer. Such amounts are typically stated in the customer contract. However, to the extent that the Company identifies variable consideration, the Company will estimate the variable consideration at the onset of the arrangement as long as it is probable that a significant reversal in the amount of cumulative revenue recognized will not occur when the uncertainty associated with the variable consideration is subsequently resolved. The Company's current contracts do not include any significant financing components because the timing of the transfer of the underlying products and services under contract are at the customer's discretion. Additionally, the Company does not adjust the promised amount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 Taxes collected from customers and remitted to governmental authorities are not included in revenue.</w:t>
      </w:r>
    </w:p>
    <w:p>
      <w:pPr>
        <w:spacing w:after="0" w:line="185" w:lineRule="exact"/>
        <w:rPr>
          <w:rFonts w:ascii="Times New Roman" w:cs="Times New Roman" w:eastAsia="Times New Roman" w:hAnsi="Times New Roman"/>
          <w:sz w:val="18"/>
          <w:szCs w:val="18"/>
          <w:i w:val="1"/>
          <w:iCs w:val="1"/>
          <w:color w:val="auto"/>
        </w:rPr>
      </w:pPr>
    </w:p>
    <w:p>
      <w:pPr>
        <w:jc w:val="both"/>
        <w:ind w:left="1020" w:hanging="503"/>
        <w:spacing w:after="0" w:line="254" w:lineRule="auto"/>
        <w:tabs>
          <w:tab w:leader="none" w:pos="102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Allocate the transaction price to performance obligations in the contract: </w:t>
      </w:r>
      <w:r>
        <w:rPr>
          <w:rFonts w:ascii="Times New Roman" w:cs="Times New Roman" w:eastAsia="Times New Roman" w:hAnsi="Times New Roman"/>
          <w:sz w:val="18"/>
          <w:szCs w:val="18"/>
          <w:color w:val="auto"/>
        </w:rPr>
        <w:t>Once the Company has determined the transaction price, the total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price is allocated to each performance obligation in a manner depicting the amount of consideration to which the Company expects to be entitled in exchange for transferring the good(s) or service(s) to the customer. If applicable, the Company allocates the transaction price to each performance obligation identified in the contract on a relative standalone selling price basis. The standalone selling price represents the amount the Company would sell the good(s) or service(s) to a customer on a standalone basis. For government contracts, the Company uses expected cost plus a margin as the standalone selling price. Because the Company's contract pricing with government customers is generally based on expected cost plus a margin, the standalone selling price of the good(s) or service(s) in the Company's contracts with government customers are typically equal to the selling price stated in the contract. When we sell standard good(s) or service(s) with observable standalone sale transactions, the observable standalone sales transactions are used to determine the standalone selling price.</w:t>
      </w:r>
    </w:p>
    <w:p>
      <w:pPr>
        <w:spacing w:after="0" w:line="185" w:lineRule="exact"/>
        <w:rPr>
          <w:rFonts w:ascii="Times New Roman" w:cs="Times New Roman" w:eastAsia="Times New Roman" w:hAnsi="Times New Roman"/>
          <w:sz w:val="18"/>
          <w:szCs w:val="18"/>
          <w:i w:val="1"/>
          <w:iCs w:val="1"/>
          <w:color w:val="auto"/>
        </w:rPr>
      </w:pPr>
    </w:p>
    <w:p>
      <w:pPr>
        <w:jc w:val="both"/>
        <w:ind w:left="1020" w:hanging="503"/>
        <w:spacing w:after="0" w:line="253" w:lineRule="auto"/>
        <w:tabs>
          <w:tab w:leader="none" w:pos="102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Recognize revenue when or as the Company satisfies a performance obligation</w:t>
      </w:r>
      <w:r>
        <w:rPr>
          <w:rFonts w:ascii="Times New Roman" w:cs="Times New Roman" w:eastAsia="Times New Roman" w:hAnsi="Times New Roman"/>
          <w:sz w:val="18"/>
          <w:szCs w:val="18"/>
          <w:color w:val="auto"/>
        </w:rPr>
        <w:t>: For each performance obligation identified,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determines at contract inception whether it satisfies the performance obligation over time or at a point in time. For performance obligations satisfied over time, revenue is recognized as work progresses when the Company is entitled to the reimbursement of costs plus a reasonable profit for work performed for which the Company has no alternate use. For these performance obligations, the Company generally recognizes revenue using an input method with revenue amounts being recognized proportionately as costs are incurred relative to the total expected costs to satisfy the performance obligation. The Company believes that costs incurred as a portion of total estimated costs is an appropriate measure of progress towards satisfaction of the performance obligation since this measure reasonably depicts the progress of the work effort. Revenue for performance obligations that are not recognized over time are recognized at the point in time when control transfers to the customer (which is generally upon delivery). For performance obligations that are satisfied at a point in time, the Company evaluates the point in time when the customer can direct the use of, and obtain the benefits from, the products and services. Shipping and handling costs are recorded at the time of product shipment to the customer and are included within revenue.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derives its revenue from two sources. First, the Company enters into research and development agreements primarily relating to the commercialization of the Company's products. Second, the Company sells its products and related parts and repair services. Product development contract revenue includes revenue arising from different types of contractual arrangements, including cost-type contracts and fixed-price contracts. Historically, product revenue primarily consists of sales of the Company's legacy hardware products. The Company has not yet generated product revenue from its Palladyne IQ and Palladyne Pilot products.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t>Product Development Contract Revenue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Cost-type contracts </w:t>
      </w:r>
      <w:r>
        <w:rPr>
          <w:rFonts w:ascii="Times New Roman" w:cs="Times New Roman" w:eastAsia="Times New Roman" w:hAnsi="Times New Roman"/>
          <w:sz w:val="18"/>
          <w:szCs w:val="18"/>
          <w:color w:val="auto"/>
        </w:rPr>
        <w:t>– Research, development and/or testing service contracts, including cost-plus-fixed-fee and time and material contracts, relate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development of the Company's products and related technology. Cost-type contracts are generally entered into with the U.S. government. These contracts are billed at cost plus a margin as defined by the contract and the Federal Acquisition Regulation ("FAR"). The FAR establishes regulations around procurement by the government and provides guidance on the types of costs that are allowable in establishing prices for goods and services delivered under government contracts. Revenue on cost-type contracts is recognized over time as goods and services are provided.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Fixed-price contracts </w:t>
      </w:r>
      <w:r>
        <w:rPr>
          <w:rFonts w:ascii="Times New Roman" w:cs="Times New Roman" w:eastAsia="Times New Roman" w:hAnsi="Times New Roman"/>
          <w:sz w:val="18"/>
          <w:szCs w:val="18"/>
          <w:color w:val="auto"/>
        </w:rPr>
        <w:t>– Fixed-price development contracts relate primarily to the development of the Company's products and related technology. Fixed-price development contracts generally require a significant service of integrating a complex set of tasks and components into a single deliverable. Revenue on fixed-price contracts is generally recognized over time as goods and services are provided. To the extent the Company's actual costs vary from the fixed fee, we will generate more or less profit or could incur a loss. The Company will recognize losses at the contract level in earnings in the period in which they are incurred.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Product revenue relates to sales of the Company's commercially available products, and certain miscellaneous parts, accessories and repair services. The Company provides a limited one-year warranty on product sales. Product warranties are considered assurance-type warranties and are not considered to be separate performance obligations. Product revenue is recognized at the point in time when ownership of the goods is transferred, generally at the time of shipment to the customer. At the time product revenue is recognized, an accrual is established for estimated warranty expenses based on historical experience as well as anticipated product performance.</w:t>
      </w:r>
    </w:p>
    <w:p>
      <w:pPr>
        <w:spacing w:after="0" w:line="18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Revenue recognized for Product Development Contract Revenue and Product Revenue for the three months ended March 31, 2025 and 2024, were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4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r>
      <w:tr>
        <w:trPr>
          <w:trHeight w:val="202"/>
        </w:trPr>
        <w:tc>
          <w:tcPr>
            <w:tcW w:w="5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58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19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Product Development Contract Revenue</w:t>
            </w:r>
          </w:p>
        </w:tc>
        <w:tc>
          <w:tcPr>
            <w:tcW w:w="2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1,710</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100" w:type="dxa"/>
            <w:vAlign w:val="bottom"/>
            <w:shd w:val="clear" w:color="auto" w:fill="CFF0FC"/>
          </w:tcPr>
          <w:p>
            <w:pPr>
              <w:spacing w:after="0"/>
              <w:rPr>
                <w:sz w:val="17"/>
                <w:szCs w:val="17"/>
                <w:color w:val="auto"/>
              </w:rPr>
            </w:pPr>
          </w:p>
        </w:tc>
      </w:tr>
      <w:tr>
        <w:trPr>
          <w:trHeight w:val="203"/>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Product Revenue</w:t>
            </w:r>
          </w:p>
        </w:tc>
        <w:tc>
          <w:tcPr>
            <w:tcW w:w="25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2,559</w:t>
            </w:r>
          </w:p>
        </w:tc>
        <w:tc>
          <w:tcPr>
            <w:tcW w:w="100" w:type="dxa"/>
            <w:vAlign w:val="bottom"/>
          </w:tcPr>
          <w:p>
            <w:pPr>
              <w:spacing w:after="0"/>
              <w:rPr>
                <w:sz w:val="17"/>
                <w:szCs w:val="17"/>
                <w:color w:val="auto"/>
              </w:rPr>
            </w:pPr>
          </w:p>
        </w:tc>
      </w:tr>
      <w:tr>
        <w:trPr>
          <w:trHeight w:val="216"/>
        </w:trPr>
        <w:tc>
          <w:tcPr>
            <w:tcW w:w="5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Revenue, net</w:t>
            </w:r>
          </w:p>
        </w:tc>
        <w:tc>
          <w:tcPr>
            <w:tcW w:w="2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1,710</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3,441</w:t>
            </w:r>
          </w:p>
        </w:tc>
        <w:tc>
          <w:tcPr>
            <w:tcW w:w="100" w:type="dxa"/>
            <w:vAlign w:val="bottom"/>
            <w:shd w:val="clear" w:color="auto" w:fill="CFF0FC"/>
          </w:tcPr>
          <w:p>
            <w:pPr>
              <w:spacing w:after="0"/>
              <w:rPr>
                <w:sz w:val="18"/>
                <w:szCs w:val="18"/>
                <w:color w:val="auto"/>
              </w:rPr>
            </w:pPr>
          </w:p>
        </w:tc>
      </w:tr>
      <w:tr>
        <w:trPr>
          <w:trHeight w:val="20"/>
        </w:trPr>
        <w:tc>
          <w:tcPr>
            <w:tcW w:w="5220" w:type="dxa"/>
            <w:vAlign w:val="bottom"/>
            <w:tcBorders>
              <w:top w:val="single" w:sz="8" w:color="CFF0FC"/>
            </w:tcBorders>
            <w:shd w:val="clear" w:color="auto" w:fill="CFF0FC"/>
          </w:tcPr>
          <w:p>
            <w:pPr>
              <w:spacing w:after="0" w:line="20" w:lineRule="exact"/>
              <w:rPr>
                <w:sz w:val="1"/>
                <w:szCs w:val="1"/>
                <w:color w:val="auto"/>
              </w:rPr>
            </w:pPr>
          </w:p>
        </w:tc>
        <w:tc>
          <w:tcPr>
            <w:tcW w:w="25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billing and cash collection results in the recognition of accounts receivable, unbilled receivables, contract assets and deferred revenue in the Company’s condensed consolidated balance sheets.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funds received in excess of revenue recognized that is contingent upon the satisfaction of performance obligations is accounted for as deferred revenue.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assets include unbilled receivables which are amounts resulting from timing differences between revenue recognition and billing in accordance with agreed-upon contractual terms, which typically occur subsequent to revenue being recognized.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opening and closing balances of our accounts receivable, unbilled receivables, contract assets and deferred revenue as of March 31,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Deferred</w:t>
            </w:r>
          </w:p>
        </w:tc>
      </w:tr>
      <w:tr>
        <w:trPr>
          <w:trHeight w:val="203"/>
        </w:trPr>
        <w:tc>
          <w:tcPr>
            <w:tcW w:w="4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Accounts</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Unbilled</w:t>
            </w:r>
          </w:p>
        </w:tc>
        <w:tc>
          <w:tcPr>
            <w:tcW w:w="260" w:type="dxa"/>
            <w:vAlign w:val="bottom"/>
          </w:tcPr>
          <w:p>
            <w:pPr>
              <w:spacing w:after="0"/>
              <w:rPr>
                <w:sz w:val="17"/>
                <w:szCs w:val="17"/>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Contract Assets</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Revenue</w:t>
            </w:r>
          </w:p>
        </w:tc>
      </w:tr>
      <w:tr>
        <w:trPr>
          <w:trHeight w:val="218"/>
        </w:trPr>
        <w:tc>
          <w:tcPr>
            <w:tcW w:w="4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00" w:type="dxa"/>
            <w:vAlign w:val="bottom"/>
          </w:tcPr>
          <w:p>
            <w:pPr>
              <w:spacing w:after="0"/>
              <w:rPr>
                <w:sz w:val="18"/>
                <w:szCs w:val="18"/>
                <w:color w:val="auto"/>
              </w:rPr>
            </w:pPr>
          </w:p>
        </w:tc>
      </w:tr>
      <w:tr>
        <w:trPr>
          <w:trHeight w:val="196"/>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Ending Balance as of December 31, 2024</w:t>
            </w: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4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shd w:val="clear" w:color="auto" w:fill="CFF0FC"/>
          </w:tcPr>
          <w:p>
            <w:pPr>
              <w:spacing w:after="0"/>
              <w:rPr>
                <w:sz w:val="17"/>
                <w:szCs w:val="17"/>
                <w:color w:val="auto"/>
              </w:rPr>
            </w:pPr>
          </w:p>
        </w:tc>
      </w:tr>
      <w:tr>
        <w:trPr>
          <w:trHeight w:val="203"/>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(Decrease)/increase, net</w:t>
            </w: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(248)</w:t>
            </w:r>
          </w:p>
        </w:tc>
      </w:tr>
      <w:tr>
        <w:trPr>
          <w:trHeight w:val="20"/>
        </w:trPr>
        <w:tc>
          <w:tcPr>
            <w:tcW w:w="4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Ending Balance as of March 31, 2025</w:t>
            </w: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1,770</w:t>
            </w:r>
          </w:p>
        </w:tc>
        <w:tc>
          <w:tcPr>
            <w:tcW w:w="4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426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-24765</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-8255</wp:posOffset>
            </wp:positionV>
            <wp:extent cx="768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768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-8255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its current contract assets, long-term contract assets and current deferred revenue within prepaid expenses and other current assets, other non-current assets and accrued liabilities, respectively. During the three months ended March 31, 2025, the Company recognized all of the deferred revenue which existed at December 31, 2024. During the three months ended March 31, 2024, the Company did not recognize any revenue related to deferred revenue which existed at December 31, 2023.</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2025, the Company had backlog, or revenue related to remaining performance obligations, of $1.9 million. The Company expects approximately half of this backlog to be recognized over the next 12 months. The Company’s backlog represents the expected value of exercised contracts, both funded and unfunded, less revenue recognized to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 Pronouncements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an emerging growth company (“EGC”), the Jumpstart Our Business Startups Act (“JOBS Act”) allows the Company to delay adoption of new or revised accounting pronouncements applicable to public companies until such pronouncements are applicable to private companies. The Company has elected to use this extended transition period under the JOBS Act until such time as the Company is no longer considered to be an EGC. The adoption dates discussed below reflect this election.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ASU 2023-09 requires companies to disclose, on an annual basis, specific categories in the effective tax rate reconciliation and provide additional information for reconciling items that meet a quantitative threshold. In addition, ASU 2023-09 requires companies to disclose additional information about income taxes paid. ASU 2023-09 will be effective for annual periods beginning January 1, 2026 and will be applied on a prospective basis with the option to apply the standard retrospectively. The Company does not expect a material impact on its consolidated financial statements related to ASU 2023-09.</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Income-Expense Disaggregation Disclosures (Subtopic 220-40): Disaggregation of Income Statement Expenses, requiring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Company is currently evaluating the impact of adopting ASU 2024-03.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Fair Value Measurements</w:t>
      </w:r>
    </w:p>
    <w:p>
      <w:pPr>
        <w:spacing w:after="0" w:line="200" w:lineRule="exact"/>
        <w:rPr>
          <w:sz w:val="20"/>
          <w:szCs w:val="20"/>
          <w:color w:val="auto"/>
        </w:rPr>
      </w:pP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defines fair value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fair value hierarchy defines a three-level valuation hierarchy for disclosure of fair value measurements as follows:</w:t>
      </w:r>
    </w:p>
    <w:p>
      <w:pPr>
        <w:spacing w:after="0" w:line="1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1—Fair value is based on observable inputs such as quoted prices for identical assets or liabilities in active markets.</w:t>
      </w:r>
    </w:p>
    <w:p>
      <w:pPr>
        <w:spacing w:after="0" w:line="225" w:lineRule="exact"/>
        <w:rPr>
          <w:sz w:val="20"/>
          <w:szCs w:val="20"/>
          <w:color w:val="auto"/>
        </w:rPr>
      </w:pPr>
    </w:p>
    <w:p>
      <w:pPr>
        <w:ind w:left="1660" w:hanging="897"/>
        <w:spacing w:after="0" w:line="282" w:lineRule="auto"/>
        <w:rPr>
          <w:sz w:val="20"/>
          <w:szCs w:val="20"/>
          <w:color w:val="auto"/>
        </w:rPr>
      </w:pPr>
      <w:r>
        <w:rPr>
          <w:rFonts w:ascii="Times New Roman" w:cs="Times New Roman" w:eastAsia="Times New Roman" w:hAnsi="Times New Roman"/>
          <w:sz w:val="18"/>
          <w:szCs w:val="18"/>
          <w:color w:val="auto"/>
        </w:rPr>
        <w:t>Level 2—Fair value is determined using quoted prices for similar assets or liabilities in active markets or quoted prices for identical or similar assets or liabilities in markets that are not active or are directly or indirectly observable.</w:t>
      </w:r>
    </w:p>
    <w:p>
      <w:pPr>
        <w:spacing w:after="0" w:line="162" w:lineRule="exact"/>
        <w:rPr>
          <w:sz w:val="20"/>
          <w:szCs w:val="20"/>
          <w:color w:val="auto"/>
        </w:rPr>
      </w:pPr>
    </w:p>
    <w:p>
      <w:pPr>
        <w:ind w:left="1660" w:hanging="897"/>
        <w:spacing w:after="0" w:line="282" w:lineRule="auto"/>
        <w:rPr>
          <w:sz w:val="20"/>
          <w:szCs w:val="20"/>
          <w:color w:val="auto"/>
        </w:rPr>
      </w:pPr>
      <w:r>
        <w:rPr>
          <w:rFonts w:ascii="Times New Roman" w:cs="Times New Roman" w:eastAsia="Times New Roman" w:hAnsi="Times New Roman"/>
          <w:sz w:val="18"/>
          <w:szCs w:val="18"/>
          <w:color w:val="auto"/>
        </w:rPr>
        <w:t>Level 3—Fair value is determined using one or more significant inputs that are unobservable in active markets at the measurement date, such as an option pricing model, discounted cash flow or similar technique.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Assets and Liabilities Measured at Fair Value on a Recurring Basis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a recurring basis, the Company measures certain of its financial assets and liabilities at fair value. The fair value of the Company’s financial assets and liabilities measured at fair value on a recurring basis was determined using the following inputs as of March 31, 2025 and December 31, 2024:</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As of March 31, 2025</w:t>
            </w: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7"/>
                <w:szCs w:val="17"/>
                <w:color w:val="auto"/>
              </w:rPr>
            </w:pPr>
          </w:p>
        </w:tc>
      </w:tr>
      <w:tr>
        <w:trPr>
          <w:trHeight w:val="19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Marketable securities:</w:t>
            </w:r>
          </w:p>
        </w:tc>
        <w:tc>
          <w:tcPr>
            <w:tcW w:w="2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U.S. treasury securities</w:t>
            </w:r>
          </w:p>
        </w:tc>
        <w:tc>
          <w:tcPr>
            <w:tcW w:w="23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36,582</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36,582</w:t>
            </w:r>
          </w:p>
        </w:tc>
        <w:tc>
          <w:tcPr>
            <w:tcW w:w="100" w:type="dxa"/>
            <w:vAlign w:val="bottom"/>
            <w:shd w:val="clear" w:color="auto" w:fill="CFF0FC"/>
          </w:tcPr>
          <w:p>
            <w:pPr>
              <w:spacing w:after="0"/>
              <w:rPr>
                <w:sz w:val="17"/>
                <w:szCs w:val="17"/>
                <w:color w:val="auto"/>
              </w:rPr>
            </w:pPr>
          </w:p>
        </w:tc>
      </w:tr>
      <w:tr>
        <w:trPr>
          <w:trHeight w:val="20"/>
        </w:trPr>
        <w:tc>
          <w:tcPr>
            <w:tcW w:w="3700" w:type="dxa"/>
            <w:vAlign w:val="bottom"/>
            <w:shd w:val="clear" w:color="auto" w:fill="CFF0FC"/>
          </w:tcPr>
          <w:p>
            <w:pPr>
              <w:spacing w:after="0" w:line="20" w:lineRule="exact"/>
              <w:rPr>
                <w:sz w:val="1"/>
                <w:szCs w:val="1"/>
                <w:color w:val="auto"/>
              </w:rPr>
            </w:pPr>
          </w:p>
        </w:tc>
        <w:tc>
          <w:tcPr>
            <w:tcW w:w="2100" w:type="dxa"/>
            <w:vAlign w:val="bottom"/>
            <w:shd w:val="clear" w:color="auto" w:fill="CFF0FC"/>
          </w:tcPr>
          <w:p>
            <w:pPr>
              <w:spacing w:after="0" w:line="20" w:lineRule="exact"/>
              <w:rPr>
                <w:sz w:val="1"/>
                <w:szCs w:val="1"/>
                <w:color w:val="auto"/>
              </w:rPr>
            </w:pPr>
          </w:p>
        </w:tc>
        <w:tc>
          <w:tcPr>
            <w:tcW w:w="200" w:type="dxa"/>
            <w:vAlign w:val="bottom"/>
            <w:tcBorders>
              <w:bottom w:val="single" w:sz="8" w:color="auto"/>
            </w:tcBorders>
            <w:shd w:val="clear" w:color="auto" w:fill="CFF0FC"/>
          </w:tcPr>
          <w:p>
            <w:pPr>
              <w:spacing w:after="0" w:line="20" w:lineRule="exact"/>
              <w:rPr>
                <w:sz w:val="1"/>
                <w:szCs w:val="1"/>
                <w:color w:val="auto"/>
              </w:rPr>
            </w:pPr>
          </w:p>
        </w:tc>
        <w:tc>
          <w:tcPr>
            <w:tcW w:w="960" w:type="dxa"/>
            <w:vAlign w:val="bottom"/>
            <w:tcBorders>
              <w:bottom w:val="single" w:sz="8" w:color="auto"/>
            </w:tcBorders>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tcBorders>
              <w:bottom w:val="single" w:sz="8" w:color="auto"/>
            </w:tcBorders>
            <w:shd w:val="clear" w:color="auto" w:fill="CFF0FC"/>
          </w:tcPr>
          <w:p>
            <w:pPr>
              <w:spacing w:after="0" w:line="20" w:lineRule="exact"/>
              <w:rPr>
                <w:sz w:val="1"/>
                <w:szCs w:val="1"/>
                <w:color w:val="auto"/>
              </w:rPr>
            </w:pPr>
          </w:p>
        </w:tc>
        <w:tc>
          <w:tcPr>
            <w:tcW w:w="920" w:type="dxa"/>
            <w:vAlign w:val="bottom"/>
            <w:tcBorders>
              <w:bottom w:val="single" w:sz="8" w:color="auto"/>
            </w:tcBorders>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tcBorders>
              <w:bottom w:val="single" w:sz="8" w:color="auto"/>
            </w:tcBorders>
            <w:shd w:val="clear" w:color="auto" w:fill="CFF0FC"/>
          </w:tcPr>
          <w:p>
            <w:pPr>
              <w:spacing w:after="0" w:line="20" w:lineRule="exact"/>
              <w:rPr>
                <w:sz w:val="1"/>
                <w:szCs w:val="1"/>
                <w:color w:val="auto"/>
              </w:rPr>
            </w:pPr>
          </w:p>
        </w:tc>
        <w:tc>
          <w:tcPr>
            <w:tcW w:w="920" w:type="dxa"/>
            <w:vAlign w:val="bottom"/>
            <w:tcBorders>
              <w:bottom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0"/>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100" w:type="dxa"/>
            <w:vAlign w:val="bottom"/>
          </w:tcPr>
          <w:p>
            <w:pPr>
              <w:spacing w:after="0"/>
              <w:rPr>
                <w:sz w:val="16"/>
                <w:szCs w:val="16"/>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36,582</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6"/>
                <w:szCs w:val="16"/>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36,582</w:t>
            </w:r>
          </w:p>
        </w:tc>
        <w:tc>
          <w:tcPr>
            <w:tcW w:w="100" w:type="dxa"/>
            <w:vAlign w:val="bottom"/>
          </w:tcPr>
          <w:p>
            <w:pPr>
              <w:spacing w:after="0"/>
              <w:rPr>
                <w:sz w:val="16"/>
                <w:szCs w:val="16"/>
                <w:color w:val="auto"/>
              </w:rPr>
            </w:pPr>
          </w:p>
        </w:tc>
      </w:tr>
      <w:tr>
        <w:trPr>
          <w:trHeight w:val="20"/>
        </w:trPr>
        <w:tc>
          <w:tcPr>
            <w:tcW w:w="37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37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Warrant liabilities</w:t>
            </w:r>
          </w:p>
        </w:tc>
        <w:tc>
          <w:tcPr>
            <w:tcW w:w="23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4,247</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1,507</w:t>
            </w:r>
          </w:p>
        </w:tc>
        <w:tc>
          <w:tcPr>
            <w:tcW w:w="4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16,394</w:t>
            </w:r>
          </w:p>
        </w:tc>
        <w:tc>
          <w:tcPr>
            <w:tcW w:w="4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22,148</w:t>
            </w:r>
          </w:p>
        </w:tc>
        <w:tc>
          <w:tcPr>
            <w:tcW w:w="100" w:type="dxa"/>
            <w:vAlign w:val="bottom"/>
          </w:tcPr>
          <w:p>
            <w:pPr>
              <w:spacing w:after="0"/>
              <w:rPr>
                <w:sz w:val="17"/>
                <w:szCs w:val="17"/>
                <w:color w:val="auto"/>
              </w:rPr>
            </w:pPr>
          </w:p>
        </w:tc>
      </w:tr>
      <w:tr>
        <w:trPr>
          <w:trHeight w:val="20"/>
        </w:trPr>
        <w:tc>
          <w:tcPr>
            <w:tcW w:w="37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23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4,247</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1,507</w:t>
            </w:r>
          </w:p>
        </w:tc>
        <w:tc>
          <w:tcPr>
            <w:tcW w:w="4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16,394</w:t>
            </w:r>
          </w:p>
        </w:tc>
        <w:tc>
          <w:tcPr>
            <w:tcW w:w="46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22,148</w:t>
            </w:r>
          </w:p>
        </w:tc>
        <w:tc>
          <w:tcPr>
            <w:tcW w:w="100" w:type="dxa"/>
            <w:vAlign w:val="bottom"/>
            <w:shd w:val="clear" w:color="auto" w:fill="CFF0FC"/>
          </w:tcPr>
          <w:p>
            <w:pPr>
              <w:spacing w:after="0"/>
              <w:rPr>
                <w:sz w:val="18"/>
                <w:szCs w:val="18"/>
                <w:color w:val="auto"/>
              </w:rPr>
            </w:pPr>
          </w:p>
        </w:tc>
      </w:tr>
      <w:tr>
        <w:trPr>
          <w:trHeight w:val="20"/>
        </w:trPr>
        <w:tc>
          <w:tcPr>
            <w:tcW w:w="3700" w:type="dxa"/>
            <w:vAlign w:val="bottom"/>
            <w:tcBorders>
              <w:top w:val="single" w:sz="8" w:color="CFF0FC"/>
            </w:tcBorders>
            <w:shd w:val="clear" w:color="auto" w:fill="CFF0FC"/>
          </w:tcPr>
          <w:p>
            <w:pPr>
              <w:spacing w:after="0" w:line="20" w:lineRule="exact"/>
              <w:rPr>
                <w:sz w:val="1"/>
                <w:szCs w:val="1"/>
                <w:color w:val="auto"/>
              </w:rPr>
            </w:pPr>
          </w:p>
        </w:tc>
        <w:tc>
          <w:tcPr>
            <w:tcW w:w="2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-719455</wp:posOffset>
            </wp:positionV>
            <wp:extent cx="768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-24765</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-8255</wp:posOffset>
            </wp:positionV>
            <wp:extent cx="768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7683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-8255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2"/>
        </w:trPr>
        <w:tc>
          <w:tcPr>
            <w:tcW w:w="37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7"/>
                <w:szCs w:val="17"/>
                <w:color w:val="auto"/>
              </w:rPr>
            </w:pPr>
          </w:p>
        </w:tc>
      </w:tr>
      <w:tr>
        <w:trPr>
          <w:trHeight w:val="196"/>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6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Cash equivalents:</w:t>
            </w:r>
          </w:p>
        </w:tc>
        <w:tc>
          <w:tcPr>
            <w:tcW w:w="2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U.S. Treasury securities</w:t>
            </w:r>
          </w:p>
        </w:tc>
        <w:tc>
          <w:tcPr>
            <w:tcW w:w="2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12,927</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12,927</w:t>
            </w:r>
          </w:p>
        </w:tc>
      </w:tr>
      <w:tr>
        <w:trPr>
          <w:trHeight w:val="203"/>
        </w:trPr>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Marketable securities:</w:t>
            </w:r>
          </w:p>
        </w:tc>
        <w:tc>
          <w:tcPr>
            <w:tcW w:w="2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7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U.S. treasury securities</w:t>
            </w:r>
          </w:p>
        </w:tc>
        <w:tc>
          <w:tcPr>
            <w:tcW w:w="20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8,883</w:t>
            </w: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8,883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21,810</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21,810</w:t>
            </w:r>
          </w:p>
        </w:tc>
      </w:tr>
      <w:tr>
        <w:trPr>
          <w:trHeight w:val="20"/>
        </w:trPr>
        <w:tc>
          <w:tcPr>
            <w:tcW w:w="37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37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0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Warrant liabilities</w:t>
            </w:r>
          </w:p>
        </w:tc>
        <w:tc>
          <w:tcPr>
            <w:tcW w:w="2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11,630</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4,128</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35,638</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51,396</w:t>
            </w:r>
          </w:p>
        </w:tc>
      </w:tr>
      <w:tr>
        <w:trPr>
          <w:trHeight w:val="20"/>
        </w:trPr>
        <w:tc>
          <w:tcPr>
            <w:tcW w:w="37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2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11,630</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4,128</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35,638</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51,396</w:t>
            </w:r>
          </w:p>
        </w:tc>
      </w:tr>
      <w:tr>
        <w:trPr>
          <w:trHeight w:val="20"/>
        </w:trPr>
        <w:tc>
          <w:tcPr>
            <w:tcW w:w="3740" w:type="dxa"/>
            <w:vAlign w:val="bottom"/>
            <w:tcBorders>
              <w:top w:val="single" w:sz="8" w:color="CFF0FC"/>
            </w:tcBorders>
            <w:shd w:val="clear" w:color="auto" w:fill="CFF0FC"/>
          </w:tcPr>
          <w:p>
            <w:pPr>
              <w:spacing w:after="0" w:line="20" w:lineRule="exact"/>
              <w:rPr>
                <w:sz w:val="1"/>
                <w:szCs w:val="1"/>
                <w:color w:val="auto"/>
              </w:rPr>
            </w:pPr>
          </w:p>
        </w:tc>
        <w:tc>
          <w:tcPr>
            <w:tcW w:w="20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-719455</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-719455</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-719455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-719455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-24765</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2025, the Company held $36.6 million of available-for-sale debt securities with maturity dates within one year. The fair value of the Company's available-for-sale debt securities approximates their amortized cost basis. The Company considers all highly liquid investments purchased with an original maturity of three months or less to be cash equivalents. The carrying amounts of accounts receivable, unbilled receivables, accounts payable and accrued expenses approximate their fair values because of the relatively short periods until they are required to be settled.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Balance Sheet Components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and December 31, 2024, inventories, net consisted of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tcPr>
          <w:p>
            <w:pPr>
              <w:spacing w:after="0"/>
              <w:rPr>
                <w:sz w:val="18"/>
                <w:szCs w:val="18"/>
                <w:color w:val="auto"/>
              </w:rPr>
            </w:pPr>
          </w:p>
        </w:tc>
      </w:tr>
      <w:tr>
        <w:trPr>
          <w:trHeight w:val="19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Raw materials</w:t>
            </w:r>
          </w:p>
        </w:tc>
        <w:tc>
          <w:tcPr>
            <w:tcW w:w="3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FF0FC"/>
          </w:tcPr>
          <w:p>
            <w:pPr>
              <w:spacing w:after="0"/>
              <w:rPr>
                <w:sz w:val="17"/>
                <w:szCs w:val="17"/>
                <w:color w:val="auto"/>
              </w:rPr>
            </w:pPr>
          </w:p>
        </w:tc>
      </w:tr>
      <w:tr>
        <w:trPr>
          <w:trHeight w:val="203"/>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Work-in-process</w:t>
            </w:r>
          </w:p>
        </w:tc>
        <w:tc>
          <w:tcPr>
            <w:tcW w:w="3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450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Total inventories</w:t>
            </w:r>
          </w:p>
        </w:tc>
        <w:tc>
          <w:tcPr>
            <w:tcW w:w="3240" w:type="dxa"/>
            <w:vAlign w:val="bottom"/>
            <w:tcBorders>
              <w:top w:val="single" w:sz="8" w:color="CFF0FC"/>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-162560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and December 31, 2024, prepaid expenses and other current assets consist of the following:</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tcPr>
          <w:p>
            <w:pPr>
              <w:spacing w:after="0"/>
              <w:rPr>
                <w:sz w:val="18"/>
                <w:szCs w:val="18"/>
                <w:color w:val="auto"/>
              </w:rPr>
            </w:pPr>
          </w:p>
        </w:tc>
      </w:tr>
      <w:tr>
        <w:trPr>
          <w:trHeight w:val="19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Prepaid insurance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367</w:t>
            </w: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Software</w:t>
            </w: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647</w:t>
            </w:r>
          </w:p>
        </w:tc>
      </w:tr>
      <w:tr>
        <w:trPr>
          <w:trHeight w:val="203"/>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prepaid expenses and assets</w:t>
            </w:r>
          </w:p>
        </w:tc>
        <w:tc>
          <w:tcPr>
            <w:tcW w:w="1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prepaid expenses and other current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1,617</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1,275</w:t>
            </w:r>
          </w:p>
        </w:tc>
      </w:tr>
      <w:tr>
        <w:trPr>
          <w:trHeight w:val="20"/>
        </w:trPr>
        <w:tc>
          <w:tcPr>
            <w:tcW w:w="7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-161925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and December 31, 2024, property and equipment, net consist of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40" w:type="dxa"/>
            <w:vAlign w:val="bottom"/>
          </w:tcPr>
          <w:p>
            <w:pPr>
              <w:spacing w:after="0"/>
              <w:rPr>
                <w:sz w:val="18"/>
                <w:szCs w:val="18"/>
                <w:color w:val="auto"/>
              </w:rPr>
            </w:pPr>
          </w:p>
        </w:tc>
        <w:tc>
          <w:tcPr>
            <w:tcW w:w="162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0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96"/>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Robotics and manufacturing equipment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1,170</w:t>
            </w:r>
          </w:p>
        </w:tc>
        <w:tc>
          <w:tcPr>
            <w:tcW w:w="28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1,128</w:t>
            </w:r>
          </w:p>
        </w:tc>
        <w:tc>
          <w:tcPr>
            <w:tcW w:w="100" w:type="dxa"/>
            <w:vAlign w:val="bottom"/>
            <w:shd w:val="clear" w:color="auto" w:fill="CFF0FC"/>
          </w:tcPr>
          <w:p>
            <w:pPr>
              <w:spacing w:after="0"/>
              <w:rPr>
                <w:sz w:val="17"/>
                <w:szCs w:val="17"/>
                <w:color w:val="auto"/>
              </w:rPr>
            </w:pPr>
          </w:p>
        </w:tc>
      </w:tr>
      <w:tr>
        <w:trPr>
          <w:trHeight w:val="203"/>
        </w:trPr>
        <w:tc>
          <w:tcPr>
            <w:tcW w:w="7800" w:type="dxa"/>
            <w:vAlign w:val="bottom"/>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3,927</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3,927</w:t>
            </w:r>
          </w:p>
        </w:tc>
        <w:tc>
          <w:tcPr>
            <w:tcW w:w="100" w:type="dxa"/>
            <w:vAlign w:val="bottom"/>
          </w:tcPr>
          <w:p>
            <w:pPr>
              <w:spacing w:after="0"/>
              <w:rPr>
                <w:sz w:val="17"/>
                <w:szCs w:val="17"/>
                <w:color w:val="auto"/>
              </w:rPr>
            </w:pPr>
          </w:p>
        </w:tc>
      </w:tr>
      <w:tr>
        <w:trPr>
          <w:trHeight w:val="203"/>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Computer equipment</w:t>
            </w: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1,304</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1,251</w:t>
            </w:r>
          </w:p>
        </w:tc>
        <w:tc>
          <w:tcPr>
            <w:tcW w:w="100" w:type="dxa"/>
            <w:vAlign w:val="bottom"/>
            <w:shd w:val="clear" w:color="auto" w:fill="CFF0FC"/>
          </w:tcPr>
          <w:p>
            <w:pPr>
              <w:spacing w:after="0"/>
              <w:rPr>
                <w:sz w:val="17"/>
                <w:szCs w:val="17"/>
                <w:color w:val="auto"/>
              </w:rPr>
            </w:pPr>
          </w:p>
        </w:tc>
      </w:tr>
      <w:tr>
        <w:trPr>
          <w:trHeight w:val="203"/>
        </w:trPr>
        <w:tc>
          <w:tcPr>
            <w:tcW w:w="7800" w:type="dxa"/>
            <w:vAlign w:val="bottom"/>
          </w:tcPr>
          <w:p>
            <w:pPr>
              <w:spacing w:after="0"/>
              <w:rPr>
                <w:sz w:val="20"/>
                <w:szCs w:val="20"/>
                <w:color w:val="auto"/>
              </w:rPr>
            </w:pPr>
            <w:r>
              <w:rPr>
                <w:rFonts w:ascii="Times New Roman" w:cs="Times New Roman" w:eastAsia="Times New Roman" w:hAnsi="Times New Roman"/>
                <w:sz w:val="16"/>
                <w:szCs w:val="16"/>
                <w:color w:val="auto"/>
              </w:rPr>
              <w:t>Software</w:t>
            </w:r>
          </w:p>
        </w:tc>
        <w:tc>
          <w:tcPr>
            <w:tcW w:w="140" w:type="dxa"/>
            <w:vAlign w:val="bottom"/>
          </w:tcPr>
          <w:p>
            <w:pPr>
              <w:spacing w:after="0"/>
              <w:rPr>
                <w:sz w:val="17"/>
                <w:szCs w:val="17"/>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r>
      <w:tr>
        <w:trPr>
          <w:trHeight w:val="203"/>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Furniture and fixtures, and other fixed assets</w:t>
            </w:r>
          </w:p>
        </w:tc>
        <w:tc>
          <w:tcPr>
            <w:tcW w:w="1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28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100" w:type="dxa"/>
            <w:vAlign w:val="bottom"/>
            <w:shd w:val="clear" w:color="auto" w:fill="CFF0FC"/>
          </w:tcPr>
          <w:p>
            <w:pPr>
              <w:spacing w:after="0"/>
              <w:rPr>
                <w:sz w:val="17"/>
                <w:szCs w:val="17"/>
                <w:color w:val="auto"/>
              </w:rPr>
            </w:pPr>
          </w:p>
        </w:tc>
      </w:tr>
      <w:tr>
        <w:trPr>
          <w:trHeight w:val="196"/>
        </w:trPr>
        <w:tc>
          <w:tcPr>
            <w:tcW w:w="7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and equipment, gross</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7,352</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7,258</w:t>
            </w:r>
          </w:p>
        </w:tc>
        <w:tc>
          <w:tcPr>
            <w:tcW w:w="100" w:type="dxa"/>
            <w:vAlign w:val="bottom"/>
          </w:tcPr>
          <w:p>
            <w:pPr>
              <w:spacing w:after="0"/>
              <w:rPr>
                <w:sz w:val="17"/>
                <w:szCs w:val="17"/>
                <w:color w:val="auto"/>
              </w:rPr>
            </w:pPr>
          </w:p>
        </w:tc>
      </w:tr>
      <w:tr>
        <w:trPr>
          <w:trHeight w:val="203"/>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Accumulated depreciation</w:t>
            </w:r>
          </w:p>
        </w:tc>
        <w:tc>
          <w:tcPr>
            <w:tcW w:w="14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(3,237)</w:t>
            </w:r>
          </w:p>
        </w:tc>
        <w:tc>
          <w:tcPr>
            <w:tcW w:w="1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(3,014)</w:t>
            </w:r>
          </w:p>
        </w:tc>
      </w:tr>
      <w:tr>
        <w:trPr>
          <w:trHeight w:val="196"/>
        </w:trPr>
        <w:tc>
          <w:tcPr>
            <w:tcW w:w="780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4,115</w:t>
            </w:r>
          </w:p>
        </w:tc>
        <w:tc>
          <w:tcPr>
            <w:tcW w:w="280" w:type="dxa"/>
            <w:vAlign w:val="bottom"/>
            <w:tcBorders>
              <w:top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4,244</w:t>
            </w:r>
          </w:p>
        </w:tc>
        <w:tc>
          <w:tcPr>
            <w:tcW w:w="100" w:type="dxa"/>
            <w:vAlign w:val="bottom"/>
            <w:tcBorders>
              <w:top w:val="single" w:sz="8" w:color="CFF0FC"/>
            </w:tcBorders>
          </w:tcPr>
          <w:p>
            <w:pPr>
              <w:spacing w:after="0"/>
              <w:rPr>
                <w:sz w:val="17"/>
                <w:szCs w:val="17"/>
                <w:color w:val="auto"/>
              </w:rPr>
            </w:pPr>
          </w:p>
        </w:tc>
      </w:tr>
      <w:tr>
        <w:trPr>
          <w:trHeight w:val="20"/>
        </w:trPr>
        <w:tc>
          <w:tcPr>
            <w:tcW w:w="7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-161925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expenses were $0.2 million for the three months ended March 31, 2025 and 2024,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Accrued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and December 31, 2024, accrued liabilities consist of the following:</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tcPr>
          <w:p>
            <w:pPr>
              <w:spacing w:after="0"/>
              <w:rPr>
                <w:sz w:val="18"/>
                <w:szCs w:val="18"/>
                <w:color w:val="auto"/>
              </w:rPr>
            </w:pPr>
          </w:p>
        </w:tc>
      </w:tr>
      <w:tr>
        <w:trPr>
          <w:trHeight w:val="196"/>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Payroll and related costs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1,114</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1,811</w:t>
            </w:r>
          </w:p>
        </w:tc>
        <w:tc>
          <w:tcPr>
            <w:tcW w:w="100" w:type="dxa"/>
            <w:vAlign w:val="bottom"/>
            <w:shd w:val="clear" w:color="auto" w:fill="CFF0FC"/>
          </w:tcPr>
          <w:p>
            <w:pPr>
              <w:spacing w:after="0"/>
              <w:rPr>
                <w:sz w:val="17"/>
                <w:szCs w:val="17"/>
                <w:color w:val="auto"/>
              </w:rPr>
            </w:pPr>
          </w:p>
        </w:tc>
      </w:tr>
      <w:tr>
        <w:trPr>
          <w:trHeight w:val="203"/>
        </w:trPr>
        <w:tc>
          <w:tcPr>
            <w:tcW w:w="7800" w:type="dxa"/>
            <w:vAlign w:val="bottom"/>
          </w:tcPr>
          <w:p>
            <w:pPr>
              <w:spacing w:after="0"/>
              <w:rPr>
                <w:sz w:val="20"/>
                <w:szCs w:val="20"/>
                <w:color w:val="auto"/>
              </w:rPr>
            </w:pPr>
            <w:r>
              <w:rPr>
                <w:rFonts w:ascii="Times New Roman" w:cs="Times New Roman" w:eastAsia="Times New Roman" w:hAnsi="Times New Roman"/>
                <w:sz w:val="16"/>
                <w:szCs w:val="16"/>
                <w:color w:val="auto"/>
              </w:rPr>
              <w:t>Legal services accrual</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Pr>
          <w:p>
            <w:pPr>
              <w:spacing w:after="0"/>
              <w:rPr>
                <w:sz w:val="17"/>
                <w:szCs w:val="17"/>
                <w:color w:val="auto"/>
              </w:rPr>
            </w:pPr>
          </w:p>
        </w:tc>
      </w:tr>
      <w:tr>
        <w:trPr>
          <w:trHeight w:val="203"/>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shd w:val="clear" w:color="auto" w:fill="CFF0FC"/>
          </w:tcPr>
          <w:p>
            <w:pPr>
              <w:spacing w:after="0"/>
              <w:rPr>
                <w:sz w:val="17"/>
                <w:szCs w:val="17"/>
                <w:color w:val="auto"/>
              </w:rPr>
            </w:pPr>
          </w:p>
        </w:tc>
      </w:tr>
      <w:tr>
        <w:trPr>
          <w:trHeight w:val="203"/>
        </w:trPr>
        <w:tc>
          <w:tcPr>
            <w:tcW w:w="7800" w:type="dxa"/>
            <w:vAlign w:val="bottom"/>
          </w:tcPr>
          <w:p>
            <w:pPr>
              <w:spacing w:after="0"/>
              <w:rPr>
                <w:sz w:val="20"/>
                <w:szCs w:val="20"/>
                <w:color w:val="auto"/>
              </w:rPr>
            </w:pPr>
            <w:r>
              <w:rPr>
                <w:rFonts w:ascii="Times New Roman" w:cs="Times New Roman" w:eastAsia="Times New Roman" w:hAnsi="Times New Roman"/>
                <w:sz w:val="16"/>
                <w:szCs w:val="16"/>
                <w:color w:val="auto"/>
              </w:rPr>
              <w:t>Other contract liabilities</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00" w:type="dxa"/>
            <w:vAlign w:val="bottom"/>
          </w:tcPr>
          <w:p>
            <w:pPr>
              <w:spacing w:after="0"/>
              <w:rPr>
                <w:sz w:val="17"/>
                <w:szCs w:val="17"/>
                <w:color w:val="auto"/>
              </w:rPr>
            </w:pPr>
          </w:p>
        </w:tc>
      </w:tr>
      <w:tr>
        <w:trPr>
          <w:trHeight w:val="203"/>
        </w:trPr>
        <w:tc>
          <w:tcPr>
            <w:tcW w:w="7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accrued expenses and current liabilities</w:t>
            </w:r>
          </w:p>
        </w:tc>
        <w:tc>
          <w:tcPr>
            <w:tcW w:w="1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accrued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1,874</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2,919</w:t>
            </w:r>
          </w:p>
        </w:tc>
        <w:tc>
          <w:tcPr>
            <w:tcW w:w="100" w:type="dxa"/>
            <w:vAlign w:val="bottom"/>
          </w:tcPr>
          <w:p>
            <w:pPr>
              <w:spacing w:after="0"/>
              <w:rPr>
                <w:sz w:val="17"/>
                <w:szCs w:val="17"/>
                <w:color w:val="auto"/>
              </w:rPr>
            </w:pPr>
          </w:p>
        </w:tc>
      </w:tr>
      <w:tr>
        <w:trPr>
          <w:trHeight w:val="20"/>
        </w:trPr>
        <w:tc>
          <w:tcPr>
            <w:tcW w:w="7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-162560</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Earn-Out Shares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24, 2021 (the "Closing Date"), Rotor Acquisition Corp. ("Rotor"), a Delaware corporation, consummated the business combination (the "Business Combination") pursuant to the terms of the Agreement and Plan of Merger, dated as of April 5, 2021 (the "Original Merger Agreement"), by and among Rotor, Rotor Merger Sub Corp., a Delaware corporation and a direct, wholly-owned subsidiary of Rotor ("Merger Sub"), and Sarcos Corp., a Utah corporation ("Old Sarcos"), and Amendment No. 1 to the Agreement and Plan of Merger, dated as of August 28, 2021 (the "Amendment" and the Original Merger Agreement, as amended, the "Merger Agreement"), by and among Rotor, Merger Sub and Old Sarcos. Pursuant to the terms of the Merger Agreement, the Business Combination between Rotor and Old Sarcos was effected through the merger of Merger Sub with and into Old Sarcos, with Old Sarcos continuing as the surviving corporation (the "Merger") and a wholly-owned subsidiary of Rotor. On the Closing Date, Rotor changed its name to Sarcos Technology and Robotics Corporation. To reflect the Company's transition from a hardware-focused company to an AI software-focused company, in March 2024 the Company changed its name from Sarcos Technology and Robotics Corporation to Palladyne AI Corp.</w:t>
      </w:r>
    </w:p>
    <w:p>
      <w:pPr>
        <w:spacing w:after="0" w:line="1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Business Combination, each holder of Old Sarcos capital stock is entitled to Contingent Merger Consideration following the closing of the Business Combination in the form of earn-outs, up to an aggregate of 4,687,500 shares of Common Stock (the "Earn-Out Shares"). The Earn-Out Shares will become payable as follows:</w:t>
      </w:r>
    </w:p>
    <w:p>
      <w:pPr>
        <w:spacing w:after="0" w:line="176" w:lineRule="exact"/>
        <w:rPr>
          <w:sz w:val="20"/>
          <w:szCs w:val="20"/>
          <w:color w:val="auto"/>
        </w:rPr>
      </w:pPr>
    </w:p>
    <w:p>
      <w:pPr>
        <w:jc w:val="both"/>
        <w:ind w:left="102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2,343,750 shares of Common Stock of the Company in the aggregate if the closing share price of a share of Common Stock of the Company is equal to or exceeds $90.00 for 20 trading days in any 30 consecutive trading day period at any time during the period beginning on the first anniversary of the Closing Date and ending on the fourth anniversary of the Closing Date.</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2,343,750 shares of Common Stock of the Company if the closing share price of a share of Common Stock of the Company is equal to or exceeds $120.00 for 20 trading days in any 30 consecutive trading day period at any time during the period beginning on the first anniversary of the Closing Date and ending on the fifth anniversary of the Closing Date.</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Earn-Out Shares are treated as equity-linked instruments as opposed to shares outstanding, and as such are not included in shares outstanding on the Company's condensed consolidated balance sheets. As of March 31, 2025, there remained 4,687,500 Earn-Out Shares potentially issuable.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DeSPAC Warrants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20, 2021, Rotor consummated the initial public offering ("IPO") of 27,600,000 units (the "Units"), including the full exercise by the underwriters of their over-allotment option. Each Unit included one sixth of a share of Class A Common Stock and one half of one warrant (the "deSPAC Public Warrants"). Simultaneously with the closing of the IPO, Rotor consummated the sale of 7,270,000 warrants (the "deSPAC Private Placement Warrants") in a private placement to Rotor Sponsor LLC (the "Sponsor"), an affiliate of Rotor's officers and directors, and certain funds and accounts managed by two qualified institutional buyers. At the Closing Date, Old Sarcos acquired the net liabilities from Rotor, including the deSPAC Public Warrants, and the deSPAC Private Placement Warrants (together the "deSPAC Warrants"). The deSPAC Public Warrants are listed and traded under the PDYNW ticker symbol on the Nasdaq Global Market.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 w:name="page16"/>
    <w:bookmarkEnd w:id="15"/>
    <w:p>
      <w:pPr>
        <w:jc w:val="both"/>
        <w:spacing w:after="0" w:line="254" w:lineRule="auto"/>
        <w:rPr>
          <w:sz w:val="20"/>
          <w:szCs w:val="20"/>
          <w:color w:val="auto"/>
        </w:rPr>
      </w:pPr>
      <w:r>
        <w:rPr>
          <w:rFonts w:ascii="Times New Roman" w:cs="Times New Roman" w:eastAsia="Times New Roman" w:hAnsi="Times New Roman"/>
          <w:sz w:val="18"/>
          <w:szCs w:val="18"/>
          <w:color w:val="auto"/>
        </w:rPr>
        <w:t>Each whole deSPAC Warrant entitles the registered holder to purchase one sixth of a share of the Company's Common Stock at a price of $11.50 per warrant, subject to adjustment as discussed below, at any time commencing on January 20, 2022, provided that the Company has an effective registration statement under the Securities Act of 1933, as amended (the "Securities Act") covering the shares of the Common Stock issuable upon exercise of the deSPAC Warrants and a current prospectus relating to them is available (or the Company permits holders to exercise their deSPAC Warrants on a cashless basis under the circumstances specified in the warrant agreement (the "deSPAC Warrant Agreement") entered into between Continental Stock Transfer &amp; Trust Company and Rotor and such shares are registered, qualified or exempt from registration under the securities laws of the state of residence of the holder. Pursuant to the deSPAC Warrant Agreement, a deSPAC Warrant holder may exercise its deSPAC Warrants only for a whole number of shares of the Company's Common Stock. The deSPAC Warrants will expire five years after the completion of the Business Combination, or September 24, 2026, at 5:00 p.m., New York City time, or earlier upon redemption or liquidation. As of March 31, 2025, there were 20,549,453 DeSPAC Warrants outstanding.</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will not be obligated to deliver any Common Stock pursuant to the exercise of a deSPAC Warrant and will have no obligation to settle such deSPAC Warrant exercise unless a registration statement under the Securities Act with respect to the shares of Common Stock underlying the deSPAC Warrants is then effective and a prospectus relating thereto is current, subject to the Company satisfying its obligations described below with respect to registration, or a valid exemption from registration is available. No deSPAC Warrant will be exercisable, and the Company will not be obligated to issue a share of Common Stock upon exercise of a deSPAC Warrant unless the share of the Company's Common Stock issuable upon such deSPAC Warrant exercise has been registered, qualified or deemed to be exempt under the securities laws of the state of residence of the registered holder of the deSPAC Warrants. If the conditions in the two immediately preceding sentences are not satisfied with respect to a deSPAC Warrant, the holder of such deSPAC Warrant will not be entitled to exercise such deSPAC Warrant and such deSPAC Warrant may have no value and expire worthless. In no event will the Company be required to net cash settle any deSPAC Warrant. In the event a registration statement is not effective for the exercised deSPAC Warrants, the purchaser in the Rotor IPO of a Unit containing such deSPAC Warrant will have paid the full purchase price for the Unit solely for the share of the Company's Common Stock underlying such Unit.</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Except as described herein, the deSPAC Private Placement Warrants have terms and provisions that are identical to those of the deSPAC Public Warrants. If the deSPAC Private Placement Warrants are held by holders other than the initial purchasers or their permitted transferees, the deSPAC Private Placement Warrants will be redeemable by the Company in all redemption scenarios and exercisable by the holders on the same basis as the deSPAC Public Warrants. The deSPAC Private Placement Warrants will not be redeemable by the Company so long as they are held by the initial purchasers or their permitted transferees, subject to certain exceptions. The initial purchasers or their permitted transferees, have the option to exercise the deSPAC Private Placement Warrants on a cashless basis.</w:t>
      </w:r>
    </w:p>
    <w:p>
      <w:pPr>
        <w:spacing w:after="0" w:line="18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Redemption of deSPAC Warrants When the Price per Share of the Company's Common Stock Equals or Exceeds $108.00. </w:t>
      </w:r>
      <w:r>
        <w:rPr>
          <w:rFonts w:ascii="Times New Roman" w:cs="Times New Roman" w:eastAsia="Times New Roman" w:hAnsi="Times New Roman"/>
          <w:sz w:val="18"/>
          <w:szCs w:val="18"/>
          <w:color w:val="auto"/>
        </w:rPr>
        <w:t>Once the deSPAC Warrants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become exercisable, the Company may call the deSPAC Warrants for redemption:</w:t>
      </w:r>
    </w:p>
    <w:p>
      <w:pPr>
        <w:spacing w:after="0" w:line="120" w:lineRule="exact"/>
        <w:rPr>
          <w:sz w:val="20"/>
          <w:szCs w:val="20"/>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deSPAC Warrant;</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(the "30-day redemption period") to each deSPAC Warrant holder; and</w:t>
      </w:r>
    </w:p>
    <w:p>
      <w:pPr>
        <w:spacing w:after="0" w:line="184"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reported sale price of the shares of the Company's Common Stock for any 20 trading days within a 30-trading day period commencing after the deSPAC Warrants become exercisable and ending three business days before the Company sends the notice of redemption to the deSPAC Warrant holders (which is referred to as the "Reference Value") equals or exceeds $108.00 per share (as adjusted for stock splits, stock dividends, reorganizations, recapitalizations and the like).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and when the deSPAC Warrants become redeemable by the Company, the Company may exercise its redemption right even if it is unable to register or qualify the underlying securities for sale under all applicable state securities laws. However, the Company will not redeem the deSPAC Warrants unless an effective registration statement under the Securities Act covering the shares of the Company's Common Stock issuable upon exercise of the deSPAC Warrants is effective and a current prospectus relating to those shares of the Company's Common Stock is available throughout the 30-day redemption period.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6" w:name="page17"/>
    <w:bookmarkEnd w:id="16"/>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Redemption of deSPAC Warrants When the Price per Share of Our Common Stock Equals or Exceeds $60.00. </w:t>
      </w:r>
      <w:r>
        <w:rPr>
          <w:rFonts w:ascii="Times New Roman" w:cs="Times New Roman" w:eastAsia="Times New Roman" w:hAnsi="Times New Roman"/>
          <w:sz w:val="18"/>
          <w:szCs w:val="18"/>
          <w:color w:val="auto"/>
        </w:rPr>
        <w:t>Once the deSPAC Warrants become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exercisable, the Company may redeem the outstanding deSPAC Warrants (except as described herein with respect to the deSPAC Private Placement Warrants if the Company does not utilize this redemption provision):</w:t>
      </w:r>
    </w:p>
    <w:p>
      <w:pPr>
        <w:spacing w:after="0" w:line="135"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98"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deSPAC Warrant upon a minimum of 30 days' prior written notice of redemption; provided that holders will be able to exercise their deSPAC Warrants on a cashless basis prior to redemption and receive that number of shares determined by reference to an agreed table based on the redemption date and the "fair market value" of the Company's Common Stock;</w:t>
      </w:r>
    </w:p>
    <w:p>
      <w:pPr>
        <w:spacing w:after="0" w:line="13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Reference Value (as defined above) equals or exceeds $60.00 per share (as adjusted for stock splits, stock dividends, reorganizations, recapitalizations and the like); and</w:t>
      </w:r>
    </w:p>
    <w:p>
      <w:pPr>
        <w:spacing w:after="0" w:line="12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Reference Value is less than $108.00 per share (as adjusted for stock splits, stock dividends, reorganizations, recapitalizations and the like) the deSPAC Private Placement Warrants must also be concurrently called for redemption on the same terms (except as described above with respect to a holder's ability to cashless exercise its deSPAC Warrants) as the outstanding deSPAC Public Warrants, as described above.</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Both the deSPAC Public Warrants and the deSPAC Private Placement Warrants are recorded as warrant liabilities on the Company's consolidated balance sheets. The Company values both the deSPAC Public and deSPAC Private Placement Warrants using the closing price of the deSPAC Public Warrants on the Nasdaq Global Market as of the reporting date. The fair value measurement for the deSPAC Public Warrants is considered a level 1 fair value measurement, and the fair value measurement for the deSPAC Private Placement Warrants is considered a level 2 fair value measurement, as the deSPAC Private Placement Warrants are substantially the same, but not identical to, the deSPAC Public Warrants.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recognized gains of $10.0 million and losses of $0.2 million related to the change in fair value of the deSPAC Warrants during the three months ended March 31, 2025 and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2024 Warrants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On November 1, 2024, the Company closed a registered direct offering for an aggregate of 2,790,700 shares of its common stock at a purchase price of $2.15 per share. In a concurrent private placement, the Company agreed to issue to the same investor warrants to purchase up to 2,790,700 shares of common stock (the "2024 Private Placement Warrants"). The 2024 Private Placement Warrants have an exercise price of $2.30 per share, will be exercisable commencing six months from the date of issuance and will expire five and one-half years following the date of issue.</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In a separate concurrent private placement, the Company's Chief Executive Officer and certain other members of the Board of Directors purchased 430,105 shares of common stock at a price of $2.20 per share, which represented the consolidated closing bid price of the Company's common stock on the Nasdaq Global Market on October 30, 2024, and warrants to purchase up to 430,105 shares of common stock, at a price of $0.125 per warrant (the "2024 Concurrent Private Placement Warrants"). The 2024 Concurrent Private Placement Warrants have an exercise price of $2.30 per share, will be exercisable commencing six months from the date of issuance, and will expire five and one-half years following the date of issue.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12529"/>
        </w:rPr>
        <w:t>The Company received gross proceeds of approximately $7 million, before deducting placement agency fees and offering expenses from the registered direct offering, the 2024 Private Placement Warrants and the 2024 Concurrent Private Placement Warrants (together the "2024 Warrants").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12529"/>
        </w:rPr>
        <w:t xml:space="preserve">The 2024 Warrants are recorded as warrant liabilities on the Company's consolidated balance sheet. The Company estimated the fair value of the 2024 Warrants using the Monte Carlo valuation model, which is considered a level 3 fair value measurement. The valuation model inputs are based on </w:t>
      </w:r>
      <w:r>
        <w:rPr>
          <w:rFonts w:ascii="Times New Roman" w:cs="Times New Roman" w:eastAsia="Times New Roman" w:hAnsi="Times New Roman"/>
          <w:sz w:val="18"/>
          <w:szCs w:val="18"/>
          <w:color w:val="000000"/>
        </w:rPr>
        <w:t>assumptions related to the probability of a fundamental transaction occurring, expected volatility, expected life, risk-free interest rate and expected dividends</w:t>
      </w:r>
      <w:r>
        <w:rPr>
          <w:rFonts w:ascii="Times New Roman" w:cs="Times New Roman" w:eastAsia="Times New Roman" w:hAnsi="Times New Roman"/>
          <w:sz w:val="18"/>
          <w:szCs w:val="18"/>
          <w:color w:val="212529"/>
        </w:rPr>
        <w:t>. These estimates, especially the expected volatility, are highly judgmental and could differ materially in the future. The Company recognized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gains of $19.2 million related to the change in fair value of the 2024 Warrants during the three months ended March 31, 2025, which are recorded as a gain on warrant liabilities within the consolidated statements of operations.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The following table provides quantitative information regarding assumptions used in the valuation model to determine the fair value of the 2024 Warrants: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40" w:type="dxa"/>
            <w:vAlign w:val="bottom"/>
          </w:tcPr>
          <w:p>
            <w:pPr>
              <w:spacing w:after="0"/>
              <w:rPr>
                <w:sz w:val="18"/>
                <w:szCs w:val="18"/>
                <w:color w:val="auto"/>
              </w:rPr>
            </w:pPr>
          </w:p>
        </w:tc>
      </w:tr>
      <w:tr>
        <w:trPr>
          <w:trHeight w:val="19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 price</w:t>
            </w:r>
          </w:p>
        </w:tc>
        <w:tc>
          <w:tcPr>
            <w:tcW w:w="4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140" w:type="dxa"/>
            <w:vAlign w:val="bottom"/>
            <w:shd w:val="clear" w:color="auto" w:fill="CFF0FC"/>
          </w:tcPr>
          <w:p>
            <w:pPr>
              <w:spacing w:after="0"/>
              <w:rPr>
                <w:sz w:val="17"/>
                <w:szCs w:val="17"/>
                <w:color w:val="auto"/>
              </w:rPr>
            </w:pPr>
          </w:p>
        </w:tc>
      </w:tr>
      <w:tr>
        <w:trPr>
          <w:trHeight w:val="203"/>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Term (in years)</w:t>
            </w:r>
          </w:p>
        </w:tc>
        <w:tc>
          <w:tcPr>
            <w:tcW w:w="3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40" w:type="dxa"/>
            <w:vAlign w:val="bottom"/>
          </w:tcPr>
          <w:p>
            <w:pPr>
              <w:spacing w:after="0"/>
              <w:rPr>
                <w:sz w:val="17"/>
                <w:szCs w:val="17"/>
                <w:color w:val="auto"/>
              </w:rPr>
            </w:pPr>
          </w:p>
        </w:tc>
      </w:tr>
      <w:tr>
        <w:trPr>
          <w:trHeight w:val="203"/>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3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102.7%</w:t>
            </w:r>
          </w:p>
        </w:tc>
      </w:tr>
      <w:tr>
        <w:trPr>
          <w:trHeight w:val="203"/>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Risk-free rate</w:t>
            </w:r>
          </w:p>
        </w:tc>
        <w:tc>
          <w:tcPr>
            <w:tcW w:w="3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3.86%</w:t>
            </w:r>
          </w:p>
        </w:tc>
      </w:tr>
      <w:tr>
        <w:trPr>
          <w:trHeight w:val="203"/>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3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0.0%</w:t>
            </w:r>
          </w:p>
        </w:tc>
      </w:tr>
    </w:tbl>
    <w:p>
      <w:pPr>
        <w:spacing w:after="0" w:line="194" w:lineRule="exact"/>
        <w:rPr>
          <w:sz w:val="20"/>
          <w:szCs w:val="20"/>
          <w:color w:val="auto"/>
        </w:rPr>
      </w:pPr>
    </w:p>
    <w:p>
      <w:pPr>
        <w:ind w:right="8960" w:firstLine="8"/>
        <w:spacing w:after="0" w:line="503" w:lineRule="auto"/>
        <w:tabs>
          <w:tab w:leader="none" w:pos="1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2021 Stock Plan</w:t>
      </w: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2021 Equity Incentive Plan (the "2021 Plan") provides stock options, restricted stock units ("RSUs"), restricted stock awards ("RSAs"), stock appreciation rights ("SARS") and performance awards for issuance to Company employees, officers, directors, non-employee agents and consultants. In general, outstanding awards granted under the 2021 Plan vest over one to four years and, in the case of options, are exercisable up to 10 years from the date of grant. The maximum number of shares of Common Stock that may be issued pursuant to the 2021 Plan is (a) 5.0 million shares of Common Stock of the Company plus (b) any shares of Common Stock subject to stock options and other awards that were assumed in the Business Combination and expire or otherwise terminate without having been exercised in full, are tendered to or withheld by the Company for payment of an exercise price or for tax withholding obligations, or are forfeited to or repurchased by the Company due to failure to vest, with the maximum number of shares to be added to the 2021 Plan pursuant to clause (b) equal to 2.1 million shares of Common Stock. As of March 31, 2025, 1.9 million shares were available to grant under the 2021 Plan.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2015 Stock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Old Sarcos 2015 Equity Incentive Plan (the "2015 Plan") provided stock options, RSUs, RSAs, SARS and performance awards for issuance to Old Sarcos' employees, officers, directors, non-employee agents and consultants. Outstanding awards under the 2015 Plan generally vest over three to five years and are exercisable up to 10 years from the date of grant. Unvested options are forfeited upon termination. No further awards may be made under the 2015 Plan. Any forfeited awards will be added to the 2021 Plan as described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Inducement Plan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adopted the 2024 Inducement Equity Incentive Plan (the "Inducement Plan") with an effective date of December 15, 2024 to be used exclusively for grants of nonstatutory stock options, RSUs, RSAs, SARS and performance awards to individuals who were not previously employees or directors of the Company (or who are returning to employment following a bona fide period of non-employment), as an inducement material to the individual's entry into employment with the Company. The Inducement Plan was adopted and approved without stockholder approval pursuant to Nasdaq Listing Rule 5635(c)(4). As of March 31, 2025, 0.5 million shares were available to grant under the Inducement Plan.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Employee Stock Purchase Plan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2021 Employee Stock Purchase Plan (the "ESPP") provides for the issuance of shares of Common Stock pursuant to purchase rights granted to employees over designated offering periods, by funds accumulated primarily through elective payroll deductions. Offerings under the ESPP commenced in December 2024. As of March 31, 2025, no shares have been issued under the ESPP.</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Offering periods are generally six months long and begin on June 1 and December 1 of each year. The purchase price for shares of Common Stock purchased under the ESPP is calculated as 85% of the lesser of the fair market value of the Common Stock on (1) the first trading day of the applicable offering period or (2) the last trading day of the offering period.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Stock Option Activity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Company’s stock option activity for the three months ended March 31, 2025: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500" w:type="dxa"/>
            <w:vAlign w:val="bottom"/>
          </w:tcPr>
          <w:p>
            <w:pPr>
              <w:spacing w:after="0"/>
              <w:rPr>
                <w:sz w:val="18"/>
                <w:szCs w:val="18"/>
                <w:color w:val="auto"/>
              </w:rPr>
            </w:pPr>
          </w:p>
        </w:tc>
        <w:tc>
          <w:tcPr>
            <w:tcW w:w="3680" w:type="dxa"/>
            <w:vAlign w:val="bottom"/>
            <w:tcBorders>
              <w:bottom w:val="single" w:sz="8" w:color="auto"/>
            </w:tcBorders>
            <w:gridSpan w:val="5"/>
          </w:tcPr>
          <w:p>
            <w:pPr>
              <w:jc w:val="right"/>
              <w:ind w:right="1039"/>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2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Weighted-Average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0"/>
        </w:trPr>
        <w:tc>
          <w:tcPr>
            <w:tcW w:w="35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jc w:val="center"/>
              <w:ind w:right="59"/>
              <w:spacing w:after="0" w:line="181" w:lineRule="exact"/>
              <w:rPr>
                <w:sz w:val="20"/>
                <w:szCs w:val="20"/>
                <w:color w:val="auto"/>
              </w:rPr>
            </w:pPr>
            <w:r>
              <w:rPr>
                <w:rFonts w:ascii="Times New Roman" w:cs="Times New Roman" w:eastAsia="Times New Roman" w:hAnsi="Times New Roman"/>
                <w:sz w:val="16"/>
                <w:szCs w:val="16"/>
                <w:b w:val="1"/>
                <w:bCs w:val="1"/>
                <w:color w:val="auto"/>
              </w:rPr>
              <w:t>Weighted Average</w:t>
            </w:r>
          </w:p>
        </w:tc>
        <w:tc>
          <w:tcPr>
            <w:tcW w:w="220" w:type="dxa"/>
            <w:vAlign w:val="bottom"/>
          </w:tcPr>
          <w:p>
            <w:pPr>
              <w:spacing w:after="0"/>
              <w:rPr>
                <w:sz w:val="15"/>
                <w:szCs w:val="15"/>
                <w:color w:val="auto"/>
              </w:rPr>
            </w:pPr>
          </w:p>
        </w:tc>
        <w:tc>
          <w:tcPr>
            <w:tcW w:w="174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2"/>
          </w:tcPr>
          <w:p>
            <w:pPr>
              <w:jc w:val="center"/>
              <w:ind w:right="260"/>
              <w:spacing w:after="0" w:line="181" w:lineRule="exact"/>
              <w:rPr>
                <w:sz w:val="20"/>
                <w:szCs w:val="20"/>
                <w:color w:val="auto"/>
              </w:rPr>
            </w:pPr>
            <w:r>
              <w:rPr>
                <w:rFonts w:ascii="Times New Roman" w:cs="Times New Roman" w:eastAsia="Times New Roman" w:hAnsi="Times New Roman"/>
                <w:sz w:val="16"/>
                <w:szCs w:val="16"/>
                <w:b w:val="1"/>
                <w:bCs w:val="1"/>
                <w:color w:val="auto"/>
              </w:rPr>
              <w:t>Aggregate Intrinsic</w:t>
            </w:r>
          </w:p>
        </w:tc>
      </w:tr>
      <w:tr>
        <w:trPr>
          <w:trHeight w:val="203"/>
        </w:trPr>
        <w:tc>
          <w:tcPr>
            <w:tcW w:w="35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22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Contractual Term</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215"/>
        </w:trPr>
        <w:tc>
          <w:tcPr>
            <w:tcW w:w="3500" w:type="dxa"/>
            <w:vAlign w:val="bottom"/>
          </w:tcPr>
          <w:p>
            <w:pPr>
              <w:spacing w:after="0"/>
              <w:rPr>
                <w:sz w:val="18"/>
                <w:szCs w:val="18"/>
                <w:color w:val="auto"/>
              </w:rPr>
            </w:pPr>
          </w:p>
        </w:tc>
        <w:tc>
          <w:tcPr>
            <w:tcW w:w="17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220" w:type="dxa"/>
            <w:vAlign w:val="bottom"/>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8"/>
                <w:szCs w:val="18"/>
                <w:color w:val="auto"/>
              </w:rPr>
            </w:pPr>
          </w:p>
        </w:tc>
      </w:tr>
      <w:tr>
        <w:trPr>
          <w:trHeight w:val="199"/>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 December 31, 2024</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1,396,957</w:t>
            </w:r>
          </w:p>
        </w:tc>
        <w:tc>
          <w:tcPr>
            <w:tcW w:w="16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14,519</w:t>
            </w:r>
          </w:p>
        </w:tc>
        <w:tc>
          <w:tcPr>
            <w:tcW w:w="100" w:type="dxa"/>
            <w:vAlign w:val="bottom"/>
            <w:shd w:val="clear" w:color="auto" w:fill="CFF0FC"/>
          </w:tcPr>
          <w:p>
            <w:pPr>
              <w:spacing w:after="0"/>
              <w:rPr>
                <w:sz w:val="17"/>
                <w:szCs w:val="17"/>
                <w:color w:val="auto"/>
              </w:rPr>
            </w:pPr>
          </w:p>
        </w:tc>
      </w:tr>
      <w:tr>
        <w:trPr>
          <w:trHeight w:val="203"/>
        </w:trPr>
        <w:tc>
          <w:tcPr>
            <w:tcW w:w="35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Granted</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41,667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Cancelled</w:t>
            </w:r>
          </w:p>
        </w:tc>
        <w:tc>
          <w:tcPr>
            <w:tcW w:w="1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(162,570)</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22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spacing w:after="0"/>
              <w:rPr>
                <w:sz w:val="17"/>
                <w:szCs w:val="17"/>
                <w:color w:val="auto"/>
              </w:rPr>
            </w:pPr>
          </w:p>
        </w:tc>
      </w:tr>
      <w:tr>
        <w:trPr>
          <w:trHeight w:val="20"/>
        </w:trPr>
        <w:tc>
          <w:tcPr>
            <w:tcW w:w="3500" w:type="dxa"/>
            <w:vAlign w:val="bottom"/>
            <w:shd w:val="clear" w:color="auto" w:fill="CFF0FC"/>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Outstanding – March 31, 2025</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1,276,054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2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4,900</w:t>
            </w:r>
          </w:p>
        </w:tc>
        <w:tc>
          <w:tcPr>
            <w:tcW w:w="100" w:type="dxa"/>
            <w:vAlign w:val="bottom"/>
          </w:tcPr>
          <w:p>
            <w:pPr>
              <w:spacing w:after="0"/>
              <w:rPr>
                <w:sz w:val="17"/>
                <w:szCs w:val="17"/>
                <w:color w:val="auto"/>
              </w:rPr>
            </w:pPr>
          </w:p>
        </w:tc>
      </w:tr>
      <w:tr>
        <w:trPr>
          <w:trHeight w:val="20"/>
        </w:trPr>
        <w:tc>
          <w:tcPr>
            <w:tcW w:w="350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Exercisable – December 31, 2024</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443,045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2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4,527</w:t>
            </w:r>
          </w:p>
        </w:tc>
        <w:tc>
          <w:tcPr>
            <w:tcW w:w="100" w:type="dxa"/>
            <w:vAlign w:val="bottom"/>
            <w:shd w:val="clear" w:color="auto" w:fill="CFF0FC"/>
          </w:tcPr>
          <w:p>
            <w:pPr>
              <w:spacing w:after="0"/>
              <w:rPr>
                <w:sz w:val="17"/>
                <w:szCs w:val="17"/>
                <w:color w:val="auto"/>
              </w:rPr>
            </w:pPr>
          </w:p>
        </w:tc>
      </w:tr>
      <w:tr>
        <w:trPr>
          <w:trHeight w:val="20"/>
        </w:trPr>
        <w:tc>
          <w:tcPr>
            <w:tcW w:w="3500" w:type="dxa"/>
            <w:vAlign w:val="bottom"/>
            <w:shd w:val="clear" w:color="auto" w:fill="CFF0FC"/>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Exercisable – March 31, 2025</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543,777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2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2,130</w:t>
            </w:r>
          </w:p>
        </w:tc>
        <w:tc>
          <w:tcPr>
            <w:tcW w:w="100" w:type="dxa"/>
            <w:vAlign w:val="bottom"/>
          </w:tcPr>
          <w:p>
            <w:pPr>
              <w:spacing w:after="0"/>
              <w:rPr>
                <w:sz w:val="17"/>
                <w:szCs w:val="17"/>
                <w:color w:val="auto"/>
              </w:rPr>
            </w:pPr>
          </w:p>
        </w:tc>
      </w:tr>
      <w:tr>
        <w:trPr>
          <w:trHeight w:val="20"/>
        </w:trPr>
        <w:tc>
          <w:tcPr>
            <w:tcW w:w="350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-436245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-436245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-436245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-436245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-161925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-161925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-161925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Repricing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17, 2024, the Company amended certain options to purchase 773,551 shares of the Company’s Common Stock. All of the options subject to the amendments had exercise prices that exceeded the value of the Company’s Common Stock on the amendment date.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One set of amendments, which were entered into with seven senior employees of the Company, applied to options to purchase an aggregate of 225,670 shares held by those seven senior employees. These amendments (1) re-started the vesting schedule of the amended options, including for options that had already vested and (2) reduced the per share exercise price of the options to $1.59 (the “New Exercise Price”), which is equal to the closing price of the Company’s Common Stock on April 17, 2024, the effective date of the amendments. No other terms of these options were modified.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other set of amendments applied to options to purchase an aggregate of 547,881 shares held by other eligible employees and service providers of the Company with an exercise price per share greater than the New Exercise Price. These amendments reduced the per share exercise price of affected options to the New Exercise Price, which is equal to the closing price of the Company’s Common Stock on April 17, 2024, the effective date of the amendments. No other terms of such options were modified.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amendments resulted in an incremental fair value of $0.2 million. Of this amount $0.1 million related to vested options and was recognized as stock-based compensation expense on the amendment date. The remaining incremental fair value will be amortized over the remaining requisite service periods of the unvested options.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 Activity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Company’s RSU activity for the three months ended March 31, 2025: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560" w:type="dxa"/>
            <w:vAlign w:val="bottom"/>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Restricted Stock Units Outstanding</w:t>
            </w:r>
          </w:p>
        </w:tc>
      </w:tr>
      <w:tr>
        <w:trPr>
          <w:trHeight w:val="186"/>
        </w:trPr>
        <w:tc>
          <w:tcPr>
            <w:tcW w:w="38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Weighted-Average</w:t>
            </w:r>
          </w:p>
        </w:tc>
        <w:tc>
          <w:tcPr>
            <w:tcW w:w="120" w:type="dxa"/>
            <w:vAlign w:val="bottom"/>
          </w:tcPr>
          <w:p>
            <w:pPr>
              <w:spacing w:after="0"/>
              <w:rPr>
                <w:sz w:val="16"/>
                <w:szCs w:val="16"/>
                <w:color w:val="auto"/>
              </w:rPr>
            </w:pPr>
          </w:p>
        </w:tc>
      </w:tr>
      <w:tr>
        <w:trPr>
          <w:trHeight w:val="203"/>
        </w:trPr>
        <w:tc>
          <w:tcPr>
            <w:tcW w:w="388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Grant-Date Fair</w:t>
            </w:r>
          </w:p>
        </w:tc>
      </w:tr>
      <w:tr>
        <w:trPr>
          <w:trHeight w:val="203"/>
        </w:trPr>
        <w:tc>
          <w:tcPr>
            <w:tcW w:w="388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215"/>
        </w:trPr>
        <w:tc>
          <w:tcPr>
            <w:tcW w:w="38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6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120" w:type="dxa"/>
            <w:vAlign w:val="bottom"/>
          </w:tcPr>
          <w:p>
            <w:pPr>
              <w:spacing w:after="0"/>
              <w:rPr>
                <w:sz w:val="18"/>
                <w:szCs w:val="18"/>
                <w:color w:val="auto"/>
              </w:rPr>
            </w:pPr>
          </w:p>
        </w:tc>
      </w:tr>
      <w:tr>
        <w:trPr>
          <w:trHeight w:val="199"/>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 December 31, 2024</w:t>
            </w:r>
          </w:p>
        </w:tc>
        <w:tc>
          <w:tcPr>
            <w:tcW w:w="5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1,457,281</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20" w:type="dxa"/>
            <w:vAlign w:val="bottom"/>
            <w:shd w:val="clear" w:color="auto" w:fill="CFF0FC"/>
          </w:tcPr>
          <w:p>
            <w:pPr>
              <w:spacing w:after="0"/>
              <w:rPr>
                <w:sz w:val="17"/>
                <w:szCs w:val="17"/>
                <w:color w:val="auto"/>
              </w:rPr>
            </w:pPr>
          </w:p>
        </w:tc>
      </w:tr>
      <w:tr>
        <w:trPr>
          <w:trHeight w:val="203"/>
        </w:trPr>
        <w:tc>
          <w:tcPr>
            <w:tcW w:w="3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5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576,587</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120" w:type="dxa"/>
            <w:vAlign w:val="bottom"/>
          </w:tcPr>
          <w:p>
            <w:pPr>
              <w:spacing w:after="0"/>
              <w:rPr>
                <w:sz w:val="17"/>
                <w:szCs w:val="17"/>
                <w:color w:val="auto"/>
              </w:rPr>
            </w:pPr>
          </w:p>
        </w:tc>
      </w:tr>
      <w:tr>
        <w:trPr>
          <w:trHeight w:val="203"/>
        </w:trPr>
        <w:tc>
          <w:tcPr>
            <w:tcW w:w="3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56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(492,815)</w:t>
            </w: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shd w:val="clear" w:color="auto" w:fill="CFF0FC"/>
          </w:tcPr>
          <w:p>
            <w:pPr>
              <w:spacing w:after="0"/>
              <w:rPr>
                <w:sz w:val="17"/>
                <w:szCs w:val="17"/>
                <w:color w:val="auto"/>
              </w:rPr>
            </w:pPr>
          </w:p>
        </w:tc>
      </w:tr>
      <w:tr>
        <w:trPr>
          <w:trHeight w:val="203"/>
        </w:trPr>
        <w:tc>
          <w:tcPr>
            <w:tcW w:w="3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Cancelled</w:t>
            </w:r>
          </w:p>
        </w:tc>
        <w:tc>
          <w:tcPr>
            <w:tcW w:w="3800" w:type="dxa"/>
            <w:vAlign w:val="bottom"/>
          </w:tcPr>
          <w:p>
            <w:pPr>
              <w:spacing w:after="0"/>
              <w:rPr>
                <w:sz w:val="17"/>
                <w:szCs w:val="17"/>
                <w:color w:val="auto"/>
              </w:rPr>
            </w:pP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(1,113)</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20" w:type="dxa"/>
            <w:vAlign w:val="bottom"/>
          </w:tcPr>
          <w:p>
            <w:pPr>
              <w:spacing w:after="0"/>
              <w:rPr>
                <w:sz w:val="17"/>
                <w:szCs w:val="17"/>
                <w:color w:val="auto"/>
              </w:rPr>
            </w:pPr>
          </w:p>
        </w:tc>
      </w:tr>
      <w:tr>
        <w:trPr>
          <w:trHeight w:val="236"/>
        </w:trPr>
        <w:tc>
          <w:tcPr>
            <w:tcW w:w="3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 March 31, 2025</w:t>
            </w:r>
          </w:p>
        </w:tc>
        <w:tc>
          <w:tcPr>
            <w:tcW w:w="3800" w:type="dxa"/>
            <w:vAlign w:val="bottom"/>
            <w:tcBorders>
              <w:bottom w:val="single" w:sz="8" w:color="CFF0FC"/>
            </w:tcBorders>
            <w:shd w:val="clear" w:color="auto" w:fill="CFF0FC"/>
          </w:tcPr>
          <w:p>
            <w:pPr>
              <w:spacing w:after="0"/>
              <w:rPr>
                <w:sz w:val="20"/>
                <w:szCs w:val="20"/>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1,539,940</w:t>
            </w: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413"/>
        </w:trPr>
        <w:tc>
          <w:tcPr>
            <w:tcW w:w="3880" w:type="dxa"/>
            <w:vAlign w:val="bottom"/>
          </w:tcPr>
          <w:p>
            <w:pPr>
              <w:spacing w:after="0"/>
              <w:rPr>
                <w:sz w:val="24"/>
                <w:szCs w:val="24"/>
                <w:color w:val="auto"/>
              </w:rPr>
            </w:pPr>
          </w:p>
        </w:tc>
        <w:tc>
          <w:tcPr>
            <w:tcW w:w="3800" w:type="dxa"/>
            <w:vAlign w:val="bottom"/>
          </w:tcPr>
          <w:p>
            <w:pPr>
              <w:jc w:val="right"/>
              <w:ind w:right="1877"/>
              <w:spacing w:after="0"/>
              <w:rPr>
                <w:sz w:val="20"/>
                <w:szCs w:val="20"/>
                <w:color w:val="auto"/>
              </w:rPr>
            </w:pPr>
            <w:r>
              <w:rPr>
                <w:rFonts w:ascii="Times New Roman" w:cs="Times New Roman" w:eastAsia="Times New Roman" w:hAnsi="Times New Roman"/>
                <w:sz w:val="18"/>
                <w:szCs w:val="18"/>
                <w:color w:val="auto"/>
              </w:rPr>
              <w:t>19</w:t>
            </w: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388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-796925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-779780</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-796925</wp:posOffset>
            </wp:positionV>
            <wp:extent cx="7747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-779780</wp:posOffset>
            </wp:positionV>
            <wp:extent cx="7747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Restricted Stock Awards Activity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Company’s employee RSA activity for the three months ended March 31, 2025: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6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Restricted Stock Awards Outstanding</w:t>
            </w:r>
          </w:p>
        </w:tc>
      </w:tr>
      <w:tr>
        <w:trPr>
          <w:trHeight w:val="186"/>
        </w:trPr>
        <w:tc>
          <w:tcPr>
            <w:tcW w:w="49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Weighted-Average</w:t>
            </w:r>
          </w:p>
        </w:tc>
        <w:tc>
          <w:tcPr>
            <w:tcW w:w="120" w:type="dxa"/>
            <w:vAlign w:val="bottom"/>
          </w:tcPr>
          <w:p>
            <w:pPr>
              <w:spacing w:after="0"/>
              <w:rPr>
                <w:sz w:val="16"/>
                <w:szCs w:val="16"/>
                <w:color w:val="auto"/>
              </w:rPr>
            </w:pPr>
          </w:p>
        </w:tc>
      </w:tr>
      <w:tr>
        <w:trPr>
          <w:trHeight w:val="203"/>
        </w:trPr>
        <w:tc>
          <w:tcPr>
            <w:tcW w:w="49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Grant-Date Fair</w:t>
            </w:r>
          </w:p>
        </w:tc>
      </w:tr>
      <w:tr>
        <w:trPr>
          <w:trHeight w:val="203"/>
        </w:trPr>
        <w:tc>
          <w:tcPr>
            <w:tcW w:w="49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215"/>
        </w:trPr>
        <w:tc>
          <w:tcPr>
            <w:tcW w:w="49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120" w:type="dxa"/>
            <w:vAlign w:val="bottom"/>
          </w:tcPr>
          <w:p>
            <w:pPr>
              <w:spacing w:after="0"/>
              <w:rPr>
                <w:sz w:val="18"/>
                <w:szCs w:val="18"/>
                <w:color w:val="auto"/>
              </w:rPr>
            </w:pPr>
          </w:p>
        </w:tc>
      </w:tr>
      <w:tr>
        <w:trPr>
          <w:trHeight w:val="199"/>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 December 31, 2024</w:t>
            </w:r>
          </w:p>
        </w:tc>
        <w:tc>
          <w:tcPr>
            <w:tcW w:w="2840" w:type="dxa"/>
            <w:vAlign w:val="bottom"/>
            <w:gridSpan w:val="2"/>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625,000</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120" w:type="dxa"/>
            <w:vAlign w:val="bottom"/>
            <w:shd w:val="clear" w:color="auto" w:fill="CFF0FC"/>
          </w:tcPr>
          <w:p>
            <w:pPr>
              <w:spacing w:after="0"/>
              <w:rPr>
                <w:sz w:val="17"/>
                <w:szCs w:val="17"/>
                <w:color w:val="auto"/>
              </w:rPr>
            </w:pPr>
          </w:p>
        </w:tc>
      </w:tr>
      <w:tr>
        <w:trPr>
          <w:trHeight w:val="203"/>
        </w:trPr>
        <w:tc>
          <w:tcPr>
            <w:tcW w:w="4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2840" w:type="dxa"/>
            <w:vAlign w:val="bottom"/>
            <w:gridSpan w:val="2"/>
          </w:tcPr>
          <w:p>
            <w:pPr>
              <w:spacing w:after="0"/>
              <w:rPr>
                <w:sz w:val="17"/>
                <w:szCs w:val="17"/>
                <w:color w:val="auto"/>
              </w:rPr>
            </w:pP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(625,000)</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120" w:type="dxa"/>
            <w:vAlign w:val="bottom"/>
          </w:tcPr>
          <w:p>
            <w:pPr>
              <w:spacing w:after="0"/>
              <w:rPr>
                <w:sz w:val="17"/>
                <w:szCs w:val="17"/>
                <w:color w:val="auto"/>
              </w:rPr>
            </w:pPr>
          </w:p>
        </w:tc>
      </w:tr>
      <w:tr>
        <w:trPr>
          <w:trHeight w:val="236"/>
        </w:trPr>
        <w:tc>
          <w:tcPr>
            <w:tcW w:w="4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 March 31, 2025</w:t>
            </w:r>
          </w:p>
        </w:tc>
        <w:tc>
          <w:tcPr>
            <w:tcW w:w="27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Phantom Equity Award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fourth quarter of 2024 the Company and Benjamin Wolff agreed to extend Mr. Wolff’s term of employment as the Company’s President and Chief Executive Officer, effective January 1, 2025 through December 31, 2027. The agreement includes a phantom equity award that is subject to cliff vesting based on continued employment through October 31, 2027 or upon earlier change of control or earlier qualifying termination of his employment. The Company has the option, in its sole discretion, to settle the award in full with cash or replace the award in whole or in part with restricted stock awards with respect to the Company's common stock vesting on the same condition. If settled in cash, the value of the award shall be equal to 1.8 million (as proportionately adjusted for any stock splits, dividends, combinations and the like) times the Stock FMV. The "Stock FMV" is the volume weighted average closing price per share of the Company’s stock for the 10 consecutive trading days ending on the trading day immediately prior to vesting. If, at any time during the term of the award and no later than the day immediately prior to the payment date, the Company grants Mr. Wolff one or more restricted stock awards with the same vesting conditions as the phantom equity award, the cash settlement value will be reduced by 1.2 times for every share subject to the restricted stock award(s) up to 1.5 million shares (as proportionately adjusted for any stock splits, dividends, combinations and the like).</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phantom equity award has been accounted for as an equity classified award. As of March 31, 2025, and December 31, 2024, phantom equity awards with a common stock equivalent of 1.5 million shares were outstanding with a weighted-average grant-date fair value per share of $2.23.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stock-based compensation expense in the condensed consolidated statement of operations and comprehensive loss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60" w:type="dxa"/>
            <w:vAlign w:val="bottom"/>
            <w:gridSpan w:val="5"/>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2"/>
        </w:trPr>
        <w:tc>
          <w:tcPr>
            <w:tcW w:w="5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46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19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280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(18)</w:t>
            </w:r>
          </w:p>
        </w:tc>
      </w:tr>
      <w:tr>
        <w:trPr>
          <w:trHeight w:val="203"/>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2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(42)</w:t>
            </w:r>
          </w:p>
        </w:tc>
      </w:tr>
      <w:tr>
        <w:trPr>
          <w:trHeight w:val="203"/>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24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FF0FC"/>
          </w:tcPr>
          <w:p>
            <w:pPr>
              <w:spacing w:after="0"/>
              <w:rPr>
                <w:sz w:val="17"/>
                <w:szCs w:val="17"/>
                <w:color w:val="auto"/>
              </w:rPr>
            </w:pPr>
          </w:p>
        </w:tc>
      </w:tr>
      <w:tr>
        <w:trPr>
          <w:trHeight w:val="203"/>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4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881</w:t>
            </w: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100" w:type="dxa"/>
            <w:vAlign w:val="bottom"/>
          </w:tcPr>
          <w:p>
            <w:pPr>
              <w:spacing w:after="0"/>
              <w:rPr>
                <w:sz w:val="17"/>
                <w:szCs w:val="17"/>
                <w:color w:val="auto"/>
              </w:rPr>
            </w:pPr>
          </w:p>
        </w:tc>
      </w:tr>
      <w:tr>
        <w:trPr>
          <w:trHeight w:val="216"/>
        </w:trPr>
        <w:tc>
          <w:tcPr>
            <w:tcW w:w="5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24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00" w:type="dxa"/>
            <w:vAlign w:val="bottom"/>
            <w:shd w:val="clear" w:color="auto" w:fill="CFF0FC"/>
          </w:tcPr>
          <w:p>
            <w:pPr>
              <w:spacing w:after="0"/>
              <w:rPr>
                <w:sz w:val="18"/>
                <w:szCs w:val="18"/>
                <w:color w:val="auto"/>
              </w:rPr>
            </w:pPr>
          </w:p>
        </w:tc>
      </w:tr>
      <w:tr>
        <w:trPr>
          <w:trHeight w:val="20"/>
        </w:trPr>
        <w:tc>
          <w:tcPr>
            <w:tcW w:w="5280" w:type="dxa"/>
            <w:vAlign w:val="bottom"/>
            <w:tcBorders>
              <w:top w:val="single" w:sz="8" w:color="CFF0FC"/>
            </w:tcBorders>
            <w:shd w:val="clear" w:color="auto" w:fill="CFF0FC"/>
          </w:tcPr>
          <w:p>
            <w:pPr>
              <w:spacing w:after="0" w:line="20" w:lineRule="exact"/>
              <w:rPr>
                <w:sz w:val="1"/>
                <w:szCs w:val="1"/>
                <w:color w:val="auto"/>
              </w:rPr>
            </w:pPr>
          </w:p>
        </w:tc>
        <w:tc>
          <w:tcPr>
            <w:tcW w:w="24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As of March 31, 2025, there was approximately $9.7 million of unrecognized stock-based compensation cost, which is expected to be recognized over a weighted average period of 3.0 years.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8. Net Income (Loss) Per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the basic and diluted net loss per share attributable to common stockholders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and 2024:</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60" w:type="dxa"/>
            <w:vAlign w:val="bottom"/>
            <w:gridSpan w:val="5"/>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2"/>
        </w:trPr>
        <w:tc>
          <w:tcPr>
            <w:tcW w:w="5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tc>
        <w:tc>
          <w:tcPr>
            <w:tcW w:w="222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19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Numerator:</w:t>
            </w:r>
          </w:p>
        </w:tc>
        <w:tc>
          <w:tcPr>
            <w:tcW w:w="2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tcBorders>
              <w:right w:val="single" w:sz="8" w:color="CFF0FC"/>
            </w:tcBorders>
            <w:shd w:val="clear" w:color="auto" w:fill="CFF0FC"/>
          </w:tcPr>
          <w:p>
            <w:pPr>
              <w:spacing w:after="0"/>
              <w:rPr>
                <w:sz w:val="17"/>
                <w:szCs w:val="17"/>
                <w:color w:val="auto"/>
              </w:rPr>
            </w:pPr>
          </w:p>
        </w:tc>
        <w:tc>
          <w:tcPr>
            <w:tcW w:w="620" w:type="dxa"/>
            <w:vAlign w:val="bottom"/>
            <w:gridSpan w:val="2"/>
            <w:shd w:val="clear" w:color="auto" w:fill="CFF0FC"/>
          </w:tcPr>
          <w:p>
            <w:pPr>
              <w:spacing w:after="0"/>
              <w:rPr>
                <w:sz w:val="17"/>
                <w:szCs w:val="17"/>
                <w:color w:val="auto"/>
              </w:rPr>
            </w:pPr>
          </w:p>
        </w:tc>
        <w:tc>
          <w:tcPr>
            <w:tcW w:w="1320" w:type="dxa"/>
            <w:vAlign w:val="bottom"/>
            <w:gridSpan w:val="2"/>
            <w:shd w:val="clear" w:color="auto" w:fill="CFF0FC"/>
          </w:tcPr>
          <w:p>
            <w:pPr>
              <w:spacing w:after="0"/>
              <w:rPr>
                <w:sz w:val="17"/>
                <w:szCs w:val="17"/>
                <w:color w:val="auto"/>
              </w:rPr>
            </w:pPr>
          </w:p>
        </w:tc>
      </w:tr>
      <w:tr>
        <w:trPr>
          <w:trHeight w:val="203"/>
        </w:trPr>
        <w:tc>
          <w:tcPr>
            <w:tcW w:w="5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(loss)</w:t>
            </w:r>
          </w:p>
        </w:tc>
        <w:tc>
          <w:tcPr>
            <w:tcW w:w="25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22,759</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(7,229)</w:t>
            </w:r>
          </w:p>
        </w:tc>
      </w:tr>
      <w:tr>
        <w:trPr>
          <w:trHeight w:val="203"/>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Denominator:</w:t>
            </w:r>
          </w:p>
        </w:tc>
        <w:tc>
          <w:tcPr>
            <w:tcW w:w="2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tcBorders>
              <w:right w:val="single" w:sz="8" w:color="CFF0FC"/>
            </w:tcBorders>
            <w:shd w:val="clear" w:color="auto" w:fill="CFF0FC"/>
          </w:tcPr>
          <w:p>
            <w:pPr>
              <w:spacing w:after="0"/>
              <w:rPr>
                <w:sz w:val="17"/>
                <w:szCs w:val="17"/>
                <w:color w:val="auto"/>
              </w:rPr>
            </w:pPr>
          </w:p>
        </w:tc>
        <w:tc>
          <w:tcPr>
            <w:tcW w:w="620" w:type="dxa"/>
            <w:vAlign w:val="bottom"/>
            <w:gridSpan w:val="2"/>
            <w:shd w:val="clear" w:color="auto" w:fill="CFF0FC"/>
          </w:tcPr>
          <w:p>
            <w:pPr>
              <w:spacing w:after="0"/>
              <w:rPr>
                <w:sz w:val="17"/>
                <w:szCs w:val="17"/>
                <w:color w:val="auto"/>
              </w:rPr>
            </w:pPr>
          </w:p>
        </w:tc>
        <w:tc>
          <w:tcPr>
            <w:tcW w:w="1320" w:type="dxa"/>
            <w:vAlign w:val="bottom"/>
            <w:gridSpan w:val="2"/>
            <w:shd w:val="clear" w:color="auto" w:fill="CFF0FC"/>
          </w:tcPr>
          <w:p>
            <w:pPr>
              <w:spacing w:after="0"/>
              <w:rPr>
                <w:sz w:val="17"/>
                <w:szCs w:val="17"/>
                <w:color w:val="auto"/>
              </w:rPr>
            </w:pPr>
          </w:p>
        </w:tc>
      </w:tr>
      <w:tr>
        <w:trPr>
          <w:trHeight w:val="203"/>
        </w:trPr>
        <w:tc>
          <w:tcPr>
            <w:tcW w:w="5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shares outstanding, basic</w:t>
            </w:r>
          </w:p>
        </w:tc>
        <w:tc>
          <w:tcPr>
            <w:tcW w:w="2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35,345,672</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25,879,043</w:t>
            </w:r>
          </w:p>
        </w:tc>
        <w:tc>
          <w:tcPr>
            <w:tcW w:w="100" w:type="dxa"/>
            <w:vAlign w:val="bottom"/>
          </w:tcPr>
          <w:p>
            <w:pPr>
              <w:spacing w:after="0"/>
              <w:rPr>
                <w:sz w:val="17"/>
                <w:szCs w:val="17"/>
                <w:color w:val="auto"/>
              </w:rPr>
            </w:pPr>
          </w:p>
        </w:tc>
      </w:tr>
      <w:tr>
        <w:trPr>
          <w:trHeight w:val="203"/>
        </w:trPr>
        <w:tc>
          <w:tcPr>
            <w:tcW w:w="5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Dilutive effect of potential common shares</w:t>
            </w:r>
          </w:p>
        </w:tc>
        <w:tc>
          <w:tcPr>
            <w:tcW w:w="2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5,722,278</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shares outstanding, diluted</w:t>
            </w:r>
          </w:p>
        </w:tc>
        <w:tc>
          <w:tcPr>
            <w:tcW w:w="2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41,067,950</w:t>
            </w: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25,879,043</w:t>
            </w:r>
          </w:p>
        </w:tc>
        <w:tc>
          <w:tcPr>
            <w:tcW w:w="100" w:type="dxa"/>
            <w:vAlign w:val="bottom"/>
          </w:tcPr>
          <w:p>
            <w:pPr>
              <w:spacing w:after="0"/>
              <w:rPr>
                <w:sz w:val="17"/>
                <w:szCs w:val="17"/>
                <w:color w:val="auto"/>
              </w:rPr>
            </w:pPr>
          </w:p>
        </w:tc>
      </w:tr>
      <w:tr>
        <w:trPr>
          <w:trHeight w:val="20"/>
        </w:trPr>
        <w:tc>
          <w:tcPr>
            <w:tcW w:w="55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5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Basic net income (loss) per share</w:t>
            </w:r>
          </w:p>
        </w:tc>
        <w:tc>
          <w:tcPr>
            <w:tcW w:w="222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0.64</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(0.28)</w:t>
            </w:r>
          </w:p>
        </w:tc>
      </w:tr>
      <w:tr>
        <w:trPr>
          <w:trHeight w:val="20"/>
        </w:trPr>
        <w:tc>
          <w:tcPr>
            <w:tcW w:w="5520" w:type="dxa"/>
            <w:vAlign w:val="bottom"/>
            <w:tcBorders>
              <w:top w:val="single" w:sz="8" w:color="CFF0FC"/>
            </w:tcBorders>
            <w:shd w:val="clear" w:color="auto" w:fill="CFF0FC"/>
          </w:tcPr>
          <w:p>
            <w:pPr>
              <w:spacing w:after="0" w:line="20" w:lineRule="exact"/>
              <w:rPr>
                <w:sz w:val="1"/>
                <w:szCs w:val="1"/>
                <w:color w:val="auto"/>
              </w:rPr>
            </w:pPr>
          </w:p>
        </w:tc>
        <w:tc>
          <w:tcPr>
            <w:tcW w:w="2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83"/>
        </w:trPr>
        <w:tc>
          <w:tcPr>
            <w:tcW w:w="5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 net income (loss) per share</w:t>
            </w:r>
          </w:p>
        </w:tc>
        <w:tc>
          <w:tcPr>
            <w:tcW w:w="2220" w:type="dxa"/>
            <w:vAlign w:val="bottom"/>
          </w:tcPr>
          <w:p>
            <w:pPr>
              <w:spacing w:after="0"/>
              <w:rPr>
                <w:sz w:val="15"/>
                <w:szCs w:val="15"/>
                <w:color w:val="auto"/>
              </w:rPr>
            </w:pP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0.55</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(0.28)</w:t>
            </w:r>
          </w:p>
        </w:tc>
      </w:tr>
      <w:tr>
        <w:trPr>
          <w:trHeight w:val="20"/>
        </w:trPr>
        <w:tc>
          <w:tcPr>
            <w:tcW w:w="55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Anti-dilutive securities, excluded</w:t>
            </w:r>
          </w:p>
        </w:tc>
        <w:tc>
          <w:tcPr>
            <w:tcW w:w="2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8,227,228</w:t>
            </w:r>
          </w:p>
        </w:tc>
        <w:tc>
          <w:tcPr>
            <w:tcW w:w="2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12,237,740</w:t>
            </w:r>
          </w:p>
        </w:tc>
        <w:tc>
          <w:tcPr>
            <w:tcW w:w="100" w:type="dxa"/>
            <w:vAlign w:val="bottom"/>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-307975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-290830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-290830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Potentially dilutive shares, which are based on the weighted-average shares of common stock, stock options, unvested stock units, unvested stock awards, purchase rights granted under the employee stock purchase plan and warrants using the treasury stock method are included when calculating diluted net income (loss) per share attributable to the Company when their effect is dilutive. Because the Company incurred a net loss for the three months ended March 31, 2024, none of the potentially dilutive common shares were included in the diluted share calculation for that period as they would have been anti-dilutive.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determine the Company’s quarterly provision for income taxes, the Company used an estimated annual effective tax rate that is based on expected annual income and statutory tax rates in the various jurisdictions in which the Company operates. Certain significant unusual or infrequently occurring items that are separately reported are separately recognized in the quarter during which they occur and can be a source of variability in the effective tax rate from quarter to quarter.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had no income tax expense for the three months ended March 31, 2025 and 2024. The provision for income taxes for the three months ended March 31, 2025 and 2024 is based on the Company’s estimated annualized effective tax rate for the fiscal years ending December 31, 2025 and 2024, respectively. For the three months ended March 31, 2025, the Company’s recognized effective tax rate differs from the U.S. federal statutory rate as the Company recorded net losses during the period with a corresponding full valuation allowance on the net deferred tax assets created from the losses.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been and may in the future be involved in various claims, lawsuits, investigations and other proceedings in the normal course of business. The Company accrues a liability when management believes information available prior to the issuance of its financial statements indicates it is probable a loss has been incurred as of the date of the financial statements and the amount of loss can be reasonably estimated. The Company adjusts its accruals to reflect the impact of negotiation, settlements, rulings, advice of legal counsel and other information and events pertaining to a particular case. Legal costs are expensed as incurred. The Company has not recorded any material loss contingency related to legal proceedings in the balance sheets as of March 31, 2025 and December 31, 2024,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provides or may provide indemnifications of varying scope and terms to investors, directors, officers, employees, customers or vendors with respect to certain matters, including losses arising out of the Company's breach of such agreements, services to be provided by the Company or from intellectual property infringement claims made by third parties. These indemnifications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As of March 31, 2025 and December 31, 2024, the Company has not accrued a liability for these indemnification obligations as the likelihood of incurring a material payment obligation in connection with these indemnification obligations is either not probable or not reasonably estimable due to the unique facts and circumstances involved.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11. Segment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determined that it has a single operating segment. The Company has historically derived revenues from product development contracts focused on the development of technologies included within the Company's AI/ML Foundational Technology, which the Company expects to commercialize and sell under software license arrangements. The accounting policies of the segment are the same as those described in Note 1, Basis of Presentation and Summary of Significant Accounting Policies.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Chief Executive Officer is the Chief Operating Decision Maker ("CODM"). The CODM allocates resources and makes operating decisions based on consolidated net income. The CODM does not evaluate profitability below the level of the consolidated company. Net income (loss) is used to monitor results on a budget versus actual basis. Net income (loss) is adjusted for various non-recurring and non-cash transactions such as stock compensation expenses and impairment expenses.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financial information with respect to the Company's single operating segment:</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5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10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0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19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Segment Revenue</w:t>
            </w:r>
          </w:p>
        </w:tc>
        <w:tc>
          <w:tcPr>
            <w:tcW w:w="580" w:type="dxa"/>
            <w:vAlign w:val="bottom"/>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w w:val="74"/>
              </w:rPr>
              <w: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1,710</w:t>
            </w:r>
          </w:p>
        </w:tc>
        <w:tc>
          <w:tcPr>
            <w:tcW w:w="2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100" w:type="dxa"/>
            <w:vAlign w:val="bottom"/>
            <w:shd w:val="clear" w:color="auto" w:fill="CFF0FC"/>
          </w:tcPr>
          <w:p>
            <w:pPr>
              <w:spacing w:after="0"/>
              <w:rPr>
                <w:sz w:val="17"/>
                <w:szCs w:val="17"/>
                <w:color w:val="auto"/>
              </w:rPr>
            </w:pPr>
          </w:p>
        </w:tc>
      </w:tr>
      <w:tr>
        <w:trPr>
          <w:trHeight w:val="203"/>
        </w:trPr>
        <w:tc>
          <w:tcPr>
            <w:tcW w:w="574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 xml:space="preserve">Other Revenue </w:t>
            </w:r>
            <w:r>
              <w:rPr>
                <w:rFonts w:ascii="Times New Roman" w:cs="Times New Roman" w:eastAsia="Times New Roman" w:hAnsi="Times New Roman"/>
                <w:sz w:val="21"/>
                <w:szCs w:val="21"/>
                <w:color w:val="auto"/>
                <w:vertAlign w:val="superscript"/>
              </w:rPr>
              <w:t>(1)</w:t>
            </w:r>
          </w:p>
        </w:tc>
        <w:tc>
          <w:tcPr>
            <w:tcW w:w="580" w:type="dxa"/>
            <w:vAlign w:val="bottom"/>
          </w:tcPr>
          <w:p>
            <w:pPr>
              <w:spacing w:after="0"/>
              <w:rPr>
                <w:sz w:val="17"/>
                <w:szCs w:val="17"/>
                <w:color w:val="auto"/>
              </w:rPr>
            </w:pPr>
          </w:p>
        </w:tc>
        <w:tc>
          <w:tcPr>
            <w:tcW w:w="2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2,559</w:t>
            </w:r>
          </w:p>
        </w:tc>
        <w:tc>
          <w:tcPr>
            <w:tcW w:w="100" w:type="dxa"/>
            <w:vAlign w:val="bottom"/>
          </w:tcPr>
          <w:p>
            <w:pPr>
              <w:spacing w:after="0"/>
              <w:rPr>
                <w:sz w:val="17"/>
                <w:szCs w:val="17"/>
                <w:color w:val="auto"/>
              </w:rPr>
            </w:pPr>
          </w:p>
        </w:tc>
      </w:tr>
      <w:tr>
        <w:trPr>
          <w:trHeight w:val="196"/>
        </w:trPr>
        <w:tc>
          <w:tcPr>
            <w:tcW w:w="5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Revenue</w:t>
            </w:r>
          </w:p>
        </w:tc>
        <w:tc>
          <w:tcPr>
            <w:tcW w:w="580" w:type="dxa"/>
            <w:vAlign w:val="bottom"/>
            <w:tcBorders>
              <w:top w:val="single" w:sz="8" w:color="auto"/>
              <w:bottom w:val="single" w:sz="8" w:color="auto"/>
            </w:tcBorders>
            <w:shd w:val="clear" w:color="auto" w:fill="CFF0FC"/>
          </w:tcPr>
          <w:p>
            <w:pPr>
              <w:spacing w:after="0"/>
              <w:rPr>
                <w:sz w:val="17"/>
                <w:szCs w:val="17"/>
                <w:color w:val="auto"/>
              </w:rPr>
            </w:pPr>
          </w:p>
        </w:tc>
        <w:tc>
          <w:tcPr>
            <w:tcW w:w="1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1,710</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spacing w:after="0"/>
              <w:rPr>
                <w:sz w:val="17"/>
                <w:szCs w:val="17"/>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Less:</w:t>
            </w:r>
          </w:p>
        </w:tc>
        <w:tc>
          <w:tcPr>
            <w:tcW w:w="5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Cost of revenue</w:t>
            </w:r>
          </w:p>
        </w:tc>
        <w:tc>
          <w:tcPr>
            <w:tcW w:w="580" w:type="dxa"/>
            <w:vAlign w:val="bottom"/>
            <w:shd w:val="clear" w:color="auto" w:fill="CFF0FC"/>
          </w:tcPr>
          <w:p>
            <w:pPr>
              <w:spacing w:after="0"/>
              <w:rPr>
                <w:sz w:val="17"/>
                <w:szCs w:val="17"/>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100" w:type="dxa"/>
            <w:vAlign w:val="bottom"/>
            <w:shd w:val="clear" w:color="auto" w:fill="CFF0FC"/>
          </w:tcPr>
          <w:p>
            <w:pPr>
              <w:spacing w:after="0"/>
              <w:rPr>
                <w:sz w:val="17"/>
                <w:szCs w:val="17"/>
                <w:color w:val="auto"/>
              </w:rPr>
            </w:pPr>
          </w:p>
        </w:tc>
      </w:tr>
      <w:tr>
        <w:trPr>
          <w:trHeight w:val="203"/>
        </w:trPr>
        <w:tc>
          <w:tcPr>
            <w:tcW w:w="5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58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2,937</w:t>
            </w:r>
          </w:p>
        </w:tc>
        <w:tc>
          <w:tcPr>
            <w:tcW w:w="100" w:type="dxa"/>
            <w:vAlign w:val="bottom"/>
          </w:tcPr>
          <w:p>
            <w:pPr>
              <w:spacing w:after="0"/>
              <w:rPr>
                <w:sz w:val="17"/>
                <w:szCs w:val="17"/>
                <w:color w:val="auto"/>
              </w:rPr>
            </w:pPr>
          </w:p>
        </w:tc>
      </w:tr>
      <w:tr>
        <w:trPr>
          <w:trHeight w:val="203"/>
        </w:trPr>
        <w:tc>
          <w:tcPr>
            <w:tcW w:w="5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580" w:type="dxa"/>
            <w:vAlign w:val="bottom"/>
            <w:shd w:val="clear" w:color="auto" w:fill="CFF0FC"/>
          </w:tcPr>
          <w:p>
            <w:pPr>
              <w:spacing w:after="0"/>
              <w:rPr>
                <w:sz w:val="17"/>
                <w:szCs w:val="17"/>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3,318</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4,704</w:t>
            </w:r>
          </w:p>
        </w:tc>
        <w:tc>
          <w:tcPr>
            <w:tcW w:w="100" w:type="dxa"/>
            <w:vAlign w:val="bottom"/>
            <w:shd w:val="clear" w:color="auto" w:fill="CFF0FC"/>
          </w:tcPr>
          <w:p>
            <w:pPr>
              <w:spacing w:after="0"/>
              <w:rPr>
                <w:sz w:val="17"/>
                <w:szCs w:val="17"/>
                <w:color w:val="auto"/>
              </w:rPr>
            </w:pPr>
          </w:p>
        </w:tc>
      </w:tr>
      <w:tr>
        <w:trPr>
          <w:trHeight w:val="203"/>
        </w:trPr>
        <w:tc>
          <w:tcPr>
            <w:tcW w:w="5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Sales and marketing</w:t>
            </w:r>
          </w:p>
        </w:tc>
        <w:tc>
          <w:tcPr>
            <w:tcW w:w="58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Pr>
          <w:p>
            <w:pPr>
              <w:spacing w:after="0"/>
              <w:rPr>
                <w:sz w:val="17"/>
                <w:szCs w:val="17"/>
                <w:color w:val="auto"/>
              </w:rPr>
            </w:pPr>
          </w:p>
        </w:tc>
      </w:tr>
      <w:tr>
        <w:trPr>
          <w:trHeight w:val="203"/>
        </w:trPr>
        <w:tc>
          <w:tcPr>
            <w:tcW w:w="5740" w:type="dxa"/>
            <w:vAlign w:val="bottom"/>
            <w:shd w:val="clear" w:color="auto" w:fill="CFF0FC"/>
          </w:tcPr>
          <w:p>
            <w:pPr>
              <w:ind w:left="100"/>
              <w:spacing w:after="0" w:line="203"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(2)</w:t>
            </w:r>
          </w:p>
        </w:tc>
        <w:tc>
          <w:tcPr>
            <w:tcW w:w="580" w:type="dxa"/>
            <w:vAlign w:val="bottom"/>
            <w:shd w:val="clear" w:color="auto" w:fill="CFF0FC"/>
          </w:tcPr>
          <w:p>
            <w:pPr>
              <w:spacing w:after="0"/>
              <w:rPr>
                <w:sz w:val="17"/>
                <w:szCs w:val="17"/>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100" w:type="dxa"/>
            <w:vAlign w:val="bottom"/>
            <w:shd w:val="clear" w:color="auto" w:fill="CFF0FC"/>
          </w:tcPr>
          <w:p>
            <w:pPr>
              <w:spacing w:after="0"/>
              <w:rPr>
                <w:sz w:val="17"/>
                <w:szCs w:val="17"/>
                <w:color w:val="auto"/>
              </w:rPr>
            </w:pPr>
          </w:p>
        </w:tc>
      </w:tr>
      <w:tr>
        <w:trPr>
          <w:trHeight w:val="203"/>
        </w:trPr>
        <w:tc>
          <w:tcPr>
            <w:tcW w:w="5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 income, net</w:t>
            </w:r>
          </w:p>
        </w:tc>
        <w:tc>
          <w:tcPr>
            <w:tcW w:w="580" w:type="dxa"/>
            <w:vAlign w:val="bottom"/>
          </w:tcPr>
          <w:p>
            <w:pPr>
              <w:spacing w:after="0"/>
              <w:rPr>
                <w:sz w:val="17"/>
                <w:szCs w:val="17"/>
                <w:color w:val="auto"/>
              </w:rPr>
            </w:pPr>
          </w:p>
        </w:tc>
        <w:tc>
          <w:tcPr>
            <w:tcW w:w="2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(442)</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(372)</w:t>
            </w:r>
          </w:p>
        </w:tc>
      </w:tr>
      <w:tr>
        <w:trPr>
          <w:trHeight w:val="202"/>
        </w:trPr>
        <w:tc>
          <w:tcPr>
            <w:tcW w:w="5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Loss (gain) on warrant liabilities</w:t>
            </w:r>
          </w:p>
        </w:tc>
        <w:tc>
          <w:tcPr>
            <w:tcW w:w="580" w:type="dxa"/>
            <w:vAlign w:val="bottom"/>
            <w:shd w:val="clear" w:color="auto" w:fill="CFF0FC"/>
          </w:tcPr>
          <w:p>
            <w:pPr>
              <w:spacing w:after="0"/>
              <w:rPr>
                <w:sz w:val="17"/>
                <w:szCs w:val="17"/>
                <w:color w:val="auto"/>
              </w:rPr>
            </w:pPr>
          </w:p>
        </w:tc>
        <w:tc>
          <w:tcPr>
            <w:tcW w:w="2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(29,248)</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shd w:val="clear" w:color="auto" w:fill="CFF0FC"/>
          </w:tcPr>
          <w:p>
            <w:pPr>
              <w:spacing w:after="0"/>
              <w:rPr>
                <w:sz w:val="17"/>
                <w:szCs w:val="17"/>
                <w:color w:val="auto"/>
              </w:rPr>
            </w:pPr>
          </w:p>
        </w:tc>
      </w:tr>
      <w:tr>
        <w:trPr>
          <w:trHeight w:val="196"/>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58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w w:val="74"/>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22,759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(7,229)</w:t>
            </w:r>
          </w:p>
        </w:tc>
        <w:tc>
          <w:tcPr>
            <w:tcW w:w="100" w:type="dxa"/>
            <w:vAlign w:val="bottom"/>
          </w:tcPr>
          <w:p>
            <w:pPr>
              <w:spacing w:after="0"/>
              <w:rPr>
                <w:sz w:val="17"/>
                <w:szCs w:val="17"/>
                <w:color w:val="auto"/>
              </w:rPr>
            </w:pPr>
          </w:p>
        </w:tc>
      </w:tr>
      <w:tr>
        <w:trPr>
          <w:trHeight w:val="20"/>
        </w:trPr>
        <w:tc>
          <w:tcPr>
            <w:tcW w:w="57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-1199515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6"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revenue includes revenue from legacy product sales.</w:t>
      </w:r>
    </w:p>
    <w:p>
      <w:pPr>
        <w:spacing w:after="0" w:line="184"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for the three months ended March 31, 2025, includes $1.1 million of stock compensation expenses. Other for the three months ended March 31, 2024, includes $1.1 million of cost of revenue from legacy product sales, $0.6 million of stock compensation expenses, and $0.4 million of asset write-off and restructuring charges.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revenue is derived primarily from U.S. customers. During the three months ended March 31, 2025 and 2024, the Company had no revenue earned from customers located outside the United States.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long-lived assets are maintained in the United States. All losses are attributable to operations within the United States.</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Throughout this section, unless otherwise noted, the “Company,” “Palladyne AI Corp.,” “Palladyne,” “we,” “us,” and “our” refers to Palladyne AI Corp., and its subsidiaries, collectively. You should read the following discussion and analysis of our financial condition and results of operations in conjunction with our unaudited interim condensed consolidated financial statements and related notes thereto included elsewhere in this Quarterly Report (this “Report”) as well as our Annual Report on Form 10-K for the fiscal year ended December 31, 2024 (the “2024 Form 10-K”) and our other filings, including Current Reports on Form 8-K, that we have filed with the SEC through the date of this Report. As discussed in the Special Note Regarding Forward-Looking Statements below, in addition to historical information, the following discussion and analysis contains forward-looking statements that involve risks, uncertainties and assumptions. Our actual results may differ materially from those anticipated in these forward-looking statements as a result of certain factors, including those set forth in Part II Item 1A Risk Factors and elsewhere in this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statements in this Report constitute “forward-looking statements” within the meaning of Section 27A of the Securities Act of 1933, as amended (the “Securities Act”) and Section 21E of the Securities Exchange Act of 1934, as amended (the “Exchange Act”). These forward-looking statements relate to expectations for future financial performance, business strategies or expectations for our business. Specifically, forward-looking statements may include statements relating to:</w:t>
      </w:r>
    </w:p>
    <w:p>
      <w:pPr>
        <w:spacing w:after="0" w:line="139" w:lineRule="exact"/>
        <w:rPr>
          <w:sz w:val="20"/>
          <w:szCs w:val="20"/>
          <w:color w:val="auto"/>
        </w:rPr>
      </w:pPr>
    </w:p>
    <w:p>
      <w:pPr>
        <w:ind w:left="1020" w:right="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sell our full-stack, closed-loop autonomy software ("AI/ML Foundational Technology") and related products and the capabilities and functionality of our AI/ML Foundational Technology and related products</w:t>
      </w:r>
    </w:p>
    <w:p>
      <w:pPr>
        <w:spacing w:after="0" w:line="13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timeline of our product revenues;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nature and size of the markets that we are targeting;</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software product roadmaps, including expected timing of new product releases and target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respond to rapid technological changes;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or future businesses and technologies and the potential advantages of our products as compared to competitors;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 and expenses;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evolving laws and regulations applicable to our business;</w:t>
      </w:r>
    </w:p>
    <w:p>
      <w:pPr>
        <w:spacing w:after="0" w:line="198"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personnel with the necessary experience, including employees who are instrumental to our new business strategy;</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projected financial and operating information and estimates of market size and opportunities;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w:t>
      </w:r>
    </w:p>
    <w:p>
      <w:pPr>
        <w:spacing w:after="0" w:line="198"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natural disasters, health epidemics and global economic and geopolitical conditions and international conflicts on our business and the business of our customers;</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regulations and customs, tariffs and trade barriers;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for our software products;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plans and opportunities;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capital requirements and sources and uses of cash;</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defend and the outcome of any litigation or regulatory proceedings;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protect our brand; and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3" w:name="page24"/>
    <w:bookmarkEnd w:id="23"/>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statements preceded by, followed by or that include the words "may," "can," "should," "will," "estimate," "plan," "project," "forecast," "intend," "expect," "anticipate," "believe," "seek," "aim," "target" or similar expressions.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Report and our management's current expectations, forecasts and assumptions, and involve a number of judgments, risks and uncertainties. Accordingly, forward-looking statements should not be relied upon as representing our views as of any subsequent date, and, in any event, you should not place undue reliance on these forward-looking statements.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those factors described in Part II Item 1A Risk Factors of this Report. Should one or more of these risks or uncertainties materialize, or should any of the assumptions prove incorrect, actual results may vary in material respects from those projected in these forward-looking statements. Our Risk Factors are not guarantees that no such conditions exist as of the date of this Report and should not be interpreted as an affirmative statement that such risks or conditions have not materialized, in whole or in part.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known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mission is to deliver artificial intelligence software products that enable robotic and unmanned platforms, or robotic systems, in the industrial and defense sectors to perform complex tasks in arbitrary (i.e., unstructured and dynamic) human environments. Our AI/ML Foundational Technology enhances the utility and functionality of third-party stationary and mobile robotic systems by allowing these systems to quickly observe, learn, reason and act in structured and unstructured environments. Our AI/ML Foundational Technology is designed with artificial intelligence ("AI") and machine learning ("ML") technologies to enable robotic systems to perceive their environment and quickly adapt to changing circumstances by generalizing (i.e., learning) from their past experience using dynamic real-time operations "on the edge" (i.e., on the robotic system and not in the cloud) without extensive programming, training or the latency associated with processing in the cloud. We believe this "human-like" ability to learn, reason and adapt will be a key differentiator in assisting our customers to enhance productivity in dynamic or unstructured environments, where human reasoning has traditionally been required to complete the task. We designed our AI/ML Foundational Technology to be hardware agnostic, meaning that our AI/ML software products are designed so that with a minimal integration effort they will be able to function on a wide variety of industrial robots, cobots, unmanned aerial vehicles ("UAV"), unmanned ground vehicles ("UGV") and other remotely operated vehicles ("ROV").</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AI/ML Foundational Technology is the foundational technology for our two software products. The first, Palladyne IQ, has been developed for use with industrial robots and cobots, and the second, Palladyne Pilot, has been developed for use with unmanned platforms with our current focus being Class 1 UAVs. We have released the initial commercial versions of our Palladyne IQ product and our Palladyne Pilot product. We expect to continue to advance and evolve our technology and products in response to the evolving demands of our customers in the various industries we expect to serve. Palladyne IQ and Palladyne Pilot are in the early stages of commercialization (the process of bringing the product to market, generating sales and deploying the product with customers) and they continue to undergo reliability testing, debugging, and other stabilizing improvements.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our initial customer base will be comprised of innovators and early adopters in the industrial manufacturing, defense, infrastructure maintenance, repair and surveillance, energy and aerospace and aviation industries. We believe that if we are successful in demonstrating the value of our products with these early adopters, there will be many potential customers that follow. Palladyne IQ is being offered through a term-based licensing model that would result in a recurring revenue stream, while Palladyne Pilot is offered through a device-based licensing model. We may also offer add-on functionality for an additional license fee. While we plan to charge an upfront fee for the hardware associated with Palladyne IQ, we may choose to embed the cost in the license fee in the future. We expect to begin generating revenues from commercial customers of Palladyne IQ and Palladyne Pilot in 2025. The majority of our sales and marketing efforts are focused initially on U.S. markets, but we are also exploring opportunities in select non-U.S. markets on a more limited basis.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4" w:name="page25"/>
    <w:bookmarkEnd w:id="24"/>
    <w:p>
      <w:pPr>
        <w:jc w:val="both"/>
        <w:spacing w:after="0" w:line="261" w:lineRule="auto"/>
        <w:rPr>
          <w:sz w:val="20"/>
          <w:szCs w:val="20"/>
          <w:color w:val="auto"/>
        </w:rPr>
      </w:pPr>
      <w:r>
        <w:rPr>
          <w:rFonts w:ascii="Times New Roman" w:cs="Times New Roman" w:eastAsia="Times New Roman" w:hAnsi="Times New Roman"/>
          <w:sz w:val="18"/>
          <w:szCs w:val="18"/>
          <w:color w:val="auto"/>
        </w:rPr>
        <w:t>We have U.S. government revenue-generating contracts related to various aspects of our AI/ML Foundational Technology and our Palladyne IQ and Palladyne Pilot products. As scheduled to date, we have timely met all the development milestones associated with these contracts and recognized revenue based on work completed. Please see Part II Item 1A Risk Factors for a discussion of the risks related to these activities, in particular those discussed under "Risks Related to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Operating Results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that our performance and future success depend on several factors that present significant opportunities for us but also pose risks and challenges, including those discussed below and in Part II Item 1A Risk Factors.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Testing and Commercial Launch of our AI/ML Software Products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expect to derive commercial licensing revenues from commercial customers beginning in 2025. We expect to continue commercialization efforts, internal testing and customer trials for both products throughout 2025. Whether we are successful in these efforts depends on many factors, including those discussed under Part II Item 1A Risk Factors. Such risks may result in delay in achieving product revenues, which would adversely affect our financial condition and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of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intend to use our cash on hand to continue to enhance our software products, conduct product development activities, pursue marketing and sales opportunities and fund operations as we seek to further commercialize and enhance and achieve revenue from our products. The amount and timing of our future funding requirements will depend on many factors, including the pace and results of our product commercialization and enhancement efforts, our ability to sell our software products and thereby recognize associated revenue, capital and human capital requirements to develop and sell products prior to receiving payments sufficient to cover our costs and our ability to lower product costs as volumes increase.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taken and continue to take numerous steps to manage our use of cash. For example, we conducted two workforce reductions during 2023 (the "2023 RIFs") which allowed us to further conserve our cash resources and manage operating expenses. The last cash payments related to the 2023 RIFs were paid during the first quarter of 2024. Additionally, during the fourth quarter of 2024 and the first quarter of 2025 we raised approximately $39.4 million in gross proceeds from the sale of our Common Stock and warrants. For further information on our financing activities, see "</w:t>
      </w:r>
      <w:r>
        <w:rPr>
          <w:rFonts w:ascii="Times New Roman" w:cs="Times New Roman" w:eastAsia="Times New Roman" w:hAnsi="Times New Roman"/>
          <w:sz w:val="18"/>
          <w:szCs w:val="18"/>
          <w:i w:val="1"/>
          <w:iCs w:val="1"/>
          <w:color w:val="auto"/>
        </w:rPr>
        <w:t>Liquidity and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Resources.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we have sufficient liquidity to operate for at least the next 12 months without the need to raise additional capital. However, we may decide to seek additional financing during that time to bolster our cash reserves and increase our ability to continue to pursue our business objectives. As a result, we intend to continue monitoring our liquidity, financial and business results and outlook and market conditions, and may be opportunistic and raise capital when we consider market conditions are good or a favorable opportunity exists. Any delays in the sales of our AI/ML software products will negatively impact our ability to generate revenue, our profitability, our cash flows, our overall operating performance and our ability to continue operations and may result in the need to raise additional capital. We will continue to carefully evaluate our use of cash and liquidity.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Demand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demand for AI/ML software products has grown in recent years, the market continues to evolve. The market demand for our software is unproven, and important assumptions about the characteristics of targeted markets, pricing and sales cycles may be inaccurate. While we believe that our products will provide significant benefits and return on investment to customers, as it is a new technology, we are dependent on customers who are willing to adopt, purchase and implement new technologies and products. If customer demand does not develop as expected or we do not accurately estimate pricing, adoption rates and sales cycles for our products, our business, results of operations and financial condition will be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Investment and Innovation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pioneer in the robotic systems industry and benefit from lessons learned over 30-plus years and significant investment in research and development. Through our hardware development efforts over many years, including our related AI-software development efforts, we developed a significant amount of advanced technology that we are leveraging to develop our AI/ML Foundational Technology and related products. We believe our financial performance is dependent on our ability to enhance and update our products. It is important that we continually identify and respond to rapidly evolving customer requirements and competitive threats, develop and introduce innovative products, enhance our products and generate active market demand for and sell our products. If we fail to do this, our market and financial position and revenue may be adversely affected, and our investments in these technologies will not be recovered.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Geopolitical and Macro-economic Environment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Geopolitical and macro-economic factors, such as inflation, changes in United States trade policy, including recently announced tariffs, interest rates, oil prices, unemployment rates, international conflicts, such as the current wars between Russia and Ukraine and in the middle east, volatility in the stock market and political or social unrest, can have significant impacts on economic activity, which in turn could affect demand for our products or our ability to cost-effectively develop and sell our products. Among other things, these and similar factors can affect our ability to hire or retain qualified personnel, our labor and materials costs, the prices we charge for our software products and the budgets of our customers and their expected return-on-investment from the purchase of a license for our software product. Many of these factors are outside of our control but can have a significant impact on our business success and operating results. If we are unable to manage our business successfully in response to any such factors, our business and results of operations would be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2025 and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revenue for the three months ended March 31, 2025 and 2024, respectively:</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5"/>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2"/>
        </w:trPr>
        <w:tc>
          <w:tcPr>
            <w:tcW w:w="4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5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20" w:type="dxa"/>
            <w:vAlign w:val="bottom"/>
          </w:tcPr>
          <w:p>
            <w:pPr>
              <w:spacing w:after="0"/>
              <w:rPr>
                <w:sz w:val="17"/>
                <w:szCs w:val="17"/>
                <w:color w:val="auto"/>
              </w:rPr>
            </w:pPr>
          </w:p>
        </w:tc>
        <w:tc>
          <w:tcPr>
            <w:tcW w:w="12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80" w:type="dxa"/>
            <w:vAlign w:val="bottom"/>
          </w:tcPr>
          <w:p>
            <w:pPr>
              <w:spacing w:after="0"/>
              <w:rPr>
                <w:sz w:val="17"/>
                <w:szCs w:val="17"/>
                <w:color w:val="auto"/>
              </w:rPr>
            </w:pPr>
          </w:p>
        </w:tc>
      </w:tr>
      <w:tr>
        <w:trPr>
          <w:trHeight w:val="19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Product Development Contract Revenue</w:t>
            </w: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1,710</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828</w:t>
            </w: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94%</w:t>
            </w:r>
          </w:p>
        </w:tc>
      </w:tr>
      <w:tr>
        <w:trPr>
          <w:trHeight w:val="203"/>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Product Revenue</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(2,559)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0"/>
        </w:trPr>
        <w:tc>
          <w:tcPr>
            <w:tcW w:w="4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 net</w:t>
            </w: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1,710</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3,441</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(1,731)</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0"/>
        </w:trPr>
        <w:tc>
          <w:tcPr>
            <w:tcW w:w="422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-24765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-24765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decreased by $1.7 million, or 50%, from $3.4 million for the three months ended March 31, 2024, to $1.7 million for the three months ended March 31, 2025, as explained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Development Contract Revenue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Product development contract revenue increased by $0.8 million, or 94%, from $0.9 million for the three months ended March 31, 2024, to $1.7 million for the three months ended March 31, 2025. The increase was primarily due to the progress made on and completion of certain milestones within our product development contracts during the current period. We expect future revenue from product development contracts to fluctuate due to the timing of additional development contracts signed and the completion of existing contracts. For the time being, we intend to take on only those development contracts that we believe support and contribute to our AI/ML Foundational Technology and related product development efforts. As a result, there may be fewer opportunities to replace completed contracts.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derived from product sales decreased by $2.6 million, or 100%, from $2.6 million for the three months ended March 31, 2024, to $0.0 million for the three months ended March 31, 2025. The decrease was due to legacy hardware product sales during the three months ended March 31, 2024 that did not recur during the three months ended March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operating expenses for the three months ended March 31, 2025 and 2024:</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2"/>
        </w:trPr>
        <w:tc>
          <w:tcPr>
            <w:tcW w:w="4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70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r>
      <w:tr>
        <w:trPr>
          <w:trHeight w:val="203"/>
        </w:trPr>
        <w:tc>
          <w:tcPr>
            <w:tcW w:w="4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Cost of revenue</w:t>
            </w: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1,886</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(1,533)</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(81)%</w:t>
            </w:r>
          </w:p>
        </w:tc>
      </w:tr>
      <w:tr>
        <w:trPr>
          <w:trHeight w:val="203"/>
        </w:trPr>
        <w:tc>
          <w:tcPr>
            <w:tcW w:w="4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2,870</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2,895</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(25)</w:t>
            </w: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r>
      <w:tr>
        <w:trPr>
          <w:trHeight w:val="203"/>
        </w:trPr>
        <w:tc>
          <w:tcPr>
            <w:tcW w:w="4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(926)</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w:t>
            </w:r>
          </w:p>
        </w:tc>
      </w:tr>
      <w:tr>
        <w:trPr>
          <w:trHeight w:val="203"/>
        </w:trPr>
        <w:tc>
          <w:tcPr>
            <w:tcW w:w="4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Sales and marketing</w:t>
            </w:r>
          </w:p>
        </w:tc>
        <w:tc>
          <w:tcPr>
            <w:tcW w:w="1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1,219</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2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51%</w:t>
            </w:r>
          </w:p>
        </w:tc>
      </w:tr>
      <w:tr>
        <w:trPr>
          <w:trHeight w:val="203"/>
        </w:trPr>
        <w:tc>
          <w:tcPr>
            <w:tcW w:w="4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Asset write-down and restructuring</w:t>
            </w: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(83)</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20"/>
        </w:trPr>
        <w:tc>
          <w:tcPr>
            <w:tcW w:w="4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8,641</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10,794</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(2,153)</w:t>
            </w: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(20)%</w:t>
            </w:r>
          </w:p>
        </w:tc>
      </w:tr>
      <w:tr>
        <w:trPr>
          <w:trHeight w:val="20"/>
        </w:trPr>
        <w:tc>
          <w:tcPr>
            <w:tcW w:w="4100" w:type="dxa"/>
            <w:vAlign w:val="bottom"/>
            <w:tcBorders>
              <w:top w:val="single" w:sz="8" w:color="CFF0FC"/>
            </w:tcBorders>
            <w:shd w:val="clear" w:color="auto" w:fill="CFF0FC"/>
          </w:tcPr>
          <w:p>
            <w:pPr>
              <w:spacing w:after="0" w:line="20" w:lineRule="exact"/>
              <w:rPr>
                <w:sz w:val="1"/>
                <w:szCs w:val="1"/>
                <w:color w:val="auto"/>
              </w:rPr>
            </w:pPr>
          </w:p>
        </w:tc>
        <w:tc>
          <w:tcPr>
            <w:tcW w:w="17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-24765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-8255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-8255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-8255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revenue decreased by $1.5 million, or 81%, from $1.9 million for the three months ended March 31, 2024, to $0.4 million for the three months ended March 31, 2025. Cost of revenue decreased primarily due to lower product costs, which resulted from the decline in product revenue, as well as decreased labor and material expenses charged to product development contracts during the three months ended March 31, 2025 as compared to the three months ended March 31,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essentially flat, decreasing by 1% from the three months ended March 31, 2025, as compared to the three months ended March 31, 2024. Research and development costs during the three months ended March 31, 2025, were made up of costs to commercialize our Palladyne Pilot product and to further enhance and test the commercial version of our Palladyne IQ product.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decreased by $0.9 million, or 18%, from $5.1 million for the three months ended March 31, 2024, to $4.2 million for the three months ended March 31, 2025. General and administrative expense decreased primarily due to reduced labor and labor related expenses, and business insurance expenses, partially offset by increased stock-based compensation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and marketing expense increased by $0.4 million, or 51%, from $0.8 million for the three months ended March 31, 2024, to $1.2 million for the three months ended March 31, 2025. This increase was driven by increased labor and labor related expenses and increased marketing program costs.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Write-down and Restructuring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significant asset write-down and restructuring costs for the three months ended March 31, 2025 or the prior year period.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other income for the three months ended March 31, 2025 and 2024, respectively:</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4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2"/>
        </w:trPr>
        <w:tc>
          <w:tcPr>
            <w:tcW w:w="5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00" w:type="dxa"/>
            <w:vAlign w:val="bottom"/>
          </w:tcPr>
          <w:p>
            <w:pPr>
              <w:spacing w:after="0"/>
              <w:rPr>
                <w:sz w:val="17"/>
                <w:szCs w:val="17"/>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20" w:type="dxa"/>
            <w:vAlign w:val="bottom"/>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r>
      <w:tr>
        <w:trPr>
          <w:trHeight w:val="203"/>
        </w:trPr>
        <w:tc>
          <w:tcPr>
            <w:tcW w:w="5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income, net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4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4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6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19%</w:t>
            </w:r>
          </w:p>
        </w:tc>
      </w:tr>
      <w:tr>
        <w:trPr>
          <w:trHeight w:val="203"/>
        </w:trPr>
        <w:tc>
          <w:tcPr>
            <w:tcW w:w="5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(Loss) gain on warrant liability</w:t>
            </w: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29,248</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(248)</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29,496</w:t>
            </w:r>
          </w:p>
        </w:tc>
        <w:tc>
          <w:tcPr>
            <w:tcW w:w="16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(11,894)%</w:t>
            </w:r>
          </w:p>
        </w:tc>
      </w:tr>
      <w:tr>
        <w:trPr>
          <w:trHeight w:val="196"/>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Total other income</w:t>
            </w:r>
          </w:p>
        </w:tc>
        <w:tc>
          <w:tcPr>
            <w:tcW w:w="20" w:type="dxa"/>
            <w:vAlign w:val="bottom"/>
            <w:tcBorders>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29,690</w:t>
            </w:r>
          </w:p>
        </w:tc>
        <w:tc>
          <w:tcPr>
            <w:tcW w:w="2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29,566</w:t>
            </w:r>
          </w:p>
        </w:tc>
        <w:tc>
          <w:tcPr>
            <w:tcW w:w="16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23,844%</w:t>
            </w:r>
          </w:p>
        </w:tc>
      </w:tr>
      <w:tr>
        <w:trPr>
          <w:trHeight w:val="20"/>
        </w:trPr>
        <w:tc>
          <w:tcPr>
            <w:tcW w:w="5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increased by $29.6 million from $0.1 million for the three months ended March 31, 2024, to $29.7 million for the three months ended March 31, 2025. Other income increased as a result of increased unrealized mark-to-market gains on our outstanding warrants and increased interest income from our investments in marketable securities due to an increase in invested funds.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had no significant income tax expense for the three months ended March 31, 2025 and 2024, respectively. The provision for income taxes for the three months ended March 31, 2025 and 2024 is based on the Company’s estimated annualized effective tax rate for the fiscal years ending December 31, 2025 and 2024, respectively. For the three months ended March 31, 2025 and 2024, the Company’s recognized effective tax rate differs from the U.S. federal statutory rate as the Company recorded net losses during the period with a corresponding full valuation allowance on the net deferred tax assets created from the losses.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 and Total Estimated Contract Value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backlog, as of March 31, 2025, was $1.9 million, $1.0 million of which was funded and $0.9 million of which was unfunded. Our backlog is equal to our remaining performance obligations under contracts or the expected value of exercised contracts, both funded and unfunded, less revenue recognized to date. Our total estimated contract value, which combines backlog with estimated potential contract value, including unexercised options from existing firm contracts, was $8.8 million as of March 31, 2025.</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cash equivalents and marketable securities were $46.6 million as of March 31, 2025, compared to $40.1 million as of December 31, 2024. We have incurred losses from operations and negative cash flows from operations since inception and are likely to continue to incur losses from operations and negative cash flows from operations in the near term. As of March 31, 2025, we had an accumulated deficit of approximately $468.1 million and working capital of $47.1 million.</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31, 2024, we announced that we raised approximately $7 million in gross proceeds from the sale of Common Stock and warrants through a registered offering and two separate private placements. On November 13, 2024, we entered into an open market sale agreement (the "Sales Agreement") with Jefferies to sell shares of our Common Stock from time to time through an "at-the-market" equity offering program under which Jefferies is acting as our sales agent and on November 13, 2024, we filed a prospectus supplement with the SEC in connection with the offer and sale of up to $18.0 million of shares of our Common Stock pursuant to the Sales Agreement. As of December 31, 2024, we had sold a total of 3,680,543 shares of our Common Stock under the Sales Agreement for gross sales proceeds of approximately $18.0 million, before deducting commission and other expenses. On December 31, 2024 we filed a prospectus supplement in connection with offering for sale an additional $30.0 million of shares pursuant to the Sales Agreement. During the three months ended March 31, 2025, we sold a total of 1,335,807 shares of our Common Stock under the Sales Agreement for gross sales proceeds of approximately $14.4 million, before deducting commission and other expenses. We believe that our cash, cash equivalents and marketable securities on hand will be sufficient to support operations, working capital and capital expenditure requirements for at least the next 12 months from the date of this Report.</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primary use of cash is for operations and administrative activities including employee-related expenses and general, operating and overhead expenses. While we do not have any debt, we do have a long-term lease for our facilities in Salt Lake City, Utah. Future capital requirements will depend on many factors, including the timing and extent of development efforts, the expansion and results of sales and marketing activities, the sales cycle for our products, customer acquisition and revenues, revenue growth rate, customer retention, the introduction of new and enhanced product offerings and market acceptance of our products.</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taken many steps to reduce our use of cash, for example, we suspended our hardware product development efforts and focusing those efforts on our AI/ML Foundational Technology and related products, conducted the 2023 RIFs and terminated our operations in Pittsburgh, Pennsylvania. We plan to use our existing capital to further commercialize and conduct sales and marketing efforts for Palladyne IQ and Palladyne Pilot, as well as continue product development efforts for the next versions of our products.</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amount and timing of our future funding requirements will depend on many factors, including the pace and results of our product development efforts, our ability to release and license our commercial products and thereby recognize associated revenue and capital requirements to conduct marketing and sales activities prior to receiving payments sufficient to cover our costs. Any delays in the sales of our software products will negatively impact our ability to generate revenue, profitability, overall operating performance and financial condition. If we are unable to raise additional capital when desired or needed, our business, results of operations and financial condition would be materially and adversely affected.</w:t>
      </w:r>
    </w:p>
    <w:p>
      <w:pPr>
        <w:spacing w:after="0" w:line="18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may enter into arrangements to acquire or invest in complementary businesses, services and technologies, which may require acquisition capital as well as operational capital for these acquisitions or arrangements. We may be required to seek additional equity or debt financing to facilitate these arrangements. If additional financing is required from outside sources in connection with these arrangements, we may not be able to raise it on terms acceptable to us, or at all.</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currently primarily use cash from equity financings to fund operations and capital expenditures and meet working capital requirements. If additional funds are required to support our working capital requirements, for acquisitions or for other purposes, we may seek to raise funds through additional debt or equity financings or from other sources. We have taken numerous steps to manage our use of cash, including conducting the 2023 RIFs and other related actions. However, we may decide to seek additional financing, and we intend to continue monitoring our liquidity, financial and business results and outlook and market conditions, and may be opportunistic and raise capital when market conditions are good or a favorable opportunity exists including under our "at-the-market" equity offering programs. Any delays in the successful further commercialization and sales of our software products will negatively impact our ability to generate revenue, our profitability and our overall operating performance and result in the need to raise additional capital sooner than expected. If we raise additional funds through the issuance of equity or convertible debt securities, the percentage ownership of our equity holders could be significantly diluted and these newly issued securities may have rights, preferences or privileges senior to those of existing equity holders. If we raise additional funds by obtaining loans from third parties, the terms of those financing arrangements may include negative covenants or other restrictions on our business that could impair our operating flexibility and would also require us to incur additional interest expense. Additional financing may not be available at all or, if available, may not be available on terms favorable to us or that we find acceptable. For additional information around the risks associated with our capital needs see Part II Item 1A Risk Factors “</w:t>
      </w:r>
      <w:r>
        <w:rPr>
          <w:rFonts w:ascii="Times New Roman" w:cs="Times New Roman" w:eastAsia="Times New Roman" w:hAnsi="Times New Roman"/>
          <w:sz w:val="18"/>
          <w:szCs w:val="18"/>
          <w:i w:val="1"/>
          <w:iCs w:val="1"/>
          <w:color w:val="auto"/>
        </w:rPr>
        <w:t>Our business plans require a significant amount of capital. We may sell 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 or debt securities to meet capital needs or as we may otherwise determine to be advisable that may dilute our stockholders or introduce</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8" w:name="page29"/>
    <w:bookmarkEnd w:id="28"/>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covenants that may restrict our operations or our ability to pay dividends. If we require additional capital and are not able to secure new funding, we may not be able to continue our business operations.”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 data for the periods presented: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6"/>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2"/>
        </w:trPr>
        <w:tc>
          <w:tcPr>
            <w:tcW w:w="4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(used in):</w:t>
            </w:r>
          </w:p>
        </w:tc>
        <w:tc>
          <w:tcPr>
            <w:tcW w:w="12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03"/>
        </w:trPr>
        <w:tc>
          <w:tcPr>
            <w:tcW w:w="4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(7,516)</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(7,236)</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(280)</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w:t>
            </w:r>
          </w:p>
        </w:tc>
      </w:tr>
      <w:tr>
        <w:trPr>
          <w:trHeight w:val="203"/>
        </w:trPr>
        <w:tc>
          <w:tcPr>
            <w:tcW w:w="4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(27,545)</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15,938</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(43,483)</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(273)%</w:t>
            </w:r>
          </w:p>
        </w:tc>
      </w:tr>
      <w:tr>
        <w:trPr>
          <w:trHeight w:val="203"/>
        </w:trPr>
        <w:tc>
          <w:tcPr>
            <w:tcW w:w="4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13,933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(43)</w:t>
            </w:r>
          </w:p>
        </w:tc>
        <w:tc>
          <w:tcPr>
            <w:tcW w:w="16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13,976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(32,502)%</w:t>
            </w:r>
          </w:p>
        </w:tc>
      </w:tr>
      <w:tr>
        <w:trPr>
          <w:trHeight w:val="20"/>
        </w:trPr>
        <w:tc>
          <w:tcPr>
            <w:tcW w:w="4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(decrease) increase in cash and cash equivalents</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(21,128)</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8,659</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(29,787)</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w:t>
            </w:r>
          </w:p>
        </w:tc>
      </w:tr>
      <w:tr>
        <w:trPr>
          <w:trHeight w:val="20"/>
        </w:trPr>
        <w:tc>
          <w:tcPr>
            <w:tcW w:w="460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-25400</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-25400</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-25400</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flows used in operating activities during the three months ended March 31, 2025 increased by $0.3 million to $7.5 million from $7.2 million during the same period in 2024. The increase to net cash used in operating activities was primarily attributable to a net increase of $29.2 million in non-cash gains, mainly due to change in the fair value of our warrant liabilities and changes in operating assets and liabilities, which increased by $1.1 million, partially offset by a $30.0 million increase to net income.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Provided by Investing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net cash used in investing activities during the three months ended March 31, 2025 increased by $43.5 million as compared to the same period in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cash used in investing activities is predominantly due to $27.5 million of purchases of marketable securities during the three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as compared to $16.0 million of maturities of marketable securities, during the three months ended March 31, 2024.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(Used In) Financing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net cash provided by financing activities during the three months ended March 31, 2025 increased by $14.0 million as compared to the prior year period. The increase in cash provided by financing activities is predominantly due to the $13.9 million, after deducting transaction costs, in net proceeds from the sale of our Common Stock during the three months ended March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102(b)(1) of the Jumpstart our Business Startups Act of 2012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and have elected to take advantage of the benefits of the extended transition period for new or revised financial accounting standards. We will remain an emerging growth company until the earliest of (i) the last day of the fiscal year in which the market value of Common Stock that is held by non-affiliates exceeds $700 million as of the end of that year’s second fiscal quarter,</w:t>
      </w:r>
    </w:p>
    <w:p>
      <w:pPr>
        <w:spacing w:after="0" w:line="1" w:lineRule="exact"/>
        <w:rPr>
          <w:sz w:val="20"/>
          <w:szCs w:val="20"/>
          <w:color w:val="auto"/>
        </w:rPr>
      </w:pPr>
    </w:p>
    <w:p>
      <w:pPr>
        <w:ind w:left="280" w:hanging="272"/>
        <w:spacing w:after="0"/>
        <w:tabs>
          <w:tab w:leader="none" w:pos="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in which we have total annual gross revenue of $1.235 billion or more during such fiscal year (as indexed for inflation),</w:t>
      </w:r>
    </w:p>
    <w:p>
      <w:pPr>
        <w:spacing w:after="0" w:line="9" w:lineRule="exact"/>
        <w:rPr>
          <w:rFonts w:ascii="Times New Roman" w:cs="Times New Roman" w:eastAsia="Times New Roman" w:hAnsi="Times New Roman"/>
          <w:sz w:val="18"/>
          <w:szCs w:val="18"/>
          <w:color w:val="auto"/>
        </w:rPr>
      </w:pPr>
    </w:p>
    <w:p>
      <w:pPr>
        <w:jc w:val="both"/>
        <w:ind w:firstLine="8"/>
        <w:spacing w:after="0" w:line="253" w:lineRule="auto"/>
        <w:tabs>
          <w:tab w:leader="none" w:pos="31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more than $1 billion in non-convertible debt in the prior three-year period or (iv) December 31, 2026, and we expect to continue to take advantage of the benefits of the extended transition period,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financial statements, which have been prepared in accordance with accounting principles generally accepted in the United States ("GAAP"). The preparation of these financial statements requires us to make estimates and judgments that affect the reported amounts of assets and liabilities and related disclosure of contingent assets and liabilities, revenue and expenses at the date of the financial statements. Generally, we base our estimates on historical experience and on various other assumptions in accordance with GAAP that we believe to be reasonable under the circumstances. Actual results may differ from these estimates.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Critical accounting policies and estimates are those that we consider the most important to the portrayal of our financial condition and results of operations because they require our most difficult, subjective or complex judgments, often as a result of the need to make estimates about the effect of matters that are inherently uncertain. There have been no material changes to our critical accounting policies or estimates as disclosed in our Annual Report on Form 10-K for the year ended December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Note 1, Basis of Presentation and Summary of Significant Accounting Policies, to our unaudited interim condensed consolidated financial statements included elsewhere in this Report for recently adopted accounting pronouncements and recently issued accounting pronouncements not yet adopted as of the date of this Report.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otherwise required under this item.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are designed with the objective of ensuring that information required to be disclosed in our reports filed under the Exchange Act, such as this Report, is recorded, processed, summarized and reported within the time period specified in the SEC rules and forms. Disclosure controls and procedures are also designed with the objective of ensuring that such information is accumulated and communicated to our management, including the principa</w:t>
      </w:r>
      <w:r>
        <w:rPr>
          <w:rFonts w:ascii="Arial" w:cs="Arial" w:eastAsia="Arial" w:hAnsi="Arial"/>
          <w:sz w:val="18"/>
          <w:szCs w:val="18"/>
          <w:color w:val="auto"/>
        </w:rPr>
        <w:t>l</w:t>
      </w:r>
      <w:r>
        <w:rPr>
          <w:rFonts w:ascii="Times New Roman" w:cs="Times New Roman" w:eastAsia="Times New Roman" w:hAnsi="Times New Roman"/>
          <w:sz w:val="18"/>
          <w:szCs w:val="18"/>
          <w:color w:val="auto"/>
        </w:rPr>
        <w:t xml:space="preserve"> executive officer and principa</w:t>
      </w:r>
      <w:r>
        <w:rPr>
          <w:rFonts w:ascii="Arial" w:cs="Arial" w:eastAsia="Arial" w:hAnsi="Arial"/>
          <w:sz w:val="18"/>
          <w:szCs w:val="18"/>
          <w:color w:val="auto"/>
        </w:rPr>
        <w:t>l</w:t>
      </w:r>
      <w:r>
        <w:rPr>
          <w:rFonts w:ascii="Times New Roman" w:cs="Times New Roman" w:eastAsia="Times New Roman" w:hAnsi="Times New Roman"/>
          <w:sz w:val="18"/>
          <w:szCs w:val="18"/>
          <w:color w:val="auto"/>
        </w:rPr>
        <w:t xml:space="preserve"> financial officer, as appropriate to allow timely decisions regarding required disclosure. Our management evaluated, with the participation of our chief executive officer and chief financial officer (our “Certifying Officers”), the effectiveness of our disclosure controls and procedures as of the end of the fiscal quarter ended March 31, 2025, pursuant to Rule 13a-15(b) under the Exchange Act. Based upon that evaluation, our Certifying Officers concluded that our disclosure controls and procedures were effective as of March 31, 2025.</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do not expect that our disclosure controls and procedures will prevent all errors and all instances of fraud. Disclosure controls and procedures, no matter how well designed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fiscal quarter ended March 31, 2025 covered by this Report that has materially affected, or is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0" w:name="page31"/>
    <w:bookmarkEnd w:id="30"/>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From time to time, we may be subject to legal proceedings. We are not currently a party to or aware of any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in addition to the other information contained in this Report, including “Management’s Discussion and Analysis of Financial Condition and Results of Operations” and our unaudited condensed consolidated financial statements and related notes. If any of the events described in the following risk factors and the risks described elsewhere in this Report occurs, our business, operating results and financial condition could be materially harmed. This Report also contains forward-looking statements that involve risks and uncertainties. Our actual results could differ materially from those anticipated in the forward-looking statements as a result of factors that are described below and elsewhere in this Report or other risks that we currently deem immaterial or that may be unknown to 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an early stage company with a history of losses, and expect to incur significant losses for the foreseeable future.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incurred losses from operations and negative cash flows from operations since inception and are likely to continue to incur losses from operations and negative cash flows from operations in the near term. We incurred a loss from operations of $6.9 million for the three months ended March 31, 2025, and a loss from operations of $26.9 million for the year ended December 31, 2024. As of March 31, 2025, we had an accumulated deficit of $468.1 million and working capital of $47.1 million. We expect to incur significant losses for the foreseeable future. Forecasting the timing and amounts of expected revenue and our quarterly and annual results is challenging, in particular because the sales cycle, product acceptance, product pricing and customer adoption rates of our AI/ML Foundational Technology and related products are uncertain. Even if we are able to successfully develop our AI/ML Foundational Technology and related products and attract customers for commercial sales, we may not become profitable. Our potential profitability is dependent upon the successful development, commercial introduction and adoption on a large scale of our AI/ML Foundational Technology and related products and our ability to lower costs, none of which may occur. We may not be successful in achieving meaningful revenues from these products. Further, the timing, amount and growth rate of any such revenues are unknown.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likely to continue to incur losses in future periods as we:</w:t>
      </w:r>
    </w:p>
    <w:p>
      <w:pPr>
        <w:spacing w:after="0" w:line="333"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design, develop and commercialize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sales and marketing activities and develop our sales and customer service capabilities;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invest in our AI/ML Foundational Technology's technology infrastructure and cybersecurity measures, policies and controls;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our general and administrative functions and systems to support our operations and to operate as a publicly-traded company.</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we will incur costs and expenses from these and other efforts before we receive significant licensing revenue, we expect to incur losses in future periods, which could be significant. In addition, we may find that these efforts are more expensive than we currently anticipate or that these efforts may result in less than expected or no additional revenue, which would further increase our losses and affect our ability to continue operations. We may have to obtain additional capital from external sources, and additional financing may not be available when needed or, if available, may not be available on terms favorable to us or to our stockholders. See "</w:t>
      </w:r>
      <w:r>
        <w:rPr>
          <w:rFonts w:ascii="Times New Roman" w:cs="Times New Roman" w:eastAsia="Times New Roman" w:hAnsi="Times New Roman"/>
          <w:sz w:val="18"/>
          <w:szCs w:val="18"/>
          <w:i w:val="1"/>
          <w:iCs w:val="1"/>
          <w:color w:val="auto"/>
        </w:rPr>
        <w:t>Our business plans require a significant amount of capital. We may sell additional equity or debt securities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meet capital needs or as we may otherwise determine to be advisable that may dilute our stockholders or introduce covenants that may restrict our operations or our ability to pay dividends. If we require additional capital and are not able to secure new funding, we may not be able to continue our business operations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and financial projections rely on management assumptions and analyses. If these assumptions or analyses prove to be incorrect, as they often have in the past, our actual operating results may be materially different from our expected or forecasted results.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an early stage company, with no previous experience commercializing software products. Our projected financial and operating information reflect estimates of future performance and are based on multiple business, financial, technical and operational assumptions, including product strategy, timely hiring or retention of needed personnel, timing and success of commercial launch of our software products, the level of demand for our software products, the size of our target markets, the performance and utilization of our software products, product pricing and the nature and length of the sales cycle. However, given our limited commercial experience, many of these assumptions may prove to be incorrect. Projections and other statements about future expectations are forward-looking statements that are inherently subject to significant risks, uncertainties and contingencies, many of which are beyond our control (in addition to the information contained in these Risk Factors, see "</w:t>
      </w:r>
      <w:r>
        <w:rPr>
          <w:rFonts w:ascii="Times New Roman" w:cs="Times New Roman" w:eastAsia="Times New Roman" w:hAnsi="Times New Roman"/>
          <w:sz w:val="18"/>
          <w:szCs w:val="18"/>
          <w:i w:val="1"/>
          <w:iCs w:val="1"/>
          <w:color w:val="auto"/>
        </w:rPr>
        <w:t>Special Note Regarding Forward-Looking Statements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 of Financial Condition and Results of Operations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yet to achieve positive operating cash flow, and our ability to generate positive cash flow is uncertain.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had negative cash flow from operating activities of $22.6 million and $76.6 million for the years ended December 31, 2024 and 2023, respectively, and negative cash flow from operating activities of $7.5 million for the three months ended March 31, 2025. We expect to continue to have negative cash flow from operating activities for the foreseeable future as we expect to incur research and development, sales and marketing and general and administrative expenses in our efforts to commercialize our software products, increase sales and engage in continuous development work. We may not achieve positive cash flow in the near future or at all. Our business also may at times require significant amounts of working capital to support sales growth or additional product development efforts. An inability to generate positive cash flow for the near term may adversely affect our ability to raise capital for our business on reasonable terms or at all, adversely affect our ability to pursue our business objectives, diminish customer willingness to enter into transactions with us and have other adverse effects, all of which would affect our ability to continue operations. See </w:t>
      </w:r>
      <w:r>
        <w:rPr>
          <w:rFonts w:ascii="Times New Roman" w:cs="Times New Roman" w:eastAsia="Times New Roman" w:hAnsi="Times New Roman"/>
          <w:sz w:val="18"/>
          <w:szCs w:val="18"/>
          <w:i w:val="1"/>
          <w:iCs w:val="1"/>
          <w:color w:val="auto"/>
        </w:rPr>
        <w:t>"We are an early stage company with a history of losses,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expect to incur significant losses for the foreseeable future."</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no previous history or experience with commercializing software products and may not be able to do so efficiently, effectively or at all. We were unsuccessful in our efforts to commercialize the hardware technologies that we and our predecessor companies developed over the past several decades.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no previous history or experience commercializing AI/ML software products and may not be able to do so efficiently or effectively or at all. Historically we were unsuccessful in our efforts to commercialize our hardware products. Moreover, commercialization may be delayed due to the challenges discussed under "</w:t>
      </w:r>
      <w:r>
        <w:rPr>
          <w:rFonts w:ascii="Times New Roman" w:cs="Times New Roman" w:eastAsia="Times New Roman" w:hAnsi="Times New Roman"/>
          <w:sz w:val="18"/>
          <w:szCs w:val="18"/>
          <w:i w:val="1"/>
          <w:iCs w:val="1"/>
          <w:color w:val="auto"/>
        </w:rPr>
        <w:t>Successful commercialization of our AI/ML Foundational Technology and related products may be delayed beyond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current expectations and therefore product availability to customers, customer acquisition and receipt of software licensing revenue could be delayed.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development of our software products is a complex and evolving process that involves the development of new and emerging technologies, continued investment, including in privacy, safety and security efforts and potential collaborations with other companies, developers, partners and other participants. Market acceptance of our software products is uncertain and we may need to change product features to meet customer needs. We regularly evaluate our product roadmaps and make significant changes as our understanding of the technological challenges and market landscape and our product ideas and designs evolve. We also may be unsuccessful in our research and product development efforts.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key element of our long-term business strategy involves sales, marketing, training and customer service operations, including hiring personnel with the necessary experience. Managing and maintaining these operations is expensive and time consuming, and an inability to leverage such an organization effectively or at all could inhibit potential sales and the penetration and adoption of our software products. In addition, certain decisions we make regarding priorities and staffing in these areas in our efforts to responsibly manage our financial resources could have unintended negative effects on our revenue, such as by weakening the sales and marketing infrastructures or lowering the quality of customer service.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Successful commercialization of our AI/ML Foundational Technology and related products may be delayed beyond our current expectations and therefore product availability to customers, customer acquisition and receipt of software licensing revenue could be delayed.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focused on the development and commercialization of our AI/ML Foundational Technology and related products. Product testing and customer use regularly provide feedback on how we can improve our products. If we are unable to demonstrate that our software products deliver the performance, reliability, functionality and/or safety that we or our potential customers expect or quickly address discovered issues, commercial success may be delayed as we work to address the deficiencies. As a result of such delays, we may receive revenue later than expected or not at all if our potential customers decide to seek alternative solutions to our products, adversely affecting our results of operations and financial condition. If we are unable to recruit and retain employees as needed to commercialize our software products, we may be unable to do so in a timely manner or at all.</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2" w:name="page33"/>
    <w:bookmarkEnd w:id="32"/>
    <w:p>
      <w:pPr>
        <w:jc w:val="both"/>
        <w:spacing w:after="0" w:line="266" w:lineRule="auto"/>
        <w:rPr>
          <w:sz w:val="20"/>
          <w:szCs w:val="20"/>
          <w:color w:val="auto"/>
        </w:rPr>
      </w:pPr>
      <w:r>
        <w:rPr>
          <w:rFonts w:ascii="Times New Roman" w:cs="Times New Roman" w:eastAsia="Times New Roman" w:hAnsi="Times New Roman"/>
          <w:sz w:val="18"/>
          <w:szCs w:val="18"/>
          <w:color w:val="auto"/>
        </w:rPr>
        <w:t>Over recent years we experienced, and we continue to experience, these challenges, which have at times negatively impacted our product development schedules and progress. We expect these challenges to continue and, if they do and if we are unable to effectively mitigate their impact, it is likely that we will be unable to meet our currently expected timelines.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macro-economic conditions, such as changes in United States trade policy, including recently announced tariffs, inflation and high interest rates and geopolitical events such as the current wars between Russia and Ukraine and in the middle east, and responses thereto, have contributed to price increases and may continue to do so. If we are unable to develop and commercialize our software products in a cost efficient manner, our financial results, financial condition and prospects would be materially and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anticipated revenues are expected to be primarily derived from the licensing of our AI/ML software products for the foreseeable future.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are successful in commercializing our AI/ML Foundational Technology and related products, our revenue will be concentrated in licensing those software products for the foreseeable future. We will need to continue to enhance our products, develop new capabilities and establish and grow our customer base to diversify our revenue and customers. To the extent our AI/ML Foundational Technology and related products do not meet customer expectations, or cannot be completed or released on their projected timelines and in line with cost targets, our future revenue, operating results and financial condition will be adversely affected.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issues in the development and use of our AI/ML Foundational Technology or related products, or issues in products developed by others, may result in reputational harm or liability.</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issues in the development or use of our AI/ML Foundational Technology or related products, or issues in products developed by others, may result in reputational harm or liability. As with many innovations, AI presents risks, challenges and unintended consequences that could affect its adoption, and therefore our business. AI algorithms and training methodologies may be flawed, ineffective or inadequate. AI development or deployment practices by us or others could result in incidents that impair the acceptance of AI solutions or cause harm to individuals or society. These deficiencies and other failures of AI systems could subject us to competitive harm, regulatory action, legal liability and brand or reputational harm. If we enable or offer AI solutions that are controversial because of their impact on human rights, privacy, employment or other social, economic or political issues, we may experience competitive, brand or reputational harm or legal and/or regulatory action. Further, incorporating AI gives rise to litigation risk and risk of non-compliance and unknown costs of compliance, as AI is an emerging technology for which the legal and regulatory landscape is not fully developed. See "</w:t>
      </w:r>
      <w:r>
        <w:rPr>
          <w:rFonts w:ascii="Times New Roman" w:cs="Times New Roman" w:eastAsia="Times New Roman" w:hAnsi="Times New Roman"/>
          <w:sz w:val="18"/>
          <w:szCs w:val="18"/>
          <w:i w:val="1"/>
          <w:iCs w:val="1"/>
          <w:color w:val="auto"/>
        </w:rPr>
        <w:t>Issues in the development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use of AI/ML, combined with an uncertain regulatory environment, may result in reputational harm, liability or other adverse consequences to our business operations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AI/ML Foundational Technology and related products are new technologies, and customer trials and discussions may not result in purchases.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AI/ML Foundational Technology and related products are new technologies. As of the date of this Report, we have revenue generating contracts with U.S. government customers related to various aspects of our AI/ML Foundational Technology and related products, and while we continue to engage with numerous other potential customers, we currently have no commercial customers. Our software products contain advanced software and control technologies that we have developed over many years. The design of our software products is significantly influenced by feedback from potential customers and reflects the needs they express. Even if we are able to successfully incorporate that feedback into our software products, customers who initially expressed an interest in our software products during the design or testing phase may not purchase the software. If we cannot commercialize our AI/ML Foundational Technology and related products on our expected schedule, if our products do not offer our potential customers the features, functionality and return on investment that they expect, if potential customers are unwilling or hesitant to adopt new technologies and products such as ours and/or if potential customers are not willing to pay for our software products at the rates that we currently expect, our ability to generate material revenues will be materially impaired.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3" w:name="page34"/>
    <w:bookmarkEnd w:id="33"/>
    <w:p>
      <w:pPr>
        <w:jc w:val="both"/>
        <w:spacing w:after="0" w:line="258" w:lineRule="auto"/>
        <w:rPr>
          <w:sz w:val="20"/>
          <w:szCs w:val="20"/>
          <w:color w:val="auto"/>
        </w:rPr>
      </w:pPr>
      <w:r>
        <w:rPr>
          <w:rFonts w:ascii="Times New Roman" w:cs="Times New Roman" w:eastAsia="Times New Roman" w:hAnsi="Times New Roman"/>
          <w:sz w:val="18"/>
          <w:szCs w:val="18"/>
          <w:color w:val="auto"/>
        </w:rPr>
        <w:t>We have limited knowledge of the sales cycle of our products including the customer testing that will be required for customers to ultimately license our software products. As a result, customer testing may take longer than we anticipate, and we may not be able to provide such testing to the satisfaction of prospective customers, which could result in longer sales cycles and fewer purchases than anticipated. We may not be able to adapt our products to reflect customer feedback successfully or at all. If customers who initially express an interest in our software products and influenced their designs do not license our products, or if they adopt a competitors' technology, our business, prospects, financial condition and operating results would be adversely affected.</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build and maintain our business, we must maintain confidence among customers and potential customers in our AI/ML Foundational Technology and related products, long-term financial viability and prospects. Maintaining such confidence may be particularly complicated by certain factors including those that are largely outside of our control, such as our limited commercial software experience, customer unfamiliarity with our software, any delays in development, product performance, competition and uncertainty regarding the future of AI and robotics. If we do not generate sufficient licensing revenue, our business, prospects, financial condition and operating results would be materially and adversely affected. Further, if investors, analysts, rating agencies and other third parties are not confident in our AI/ML Foundational Technology and related products, our ability to commercialize our products, our financial viability or our prospects, we may not be able to raise any needed funding which would materially and adversely affect our financial condition and prospects and ability to continue operations.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target markets and the robotics industry do not continue to develop as we anticipate or if potential customers do not adopt our AI/ML Foundational Technology and related products and license our products, our sales will not grow as quickly as expected, or at all, and our business, operating results and financial condition would be harmed.</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market for our AI/ML Foundational Technology and related products and applications similar to the ones we are developing is relatively new and evolving. We are developing our software products to respond to an increasingly global and complex business environment with rigorous regulatory standards. If organizations do not allocate their budgets as we expect or if we do not succeed in convincing potential customers to license our software products, our sales will not grow as quickly as anticipated, or at all. Economic uncertainty or future deterioration in general economic conditions might also cause our customers to cut or delay their spending, and such cuts might disproportionately affect businesses like ours to the extent customers view our software products as too costly or discretionary. For example, the effects of the recently announced changes in U.S. trade policy, including tariffs, are unknown and may have the effect of diminishing customer willingness to enter into transactions with us. Moreover, market acceptance of our AI/ML Foundational Technology and related products is critical to our continued success. Even if the market grows as expected, if potential customers do not adopt our software products, our business, operating results, financial condition and growth prospects will be materially and adversely affected. If we are not able to generate material revenues from our software products before we exhaust our financial resources, we may need to cease business operations. See "</w:t>
      </w:r>
      <w:r>
        <w:rPr>
          <w:rFonts w:ascii="Times New Roman" w:cs="Times New Roman" w:eastAsia="Times New Roman" w:hAnsi="Times New Roman"/>
          <w:sz w:val="18"/>
          <w:szCs w:val="18"/>
          <w:i w:val="1"/>
          <w:iCs w:val="1"/>
          <w:color w:val="auto"/>
        </w:rPr>
        <w:t>We are an early stage company with a history of losses, and expect to incur significant losses for the foreseeable future.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Our business plans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 a significant amount of capital. We may sell additional equity or debt securities to meet capital needs or as we may otherwise determine to be advisable that may dilute our stockholders or introduce covenants that may restrict our operations or our ability to pay dividends. If we require additional capital and are not able to secure new funding, we may not be able to continue our business operations</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introduce and implement enhancements, new features or modifications to our AI/ML Foundational Technology and related products, our business would be harmed.</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are unable to successfully introduce and implement new applications, enhancements or features, or fail to develop new applications that achieve market acceptance or that keep pace with rapid technological developments, our business, operating results, financial condition and growth prospects would be adversely affected. The success of enhancements and new applications depend on several factors, including timely completion, introduction and market acceptance.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must continue to meet changing expectations and requirements of our customers. Any failure of our products to operate effectively with future software, such as third-party robotic operating systems and technologies or to evolve and scale to address the changing needs of our customers could reduce the demand for our products or result in customer dissatisfaction. Further, uncertainties about the timing and nature of new software or technologies, or modifications to our software or products or existing software or technologies, could increase our research and development expenses. If we are not successful in developing modifications and enhancements to our products or if we fail to introduce new applications to market in a timely fashion, our products might become less marketable, less competitive or obsolete, and consequently our revenue growth might be significantly impaired and our business, operating results and financial condition could be harmed.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attract or retain customers at sufficient rates or in sufficient numbers or at all.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no previous history or experience commercializing software products and may not be able to do so efficiently or effectively or at all. To create and grow our customer base, we must license our software to new customers, which we may not be able to do in sufficient numbers or at all. Even if we are able to attract customers, these customers may not maintain a high level of commitment to our software products. In addition, we will incur marketing, sales and other expenses, including referral fees, to attract new customers, which will offset revenue from such customers. For these and other reasons, we could fail to achieve revenue growth, which would adversely affect our results of operations, prospects and financial condition.</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our AI/ML Foundational Technology and related products to be used with robots operating in a wide variety of environments and for a broad range of complex uses. Our success depends on our ability, and the ability of our customers, to implement our products successfully in these environments. Customer retention will also be largely dependent on the quality and effectiveness of our customer service operations, which may be handled internally by our personnel and also by third-party service providers. We expect that we will need to often assist our customers in implementing our software products. If we or our customers are unable to implement our products successfully, or are unable to do so in a timely manner, inadequate performance might result and customer perceptions of our technology, products and company might be impaired, our reputation and brand might suffer, we may face legal claims, customers might choose not to renew or expand the use of our products and we might lose opportunities for additional sales.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 previous history with our licensing sales model.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 experience with licensing software as a business model. The success of our strategy to build recurring revenue streams through software licenses depends on our ability to successfully market our products and their benefits to customers and to successfully develop a network of ongoing customers that maintain or renew their licenses, pay for upgrades, license additional functionality or expand the use of the software within their robotic systems. The likelihood of our success must be considered in light of these risks, and our license model may not prove successful.</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our competitors may offer different pricing models that may be more attractive to potential customers. We may be required to adjust our sales model in response to these changes, which could adversely affect our financial performance.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Important assumptions about market demand, pricing, adoption rates and sales cycles for our software products may be inaccurate.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decision to focus our business strategy on the development and commercialization of our commercial AI/ML Foundational Technology was based in part on our estimates of the potential addressable market, pricing, adoption rates and sales cycles for our related products. However, the market demand for our AI/ML software products is unproven, and important assumptions about the characteristics of targeted markets, pricing and sales cycles may be inaccurate.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Given the evolving nature of the markets in which we operate, it is difficult to predict customer demand or adoption rates for our software products or the future growth of the markets we target. If one or more of the targeted markets experience a shift in customer demand, whether due to new solutions that better address customer needs or otherwise, our software products may not compete as effectively, if at all. If customer demand does not develop as expected, or if we do not achieve forecasted pricing, adoption rates and sales cycles for our software products, our business, results of operations and financial condition will be adversely affected, perhaps materially.</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benefits of our AI/ML Foundational Technology and related products to customers and projected return on investment have not been substantiated through customer use.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AI/ML Foundational Technology and related products have not been commercially used by customers. Our products may not perform consistent with customers' expectations or consistent with other products that may be or may become available. Any failure of our products to perform as expected could harm our reputation and result in adverse publicity, lost revenue, license cancellation, harm to our brand, delays in availability, product liability claims and significant warranty and other expenses and could have a material adverse impact on our business, prospects, financial condition and operating results.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intend to target many customers that are large businesses with substantial negotiating power, exacting product standards and potentially competitive internal solutions. If we are unable to sell our software products to these customers, our prospects and results of operations will be adversely affected.</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that many of our potential customers will be large businesses with substantial negotiating power relative to us and, in some instances, may have internal solutions that are competitive to our AI/ML software products. These large businesses also have significant development resources, which may allow them to acquire or develop independently, or in partnership with others, competitive technologies. Meeting the technical requirements and securing binding commitments from any of these businesses will require a substantial investment of our time and resources. We may be unable to secure customers from these or other businesses or we may be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5" w:name="page36"/>
    <w:bookmarkEnd w:id="35"/>
    <w:p>
      <w:pPr>
        <w:jc w:val="both"/>
        <w:spacing w:after="0" w:line="266" w:lineRule="auto"/>
        <w:rPr>
          <w:sz w:val="20"/>
          <w:szCs w:val="20"/>
          <w:color w:val="auto"/>
        </w:rPr>
      </w:pPr>
      <w:r>
        <w:rPr>
          <w:rFonts w:ascii="Times New Roman" w:cs="Times New Roman" w:eastAsia="Times New Roman" w:hAnsi="Times New Roman"/>
          <w:sz w:val="18"/>
          <w:szCs w:val="18"/>
          <w:color w:val="auto"/>
        </w:rPr>
        <w:t>unable to generate meaningful revenue from these potential customers. If our software products are not selected by these large businesses or if these businesses develop or acquire competitive technology, it may have a material adverse effect on our business, prospects, financial condition and operating results.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portion of our revenue is currently and will continue to be generated by contracts with government entities, which make us subject to a number of uncertainties, challenges and risks.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Contracts with government entities are subject to a number of risks. Such relationships can be highly competitive, expensive and time-consuming, often requiring significant upfront time and expense without any assurance that these efforts will generate revenue. Factors that could impede our ability to generate revenue from government contracts include: changing political environments and shifts in government priorities; impacts and changes to government spending; and budgetary or staffing cuts at government entities, including at the Department of Defense ("DoD"). The impact of any of these factors or other factors that affect government spending could result in cancellations of our contracts or in delays or terminations of opportunities that we are currently pursuing and negatively impact our business, financial condition and results of operations. U.S. government spending may be reduced as a result of changes in policy, and other factors affecting the U.S. government such as national security focus areas, budget deficits and the national debt. If we are successful in being awarded a government contract, such award may be subject to appeals, disputes or litigation, including bid protests by unsuccessful bidders. Government demand and payment for our solutions may be impacted by public sector budgetary cycles and funding authorizations, with funding reductions or delays adversely affecting public sector demand for our solutions. Government entities may have statutory, contractual or other legal rights to terminate our contracts for convenience or default. Also, see "</w:t>
      </w:r>
      <w:r>
        <w:rPr>
          <w:rFonts w:ascii="Times New Roman" w:cs="Times New Roman" w:eastAsia="Times New Roman" w:hAnsi="Times New Roman"/>
          <w:sz w:val="18"/>
          <w:szCs w:val="18"/>
          <w:i w:val="1"/>
          <w:iCs w:val="1"/>
          <w:color w:val="auto"/>
        </w:rPr>
        <w:t>We are subject to laws, regulations and contractual provisions as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government contractor or subcontractor, which may pose increased risk of potential liability and expenses related thereto, which could have a material adverse effect on our business, operating results and financial condition.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competitive industry that is subject to rapid technological change, and we expect competition to increase. Our products may not be competitive with other alternatives.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AI/ML software and robotics industries are subject to rapid technological change, and we expect competition to increase in the future. Our research and development efforts may be unable to keep up with changes in technology or its alternatives and, as a result, our competitiveness may suffer. Developments in alternative technologies or solutions may materially and adversely affect our competitiveness in ways we do not currently anticipate. While we plan to upgrade and adapt our software products as we or others develop new technology, any failure by us to develop new or enhanced technologies or processes, or successfully react to changes or advances in existing technologies, could delay our development and introduction of new and enhanced products, which could result in the loss of competitiveness, decreased revenue and a loss of market share to competitors. We believe our AI/ML Foundational Technology and related products will compete (both directly and indirectly) with companies such as Bright Machines, Intrinsic, Liquid AI, Mujin, Physical Intelligence, Rapid Robotics, Skild AI, Anduril and Shield AI. We believe that our competitors are seeking to solve the same or similar industry challenges as we are, but that most are focused on a particular aspect of the functionality of our AI/ML Foundational Technology rather than a fully competitive solution.</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view industrial robotics and cobot manufacturers such as ABB, Fanuc, Kawasaki, KUKA, Universal Robots and Yasakawa, large system integrators such as Honeywell, Reply and Rockwell Automation and technology companies such as NVIDIA as potential target customers and/or channel and ecosystem partners for our AI/ML software products, we also recognize that these companies may emerge as formidable competitors through their own internal development efforts or future technology partnerships with or acquisitions of our competitors. They may bring their robust customer relationships, channels and significant financial resources to help accelerate the market viability of one of our direct or indirect competitors.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Many of our competitors and potential competitors have products that are commercially available and/or in development. We expect some products currently in development to become commercially available in the next few years. Further, our products may not be competitive with other alternatives.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competitor base may change or expand as we continue to develop and commercialize software products in the future. Competitors may develop products that utilize advanced technology similar to ours (such as computer vision, AI and ML) in a more effective way, or new technologies or products that provide superior results to customers or are less expensive than our software products. Our technologies and products could be rendered obsolete by such developments.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competitors may respond more quickly to new or emerging technologies, undertake more extensive marketing campaigns, have greater financial, marketing, manufacturing and other resources than we do, or may be more successful in attracting potential customers, employees and strategic partners. In addition, potential customers could have long-standing or contractual relationships with competitors. Potential customers may be reluctant to adopt our software products, particularly if they compete with or have the potential to compete with, or diminish the need/utilization of software products or technologies provided by any of our competitors with whom</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6" w:name="page37"/>
    <w:bookmarkEnd w:id="36"/>
    <w:p>
      <w:pPr>
        <w:ind w:right="20"/>
        <w:spacing w:after="0" w:line="282" w:lineRule="auto"/>
        <w:rPr>
          <w:sz w:val="20"/>
          <w:szCs w:val="20"/>
          <w:color w:val="auto"/>
        </w:rPr>
      </w:pPr>
      <w:r>
        <w:rPr>
          <w:rFonts w:ascii="Times New Roman" w:cs="Times New Roman" w:eastAsia="Times New Roman" w:hAnsi="Times New Roman"/>
          <w:sz w:val="18"/>
          <w:szCs w:val="18"/>
          <w:color w:val="auto"/>
        </w:rPr>
        <w:t>they may have an existing relationship. If we are not able to compete effectively, our business, prospects, financial condition and operating results will be adversely affected.</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addition, because we operate in new and evolving markets, the actions of our competitors could adversely affect our business. Adverse events such as product defects or legal claims with respect to competing or similar products could cause reputational harm to the AI/ML software or robotics markets as a whole and, accordingly,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enhance our product offerings through our research and development efforts.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to continue to advance and evolve our technology and products in response to the evolving demands of our customers in the various industries we expect to serve. Palladyne IQ and Palladyne Pilot are in the early stages of commercialization and we continue to undergo reliability testing, debugging, and other stabilizing improvements. We will incur significant additional product development efforts and expenses, and we may not be successful in commercializing or marketing our products at all or within our currently expected timelines or available resources.</w:t>
      </w:r>
    </w:p>
    <w:p>
      <w:pPr>
        <w:spacing w:after="0" w:line="1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released the initial commercial versions of our Palladyne IQ product and our Palladyne Pilot product. See "</w:t>
      </w:r>
      <w:r>
        <w:rPr>
          <w:rFonts w:ascii="Times New Roman" w:cs="Times New Roman" w:eastAsia="Times New Roman" w:hAnsi="Times New Roman"/>
          <w:sz w:val="18"/>
          <w:szCs w:val="18"/>
          <w:i w:val="1"/>
          <w:iCs w:val="1"/>
          <w:color w:val="auto"/>
        </w:rPr>
        <w:t>Successful commercialization of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AI/ML Foundational Technology and related products may be delayed beyond our current expectations and therefore product availability to customers, customer acquisition and receipt of software licensing revenue could be delayed.</w:t>
      </w:r>
      <w:r>
        <w:rPr>
          <w:rFonts w:ascii="Times New Roman" w:cs="Times New Roman" w:eastAsia="Times New Roman" w:hAnsi="Times New Roman"/>
          <w:sz w:val="18"/>
          <w:szCs w:val="18"/>
          <w:color w:val="auto"/>
        </w:rPr>
        <w:t>" In addition, we continue to make iterative improvements to our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well as work to develop the next versions of our products. If we fail to adequately communicate to customers product improvements, or if customer feedback is not adequately reflected in our product improvements, customers may not be persuaded of the value of our products. If we fail to generate demand by developing products that incorporate features desired by customers, we may fail to generate revenue sufficient to achieve or maintain profitability. We have in the past experienced and may in the future experience delays in various phases of product development, including during research and development, release testing and marketing and customer education efforts. Further, delays in product development would postpone demonstrations and customer testing, which are important opportunities for customer engagement, and cause us to miss expected timelines. Such delays could cause customers to delay or forgo purchases of our products, or to purchase competitors' products. Even if we are able to successfully develop our products when and as anticipated, we may not produce sales in excess of the costs of development, and our products may be quickly rendered obsolete by changing customer preferences or the introduction by competitors of products embodying new technologies or features. If we are unable to successfully manage our product development and communications with customers, customers may choose to not adopt or purchase our products, which would adversely affect our business, prospects, financial condition and operating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 and Growth</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Real or perceived design flaws, errors, defects, glitches, bugs or malfunctions (collectively,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flaws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in our AI/ML Foundational Technology and related products, failure of our software products to perform as expected, connectivity issues or user errors can result in lower than expected return on investment for customers, personal injury or property damage and significant security or safety concerns, each of which could materially and adversely affect our results of operations, financial condition or reputation.</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design, development and use of our AI/ML Foundational Technology and related products involve certain inherent risks. New software products generally suffer from flaws that are found, often as a result of customer use, and fixed over time. Real or perceived flaws in our products, connectivity issues, unanticipated or unintended use of our products, user errors or inadequate disclosure of risks relating to the use of our products, among others, can lead to injury, property damage or other adverse events. We have conducted, are conducting and plan to continue to conduct extensive testing of our software products, in some instances in collaboration with our customers, to ensure that any such issues can be identified and addressed. However, we may not be able to identify all such issues or, if identified, efforts to address them may not be effective in all cases, and our product testing may not be adequate. We plan to conduct investigations, where applicable, to identify the cause or causes of incidents and, when appropriate, implement changes to testing protocols or to the products to prevent such incidents from reoccurring. However, any implemented improvements may not fully prevent similar or other incidents in the future. Moreover, because of the size and weight of the third-party systems that may in the future use our AI/ML Foundational Technology and related products, and the nature and variability of the environments in which we expect this software to be used, adverse events relating to the use of our products could include significant injuries or even death. To the extent that flaws or connectivity issues are discovered during or after product development, we may experience delays in the development and/or sale of our products while the issues are resolved. For example, we continue our efforts to increase product reliability and stability and conduct ordinary course product testing and debugging have at times resulted in product development delays. If any flaws and related issues that may arise cannot be adequately resolved, product sales may not occur and/or resume.</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we may not be aware of flaws until injury to person or property has occurred. Such adverse events could lead to safety alerts relating to our software products (either voluntary or required by governmental authorities), and could result, in certain cases, in the removal of our products from the market. Flaws could also result in negative publicity, damage to our reputation or, in the event of regulatory developments, delays in new product approvals.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7" w:name="page38"/>
    <w:bookmarkEnd w:id="37"/>
    <w:p>
      <w:pPr>
        <w:jc w:val="both"/>
        <w:spacing w:after="0" w:line="256" w:lineRule="auto"/>
        <w:rPr>
          <w:sz w:val="20"/>
          <w:szCs w:val="20"/>
          <w:color w:val="auto"/>
        </w:rPr>
      </w:pPr>
      <w:r>
        <w:rPr>
          <w:rFonts w:ascii="Times New Roman" w:cs="Times New Roman" w:eastAsia="Times New Roman" w:hAnsi="Times New Roman"/>
          <w:sz w:val="18"/>
          <w:szCs w:val="18"/>
          <w:color w:val="auto"/>
        </w:rPr>
        <w:t>Complex software may frequently experience errors, especially when first introduced. Our products are complex and may experience errors or performance problems in the future. A failure of any part of our AI/ML Foundational Technology or related products could result in property damage, serious injury or even death. We plan to implement bug fixes and upgrades as part of our regular software maintenance, which may lead to downtime. Even if we are able to implement bug fixes and upgrades in a timely manner, customers and operators also may fail to install updates and fixes to the software for several reasons, including poor connectivity or inattention. Any such occurrence could cause delay in market acceptance of our software products, damage to our reputation, increased service and warranty costs, product liability claims and loss of revenue.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anticipate that in the ordinary course of business we may be subject to product liability claims alleging flaws in the design of our software products. A product liability claim, regardless of its merit or eventual outcome, could result in significant legal defense costs and high punitive damage payments, damage our reputation or require significant costs to redesign or fix our software or products. Although we maintain product liability insurance, the coverage is subject to deductibles and limitations, and may not be adequate to cover future claims.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our AI/ML Foundational Technology performs properly and our products are used as intended, if personal injuries occur while operating third-party products that use our AI/ML software, we could be exposed to liability and our results of operations, financial condition and reputation may be adversely affected.</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Third-party systems that may in the future use our AI/ML Foundational Technology will contain complex technology and must be used as designed and intended in order to operate safely and effectively. Even if our software products are used as designed and intended, customers may not operate complex third-party systems that use our products safely and effectively. In addition, we cannot predict all the ways in which the proper use or misuse of our products can lead to injury or damage to property, and our training resources and safety systems may not be successful at preventing all incidents. If personal injury or damage to property were to occur while operating our products in a manner consistent with our training and instructions or otherwise, we could be exposed to liability and our results of operations, financial condition and reputation may be adversely affected.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"open source" software, which could negatively affect our ability to offer our AI/ML Foundational Technology and related products and subject us to possible litigation.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AI/ML Foundational Technology incorporates "open source" software provided by third parties. Open source software is generally freely accessible, usable and modifiable, and is made available to the general public on an "as-is" basis under the terms of a non-negotiable license. Use and distribution of open source software may entail greater risks than use of third-party commercial software or internally developed software. Open source licensors generally do not provide warranties or other contractual protections regarding infringement claims or other claims relating to violation of intellectual property rights or the quality of the software. In addition, certain open source licenses, like the GNU Affero General Public License, may require us to offer for no cost the components of our software that incorporate the open source software, to make available source code for modifications or derivative works we create by incorporating or using the open source software or to license our modifications or derivative works under the terms of the particular open source license. If we are required under the terms of an open source license to release our proprietary source code to the public, competitors could create similar products with lower development effort and time, which ultimately could result in a loss of sales for us.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also face claims alleging noncompliance with open source license terms or infringement, misappropriation or other violation of open source technology. These claims could result in litigation or require us to purchase a costly license, devote additional research and development resources to re-engineer our software, discontinue the sale of our software products if re-engineering could not be accomplished on a timely or cost-effective basis, or make generally available our proprietary code in source code form, any of which would have a negative effect on our business and operating results, including being enjoined from the offering of the components of our software that contained the open source software. We could also be subject to lawsuits by parties claiming ownership of what we believe to be open source software. Litigation could be costly for us to defend, have a negative effect on our operating results and financial condition and require us to devote additional research and development resources to re-engineer our software.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monitor use of open source software and try to ensure that none is used in a manner that would subject our software to unintended conditions, few courts have interpreted open source licenses, and there is a risk that these licenses could be construed in a way that could impose unanticipated conditions or restrictions on our ability to commercialize our AI/ML Foundational Technology and related products. We cannot guarantee that we will incorporate open source software in our software in a manner that will not subject us to liability, or in a manner that is consistent with our current policies and procedures.</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business and prospects depend significantly on our ability to build our brand. We may not succeed in establishing, maintaining and strengthening an effective brand, and our brand and reputation could be harmed by negative publicity regarding us or our AI/ML Foundational Technology and related products.</w:t>
      </w: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8" w:name="page39"/>
    <w:bookmarkEnd w:id="38"/>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and prospects are dependent on our ability to develop, maintain and strengthen our brand. If we do not continue to establish, maintain and strengthen our brand, we may lose the opportunity to build a critical mass of customers. We believe that our inability to successfully commercialize our hardware products, and our resulting financial performance, damaged our prior brand. Promoting and positioning our brand will likely depend significantly on our ability to provide high quality software and engage with our customers as intended. To promote our brand, we may be required to change or expand our customer development and branding practices, including increased marketing activities, which could result in substantially increased expenses. If we do not develop and maintain a strong brand, our business, prospects, financial condition and operating results will be materially and adversely impacted.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if safety incidents occur or are perceived to have occurred, whether or not such incidents are our fault, we could be subject to adverse publicity or resistance by our customers. In particular, given the popularity of social media, any negative publicity, whether true or not, could quickly proliferate and harm perceptions and confidence in our brands. Furthermore, there is the risk of potential adverse publicity related to our partners whether or not such publicity is related to their collaboration with us. Our ability to successfully position our brand could also be adversely affected by perceptions about the quality of our competitors' products.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management team has broad discretion in making strategic decisions to execute our growth plans, and our management's decisions have not always led to the desired result. Current and future decisions may not be successful in achieving our business objectives or may have unintended consequences that negatively impact our growth prospects.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management has broad discretion in making strategic decisions to execute our growth plans and may devote time and company resources to new or expanded product offerings, potential acquisitions or strategic alliances, prospective customers or other initiatives that do not necessarily improve our operating results or contribute to our growth. For example, in November 2023, we pivoted our business to focus on the development and commercialization of our AI/ML Foundational Technology and related products in lieu of hardware products. We concluded this strategy met our goal of pursuing significant near-term revenue tied to acute customer needs and would reduce our capital requirements and related risks in line with available resources. However, this strategy may not prove to be effective. Our management must make these and other strategic and operational decisions in the context of limited financial and human resources. As a result, we have in the past, as in November 2023, and may in the future forgo opportunities we may have otherwise pursued given sufficient resources, some of which might have had greater likelihood of success. Any failure by management to make strategic decisions that are ultimately accretive to our growth may result in unfavorable returns and uncertainty about our prospects, each of which could cause the price of our Common Stock to decline and have a material adverse effect on our business, prospects, financial condition and results and ability to continue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effectively manage our business, we may not be able to design, develop, market and commercialize our software products successfully.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failure to manage our business effectively could materially and adversely affect our prospects, financial condition and operating results. As we work to grow our business, we may need to manage the following activities, among others:</w:t>
      </w:r>
    </w:p>
    <w:p>
      <w:pPr>
        <w:spacing w:after="0" w:line="270"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effective management, engineering and other teams;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and recruiting individuals with the appropriate relevant experience;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and training new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our AI/ML Foundational Technology and related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forecasting revenue and implementing enterprise resource planning, or ERP, systems;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relationships with one or more third-party service providers or partners, including in relation to the development and commercialization of our AI/ML Foundational Technology and related products;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carrying out acquisitions and entering into collaborations, in-licensing arrangements, joint ventures, strategic alliances or partnerships;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enhancing internal information technology, safety and security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or expanding sales and customer service organizations;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demonstrations and customer trials of our software products;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enhancing administrative infrastructure, systems, controls and processes.</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conducted the 2023 RIFs to decrease our costs and create a more streamlined organization to support our business, and to focus on our AI/ML Foundational Technology. However, these RIFs have placed and will continue to place additional strain on our existing</w:t>
      </w: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9" w:name="page40"/>
    <w:bookmarkEnd w:id="39"/>
    <w:p>
      <w:pPr>
        <w:jc w:val="both"/>
        <w:spacing w:after="0" w:line="258" w:lineRule="auto"/>
        <w:rPr>
          <w:sz w:val="20"/>
          <w:szCs w:val="20"/>
          <w:color w:val="auto"/>
        </w:rPr>
      </w:pPr>
      <w:r>
        <w:rPr>
          <w:rFonts w:ascii="Times New Roman" w:cs="Times New Roman" w:eastAsia="Times New Roman" w:hAnsi="Times New Roman"/>
          <w:sz w:val="18"/>
          <w:szCs w:val="18"/>
          <w:color w:val="auto"/>
        </w:rPr>
        <w:t>personnel and other resources, and we could experience systemic operating difficulties in managing our business and implementing controls and other business processes, resource constraints in our product development and commercialization efforts or other limitations or difficulties that are difficult to predict at this time. Any additional attrition may lead to the loss of institutional knowledge and expertise, increased difficulties in our day-to-day operations, pressure on our controls and processes and reduced employee morale. Moreover, we may not be able to monetize all of the assets unrelated to our current business strategy.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adequately control the costs associated with our operations in order to achieve profitability.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will require significant capital to develop and grow our business, including successfully developing and commercializing our AI/ML Foundational Technology and related products, establishing or expanding our design, research and development, sales and maintenance and service capabilities and building our brands. We have incurred and expect to continue incurring significant expenses which will impact our profitability, including research and development expenses, sales and marketing expenses as we build our brand and market our software products and general and administrative expenses. Although the 2023 RIFs and other cost-saving measures have significantly reduced expenses, and recent financing activities have increased our financial resources, it may be difficult to reduce expenses further or maintain current levels while pursuing our business objectives. Some of the factors that may lead to cost increases or difficulty further reducing cost are outside of our control, such as national or global geopolitical and economic conditions, including recently announced tariffs, inflation and interest rates. In addition, we may incur significant costs upgrading or fixing flaws in our software products. Our ability to continue our operations in the long term and potentially become profitable in the future will not only depend on our ability to commercialize our software products to meet customer needs and identify and investigate new areas of demand, but also on our ability to license our products at prices needed to achieve sufficient revenues and margins to cover our cash outlay, including the risks and costs associated with any warranty obligations. If we are unable to efficiently design, develop, market, deploy, distribute and service our software products in a cost-effective manner, our operating results, financial condition and prospects would be materially and adversely affected and we may not achieve profitability.</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incur substantial research and development costs and devote significant resources to developing and commercializing our AI/ML Foundational Technology and related products, and we may never reach profitability and/or achieve significant or any licensing revenue.</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future growth depends on penetrating new markets, adapting our AI/ML Foundational Technology and products to new applications and customer requirements and introducing new features and functionality that achieve market acceptance. We expect to incur substantial, and potentially increasing, research, development, sales and marketing costs as part of our efforts to design, develop, enhance and commercialize our AI/ML Foundational Technology and related products. Our research and development program may not produce successful results or, be sufficient to adapt to new or changing technologies (such as AI) and our products may not achieve market acceptance, create meaningful or any revenue or become profitable.</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products related to our AI/ML Foundational Technology require certain limited hardware components, and we are dependent on our suppliers, some of which are currently single, sole or limited source suppliers. Any inability of these suppliers to deliver necessary components of our products at prices, volumes, performance, timing and specifications acceptable to us could have a material adverse effect on our business, prospects, financial condition and operating results.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maintain a limited set of suppliers for the minimal hardware components that are required for use of our Palladyne IQ product. As of March 31, 2025, most of our key suppliers are based in the United States. In some cases, we have sole source (where the component is only available from a single vendor, often as a result of customization for our use) or single source (where we purchase from a single vendor but there are alternative sources of the component) suppliers. We seek to minimize our dependence on sole or single source suppliers in order to reduce risk in our supply chain, including the risk of losing a sole or single source supplier due to bankruptcy, discontinuing production of the particular component or some other reason. However, some of the components used in our products may have to be purchased by us from a single source and some may only be available from a sole source. If our third-party suppliers are unable or unwilling to supply key components and materials in the required volumes, at the needed times or at acceptable prices, our sales, revenue and profitability will likely be adversely affected and we may not be able to meet our obligations to customers. Our third-party suppliers may also not be able to meet the specifications and performance characteristics required by us, which would impact our ability to achieve our product specifications and performance characteristics as well. Additionally, our third-party suppliers may be unable to obtain required certifications or provide warranties for their products that are necessary for our products. If we are unable to obtain components and materials used in our products from our suppliers, our business would be adversely affected.</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less negotiating leverage with suppliers than larger and more established companies and may not be able to obtain favorable pricing and other terms. For example, agreements with suppliers may include terms that are unfavorable to us, such as requirements that we order components and manufacture systems and solutions in excess of our demand due to minimum order quantity requirements or minimum price thresholds. While we believe that we may be able to establish alternate supply relationships and can obtain or engineer replacement components for our single source components, we may be unable to do so in time to support our production needs, or at all, or at prices or quality levels that are favorable to us. Further, we may not be able to develop satisfactory alternatives to sole-sourced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0" w:name="page41"/>
    <w:bookmarkEnd w:id="40"/>
    <w:p>
      <w:pPr>
        <w:jc w:val="both"/>
        <w:spacing w:after="0" w:line="266" w:lineRule="auto"/>
        <w:rPr>
          <w:sz w:val="20"/>
          <w:szCs w:val="20"/>
          <w:color w:val="auto"/>
        </w:rPr>
      </w:pPr>
      <w:r>
        <w:rPr>
          <w:rFonts w:ascii="Times New Roman" w:cs="Times New Roman" w:eastAsia="Times New Roman" w:hAnsi="Times New Roman"/>
          <w:sz w:val="18"/>
          <w:szCs w:val="18"/>
          <w:color w:val="auto"/>
        </w:rPr>
        <w:t>components. Any inability to find satisfactory alternatives to our single- and sole-sourced component suppliers, whether due to bankruptcy of the supplier, a decision to discontinue manufacturing the component or for any other reason, could affect our costs and component availability and have a material adverse effect on our business, prospects, financial condition and operating results.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fluctuations or shortages in raw materials or components and other economic conditions, including due to recently announced tariffs, may cause us to experience significant increases in freight charges and material costs. Substantial increases in the prices for our materials would increase our operating costs and could reduce our margins if the increased costs cannot be recouped through increased sales prices.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related to wars, natural disasters, health epidemics and other calamities and supply chain disruption, any of which could significantly disrupt our operations.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facilities or operations, or any potential third-party suppliers, partners, or service providers could be adversely affected by events outside of our or their control, such as natural disasters, wars, health epidemics, macro-economic conditions and other calamities and force majeure events. This may also include supply chain disruptions, inflation and high interest rates as a result of the recently announced changes in U.S. trade policy, including tariffs and geopolitical events such as the current wars between Russia and Ukraine and in the middle east, and responses thereto. The effects of the foregoing are unknown and may have the effect of diminishing customer willingness to enter into transactions with us.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backup system does not capture data on a real-time basis and we may be unable to recover certain data in the event of a server failure. Our backup system may not be adequate to protect us from the effects of fire, floods, typhoons, earthquakes, power loss, telecommunications failures, break-ins, war, riots, terrorist attacks, cybersecurity incidents or similar events. Any of the foregoing events may give rise to interruptions, breakdowns, system failures, technology platform failures or internet failures, which could cause the loss or corruption of data or the malfunction of software or hardware, which could significantly disrupt our operations. Additionally, depending upon any potential health pandemics, epidemics or outbreaks that may emerge, our potential customers and partners may suspend or delay their engagement with us or take other actions or experience their own negative impacts, any of which could result in a material adverse effect on our financial condition and ability to meet current timelines. The COVID-19 pandemic adversely affected our ability to recruit skilled employees to join our team, conduct research and development activities and engage with development customers, and it or other similar events could do so again and may impede our product development timelines.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Events impacting our supply chain could be caused by factors beyond the control of our suppliers or us, including labor actions, increased demand, problems in production or distribution and/or disruptions in third-party logistics, information technology or transportation systems. Some of our key suppliers are relatively small companies that could be especially susceptible to these risks. In addition, global events in recent years have resulted in widespread global supply chain disruptions to vendors including critical supply chain shortages, labor shortages, significant material cost inflation and extended lead times for items that are required for our operations. Any such interruptions to our supply chain could increase our costs and could limit the availability of products critical to our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plans require a significant amount of capital. We may sell additional equity or debt securities to meet capital needs or as we may otherwise determine to be advisable that may dilute our stockholders or introduce covenants that may restrict our operations or our ability to pay dividends. If we require additional capital and are not able to secure new funding, we may not be able to continue our business operations.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we believe we have sufficient capital to fund our business for at least the next 12 months, we may seek additional financing during that time to bolster our cash reserves and ensure our ability to continue to pursue our business objectives. Our current business plans may require us, or we may deem it advisable, to secure additional financing prior to achieving positive operating cash flows, and we do not anticipate achieving positive operating cash flows in the near term. As a result, we intend to continue monitoring our liquidity, financial and business results and outlook and market conditions, and may be opportunistic and raise capital when we consider market conditions are good or a favorable opportunity exists to bolster our cash reserves, reduce our financial risk, help finance research and development costs and pursue business objectives. Any delays in the successful commercialization and sales of our software products will negatively impact our ability to generate revenue, our profitability and our overall operating performance and result in the need to raise additional capital sooner than expected. For further information on our financing activities, see "</w:t>
      </w:r>
      <w:r>
        <w:rPr>
          <w:rFonts w:ascii="Times New Roman" w:cs="Times New Roman" w:eastAsia="Times New Roman" w:hAnsi="Times New Roman"/>
          <w:sz w:val="18"/>
          <w:szCs w:val="18"/>
          <w:i w:val="1"/>
          <w:iCs w:val="1"/>
          <w:color w:val="auto"/>
        </w:rPr>
        <w:t>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Operations—Liquidity and Capital Resources.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Even if we generate positive operating cash flows, we may need to raise significant amounts of additional capital to fund our business thereafter, including to finance ongoing research and development costs, any significant unplanned or accelerated expenses and new strategic alliances or acquisitions. The fact that we have limited experience commercializing our software products, coupled with our belief that our AI/ML Foundational Technology represents a significant technology advancement, means we have limited to no historical data on the demand for our software products. In addition, we expect our expenses to continue to be significant in the foreseeable future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1" w:name="page42"/>
    <w:bookmarkEnd w:id="41"/>
    <w:p>
      <w:pPr>
        <w:jc w:val="both"/>
        <w:spacing w:after="0" w:line="256" w:lineRule="auto"/>
        <w:rPr>
          <w:sz w:val="20"/>
          <w:szCs w:val="20"/>
          <w:color w:val="auto"/>
        </w:rPr>
      </w:pPr>
      <w:r>
        <w:rPr>
          <w:rFonts w:ascii="Times New Roman" w:cs="Times New Roman" w:eastAsia="Times New Roman" w:hAnsi="Times New Roman"/>
          <w:sz w:val="18"/>
          <w:szCs w:val="18"/>
          <w:color w:val="auto"/>
        </w:rPr>
        <w:t>as we continue development activities and bring our products to market, and that our level of cash usage will be significantly affected by customer demand for our products. As a result, our future capital requirements are uncertain and actual capital requirements may be different from those we currently anticipate. We may need to seek equity or debt financing to finance our expenses and capital expenditures, and such financing might not be available to us in a timely manner or on terms that are acceptable, or at all. Even if available, the sale of additional equity or equity-linked securities could dilute our stockholders, and the incurrence of indebtedness would result in debt service obligations and could result in operating and financing covenants that would restrict our operations.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 financing may not be available to us when we need it or it may not be available on favorable terms. Our ability to obtain any necessary financing to carry out our business plan is subject to a number of factors, including general market conditions and investor acceptance of our business model. Current capital market conditions, including the impact of inflation, have increased borrowing rates and can be expected to significantly increase our cost of capital as compared to prior periods should we seek additional funding. Moreover, capital markets domestically and abroad are undergoing a period of significant volatility and uncertainty, and such financing alternatives may not be available to us in the future on favorable terms or at all should we determine it necessary or advisable to seek additional capital. If we raise additional capital through public or private equity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buying or selling assets, making capital expenditures or declaring dividends.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factors may make the timing, amount, terms and conditions of such financing unattractive or unavailable to us. If we are unable to raise sufficient funds if and when needed, we will have to significantly reduce our spending, delay or cancel our planned activities or substantially change our corporate structure or potentially cease operations and liquidate. We might not be able to obtain any funding, and might not have sufficient resources to conduct our business as projected or at all, either of which could mean that we would be forced to curtail or discontinue our operations.</w:t>
      </w:r>
    </w:p>
    <w:p>
      <w:pPr>
        <w:spacing w:after="0" w:line="180"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If we cannot raise additional funds when we need or want them, our operations, prospects and financial condition would be materially and adversely affected.</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results may vary significantly from period to period due to fluctuations in our operating costs, revenues, product demand and other factors.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our period-to-period financial results to vary based on our operating costs and product demand, which we anticipate will fluctuate as the pace at which we continue to design, develop and release software products. Additionally, as we commercialize our AI/ML Foundational Technology and related products and/or enter into or complete government or development contracts, we expect our revenue from period to period to fluctuate, including as we introduce new products, features or functionality or introduce our AI/ML Foundational Technology and related products to new markets for the first time. As a result of these factors, we believe that quarter-to-quarter comparisons of our operating results, especially in the near term, are not necessarily meaningful and that these comparisons cannot be relied upon as indicators of future performance. Moreover, our operating results may not meet expectations of equity research analysts, ratings agencies or investors, who may be particularly focused on quarterly financial results. If any of this occurs, the trading price of our securities could fall substantially, either suddenly or over time, and/or experience significant volatility.</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the services of our senior management and other key employees and, if we are unable to attract, integrate and retain a sufficient number of qualified employees, our ability to develop and commercialize our AI/ML Foundational Technology and related products, operate our business and compete could be harmed.</w:t>
      </w:r>
    </w:p>
    <w:p>
      <w:pPr>
        <w:spacing w:after="0" w:line="1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success depends, in part, on our ability to retain our key personnel. The unexpected loss of or failure to retain one or more of our senior managers or other key employees could delay product development and require outsourcing to third parties, each of which in turn could adversely affect our business. For example, we are highly dependent on the services of our AI/ML Foundational Technology leadership team, in particular our Chief Technology Officer, Dr. Denis Garagic. Dr. Garagic has a significant influence on our AI/ML Foundational Technology development efforts and our business plan. Benjamin G. Wolff rejoined our executive team as President and Chief Executive Officer in February 2024 following the pivot in our business to focus on the development of our AI/ML Foundational Technology. If key members of our senior management were to discontinue service due to death, disability or any other reason, we may be significantly disadvantaged and their departure or the departure of other key contributors to our software and technology development efforts could result in delays in product development, or potentially an inability to successfully complete development of our AI/ML Foundational Technology and related products at all, which would materially and adversely harm our business, results of operations and financial condition. Further, we may have difficulty finding, or be unable to find, qualified successors to any such persons should they depart the Company. If we are unable to successfully continue development and commercialization of our AI/ML Foundational Technology and related products in a timely manner, whether due to the departure of any such persons or otherwise, we may not have sufficient time or resources to pursue alternative plans or opportunities and may need to cease operations. We do not maintain key-person insurance for any of our senior management. For these reasons, we may incur significant costs to retain our senior management</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2" w:name="page43"/>
    <w:bookmarkEnd w:id="42"/>
    <w:p>
      <w:pPr>
        <w:jc w:val="both"/>
        <w:spacing w:after="0" w:line="255" w:lineRule="auto"/>
        <w:rPr>
          <w:sz w:val="20"/>
          <w:szCs w:val="20"/>
          <w:color w:val="auto"/>
        </w:rPr>
      </w:pPr>
      <w:r>
        <w:rPr>
          <w:rFonts w:ascii="Times New Roman" w:cs="Times New Roman" w:eastAsia="Times New Roman" w:hAnsi="Times New Roman"/>
          <w:sz w:val="18"/>
          <w:szCs w:val="18"/>
          <w:color w:val="auto"/>
        </w:rPr>
        <w:t>team and key personnel. For example, in December 2024 we entered into an amended employment agreement with Mr. Wolff that extended the term of his employment through the end of 2027, pursuant to which Mr. Wolff is entitled to a cash-settled phantom stock payment with respect to the value of 1.8 million shares of our Common Stock on his continued employment through October 31, 2027 or upon earlier change of control of the Company or upon earlier qualifying termination of his employment, which, depending on the value of our Common Stock at the time of settlement, could result in a substantial cash payment obligation. We may not have sufficient cash at such time to make such payment and may need to raise additional capital to meet such obligation, which may not be available to us on acceptable terms or at all. This phantom stock payment may be replaced in whole or in part in the event we grant Mr. Wolff restricted stock awards of up to 1.5 million shares subject to vesting on the same terms.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experienced and may continue to experience changes in our senior management team. For example, in connection with Mr. Wolff's return to our executive team as President and Chief Executive Officer in February 2024, there have been changes to our operations and there may be additional changes in the future. If we do not successfully implement and adapt to these changes they may not lead to the desired improvement in our business and results of operation. This in turn, could have a material adverse effect on our business. Any inability to successfully manage these changes could be viewed negatively by our customers, employees, investors and other third-party partners, and could have an adverse impact on our business and results of operations.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success also depends, in part, on our ability to identify, hire, attract, train and develop other highly qualified personnel as needed, specifically AI/ML software engineers. Because of the innovative and advanced nature of our technology, individuals with the necessary experience have not been, and likely will continue not to be, readily available to hire, and as a result, we may need to expend significant time and expense to recruit and retain experienced employees and appropriately train any newly hired employees. Integrating new employees can also cause disruptions to processes, projects, culture, priorities and our company as a whole. We face intense competition for experienced and highly skilled employees, specifically AI/ML software engineers, from numerous other companies, including other software and technology companies, many of whom have greater financial and other resources than we do, and our ability to hire, attract and retain them depends on our ability to provide competitive compensation. We may not be able to attract, assimilate, develop or retain qualified personnel in the future, and our failure to do so could adversely affect our business, including the execution of our strategy. Our 2023 RIFs and concerns about our financial condition may also cause us to experience increased difficulty attracting and retaining highly qualified personnel. We may incur significant costs to attract and retain qualified personnel, including significant expenditures related to salaries and benefits and compensation expenses related to equity awards, and we may lose new employees to competitors or other companies before we realize the benefit of our investment in recruiting and training them. Moreover, new employees may not be or become as productive as we expect, or may not fit culturally, and long-term employees may not embrace new leaders, priorities, methods, processes or other changes and may decide to leave or not perform as well as they did in the past, as we may face challenges in adequately or appropriately integrating them into our workforce and culture.</w:t>
      </w:r>
    </w:p>
    <w:p>
      <w:pPr>
        <w:spacing w:after="0" w:line="19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Our headquarters are in Salt Lake City, Utah, which has fewer highly skilled employees in the AI/ML software and robotics fields than some other major metropolitan areas. To attract and retain key personnel, we may need to open offices in other areas of the country, which could increase costs and reduce productivity. Any failure by our management team and our employees to perform as expected may have a material adverse effect on our ability to design and launch our software products or to operate our business and compete, as well as on our business, prospects, financial condition and operating results.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expenses and administrative burdens as a publicly-traded company, which could have a material adverse effect on our business, prospects, financial condition and operating results.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publicly-traded company, we are incurring legal, accounting and other expenses that we previously did not have, and these expenses may increase as we continue to implement and strengthen controls, processes and systems and employ related personnel and after we are no longer an emerging growth company, as defined in Section 2(a) of the Securities Act. We are subject to reporting and other requirements of the Exchange Act, the Sarbanes-Oxley Act and the Dodd-Frank Wall Street Reform and Consumer Protection Act, as well as rules adopted by the SEC and the Nasdaq Stock Market LLC. Our management and other personnel devote a substantial amount of time to these compliance initiatives. We may need to hire additional employees to support our operations as a public company, which will increase our operating costs in future periods. Moreover, these rules and regulations have substantially increased our legal and financial compliance costs and make some activities more time-consuming and costly. These increased costs have increased our net loss. For example, it has been more expensive for us to obtain appropriate director and officer liability insurance coverage than we incurred as a private company. We cannot accurately predict or estimate the amount or timing of all the additional costs we may incur. Being a public company could also make it more difficult for us to attract and retain qualified persons to serve on our board of directors, our board committees or as executive officers. Such increased expenses and administrative burdens involved in operating as a public company consume significant financial resources and any increases could have a material adverse effect on our business, financial condition and operating results.</w:t>
      </w:r>
    </w:p>
    <w:p>
      <w:pPr>
        <w:spacing w:after="0" w:line="18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and strengthen effective systems of disclosure controls and procedures and internal control over financial reporting, our ability to produce timely and accurate financial statements or comply with applicable regulations could be adversely affected.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3" w:name="page44"/>
    <w:bookmarkEnd w:id="43"/>
    <w:p>
      <w:pPr>
        <w:jc w:val="both"/>
        <w:spacing w:after="0" w:line="266" w:lineRule="auto"/>
        <w:rPr>
          <w:sz w:val="20"/>
          <w:szCs w:val="20"/>
          <w:color w:val="auto"/>
        </w:rPr>
      </w:pPr>
      <w:r>
        <w:rPr>
          <w:rFonts w:ascii="Times New Roman" w:cs="Times New Roman" w:eastAsia="Times New Roman" w:hAnsi="Times New Roman"/>
          <w:sz w:val="18"/>
          <w:szCs w:val="18"/>
          <w:color w:val="auto"/>
        </w:rPr>
        <w:t>We expect that the requirements of the Exchange Act, the Sarbanes-Oxley Act and the rules and regulations of Nasdaq will continue to result in significant legal, accounting and financial compliance costs, make some activities more difficult, time-consuming and costly, and place significant strain on personnel, systems and resources.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in a timely manner. The development and implementation of the processes and controls necessary for us to achieve the level of accounting standards required of a public company have increased and may continue to increase our legal and compliance costs, and such costs may be greater than expected.</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previously identified material weaknesses in our internal control over financial reporting, and undertook remediation efforts to address the identified deficiencies and concluded that each material weakness was remediated. Our current controls and any new controls that we develop may be inadequate because of changes in conditions of our business or otherwise. Any failure to develop or maintain effective controls, or any difficulties encountered in their implementation or improvement, could adversely affect our operating results or cause us to fail to meet our reporting obligations and may result in a restatement of our financial statements for prior periods. Any failure to implement and maintain effective internal controls also could adversely affect the results of periodic management evaluations and annual independent registered public accounting firm attestation reports regarding the effectiveness of our internal control over financial reporting to the extent we are required to include such evaluations and reports in our periodic reports that we file with the SEC under Section 404 of the Sarbanes-Oxley Act. Ineffective disclosure controls and procedures and internal control over financial reporting could also cause investors to lose confidence in our reported financial and other information.</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maintain and improve the effectiveness of our disclosure controls and procedures and internal control over financial reporting, we expect to continue to expend significant resources, including accounting-related costs, and provide significant management oversight. Any failure to maintain the adequacy of our internal controls, or consequent inability to produce accurate financial statements on a timely basis, could increase operating costs and could materially and adversely affect our ability to operate our business. If our internal controls are or are perceived to be inadequate or if we are or are perceived to be unable to produce timely or accurate financial statements, investors may lose confidence in our operating results and the trading price of our securities could decline. In addition, if our financial statements are not filed on a timely basis, we could be subject to sanctions, enforcement actions or investigations by Nasdaq, the SEC or other regulatory authorities or to private litigation. As a result, any failure to maintain effective internal control over financial reporting could result in a material adverse effect on our business and the price of our Common Stock.</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independent registered public accounting firm is not currently required to formally attest to the effectiveness of our internal control over financial reporting under Section 404(b) of the Sarbanes-Oxley Act. Should we become subject to Section 404(b), our independent registered public accounting firm may issue a report that is adverse if it is not satisfied with the level at which our controls are documented, designed or operating. Any failure to maintain effective disclosure controls and procedures and internal control over financial reporting could have a material and adverse effect on our business, prospects, financial condition and operating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carryforwards and other tax attributes may be limited.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incurred operating losses during our history and do not expect to become profitable in the near future, and we may never achieve profitability. To the extent that we continue to generate tax losses, unused losses will carry forward to offset future taxable income, if any, until such unused losses expire.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Tax Cuts and Jobs Act of 2017 (the "Tax Act"), as modified by the Coronavirus Aid, Relief and Economic Security Act of 2020, U.S. federal net operating loss carryforwards generated in taxable periods beginning after December 31, 2017, may be carried forward indefinitely, but the deductibility of such net operating loss carryforwards in taxable years beginning after December 31, 2020, is limited to 80% of taxable income. Additional or different limitations may apply under state law. Suspensions or other restrictions on the use of net operating losses or tax credits, possibly with retroactive effect, may result in our existing net operating losses or tax credits expiring or otherwise being unavailable to offset future income tax liabilities.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our net operating loss carryforwards are subject to review and possible adjustment by the Internal Revenue Service and state tax authorities. Under Sections 382 and 383 of the Internal Revenue Code of 1986, as amended (the "Code"), these U.S. federal net operating loss carryforwards and other tax attributes may become subject to an annual limitation in the event of certain cumulative changes in the ownership of our company. An "ownership change" pursuant to Section 382 of the Code generally occurs if one or more stockholders or groups of stockholders who own at least 5% of a company's stock increase their ownership by more than 50 percentage points over their lowest ownership percentage within a rolling three-year period. Our ability to utilize net operating loss carryforwards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4" w:name="page45"/>
    <w:bookmarkEnd w:id="44"/>
    <w:p>
      <w:pPr>
        <w:jc w:val="both"/>
        <w:spacing w:after="0" w:line="261" w:lineRule="auto"/>
        <w:rPr>
          <w:sz w:val="20"/>
          <w:szCs w:val="20"/>
          <w:color w:val="auto"/>
        </w:rPr>
      </w:pPr>
      <w:r>
        <w:rPr>
          <w:rFonts w:ascii="Times New Roman" w:cs="Times New Roman" w:eastAsia="Times New Roman" w:hAnsi="Times New Roman"/>
          <w:sz w:val="18"/>
          <w:szCs w:val="18"/>
          <w:color w:val="auto"/>
        </w:rPr>
        <w:t>and other tax attributes to offset future taxable income or tax liabilities may be limited as a result of ownership changes. Similar rules may apply under state tax laws. If we earn taxable income, such limitations could result in increased future income tax liability to us and our future cash flows could be adversely affected. We have recorded a full valuation allowance related to our net operating loss carryforwards and other deferred tax assets due to the uncertainty of the ultimate realization of the future benefits of those assets.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been and may in the future be subject to risks associated with strategic relationships or transactions and may not identify or form desired strategic relationships in the future.</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seek strategic alliances, joint ventures, minority equity investments, acquisitions, collaborations and in-license arrangements with third parties. Some of our third-party relationships are not governed by formal agreements and this may also be true for future relationships. These partnerships, relationships or arrangements may not lead to binding agreements, lasting or successful business relationships or any other anticipated benefits. If any of these relationships are established, they may subject us to a number of risks, including risks associated with sharing proprietary information, non-performance or significant delays in performance by the third-party and increased expenses in establishing new relationships, any of which could materially and adversely affect our business. We may have limited ability to monitor or control the actions of these third parties and, to the extent any of these strategic partners suffers negative publicity or harm to their reputation from events relating to their business, we may also suffer negative publicity or harm to our reputation by virtue of our association with any such third-party.</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that strategic business relationships will be an important factor in the growth and success of our business. However, we may not be able to identify or secure suitable business relationship opportunities in the future or our competitors may capitalize on such opportunities before we do. Moreover, identifying such opportunities could require substantial management time and resources, and negotiating and financing relationships involves significant costs and uncertainties. If we are unable to successfully source and execute on strategic relationship opportunities in the future, our overall growth could be impaired, and our business, prospects, financial condition and operating results could be materially adversely affected.</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When appropriate opportunities arise, we have in the past, and may in the future acquire additional assets, products, technologies or businesses that are complementary to our existing business. From time to time, the sellers of these assets, products and technologies or businesses may retain certain rights to the technology that they sell to us, which in some circumstances could allow the sellers to compete with us. In addition to possible stockholder approval, we may need approvals and licenses from relevant government authorities for acquisitions and to comply with any applicable laws and regulations, which could result in delays and costs, and may disrupt our business strategy if we fail to do so. Furthermore, acquisitions and the subsequent integration of new assets and businesses into our own require significant attention from our management and could result in a diversion of resources from our existing business, which in turn could have an adverse effect on our operations and financial results. Acquired assets or businesses may not generate the financial results we expect. Acquisitions could result in the use of substantial amounts of cash, potentially dilutive issuances of equity securities, the occurrence of significant goodwill impairment charges, amortization expenses for other intangible assets and exposure to potential unknown liabilities of the acquired business. For example, we have previously experienced an impairment of all of the goodwill associated with an acquisition we completed in 2022. Moreover, the costs of identifying and consummating acquisitions may be significant.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Claims and Regulatory Compliance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Issues in the development and use of AI/ML, combined with an uncertain regulatory environment, may result in reputational harm, liability or other adverse consequences to our business operations.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AI/ML technologies are complex and rapidly evolving, and we face significant competition from other companies as well as an evolving regulatory landscape. The introduction of AI/ML technologies into new or existing products may result in new or enhanced governmental or regulatory scrutiny, litigation, confidentiality or security risks, technical or operational risks, safety risks, ethical concerns or other complications that could adversely affect our business, reputation or financial results or limit the functionality of our software or our ability to sell our software products. Governmental bodies have implemented laws and are considering further regulation of AI/ML technologies that could negatively impact our ability to use and develop software products incorporating these technologies.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example, on March 13, 2024, the European Parliament adopted the European Union's Artificial Intelligence Act (the "AI Act"). The AI Act, which is scheduled to become effective over time through August 2, 2026, proposes a framework of prohibitions and disclosure, transparency and other regulatory obligations based on various levels of risk for businesses introducing AI systems in the EU. Once the AI Act becomes effective, certain provisions could require us to alter or restrict our use of AI, depending on respective levels of risk-categorization, types of systems, and manner of use, under the AI Act. The AI Act also may require us to comply with monitoring and reporting requirements. Noncompliance with the AI Act could result in fines of up to €35 million or 7% of annual global turnover for the previous year, whichever is higher. In addition, in October 2023 the Biden administration issued an executive order to, among other things, establish extensive new standards for AI safety and security, which was revoked by President Trump in January 2025. Other jurisdictions may adopt similar or more restrictive legislation that may render the use of such technologies challenging. Numerous other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5" w:name="page46"/>
    <w:bookmarkEnd w:id="45"/>
    <w:p>
      <w:pPr>
        <w:jc w:val="both"/>
        <w:spacing w:after="0" w:line="282" w:lineRule="auto"/>
        <w:rPr>
          <w:sz w:val="20"/>
          <w:szCs w:val="20"/>
          <w:color w:val="auto"/>
        </w:rPr>
      </w:pPr>
      <w:r>
        <w:rPr>
          <w:rFonts w:ascii="Times New Roman" w:cs="Times New Roman" w:eastAsia="Times New Roman" w:hAnsi="Times New Roman"/>
          <w:sz w:val="18"/>
          <w:szCs w:val="18"/>
          <w:color w:val="auto"/>
        </w:rPr>
        <w:t>laws and bills have been enacted or proposed at the U.S. federal and state level, as well as internationally, aimed at regulating the deployment or provision of AI systems and services.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efforts to comply with the AI Act and other legislation or regulations, whether now in effect or as may be proposed or enacted in the future, relating to AI/ML technologies may be difficult, onerous and costly, and could adversely affect our business, reputation, financial condition, results of operations and growth prospects. We may need to devote substantial time and resources to evaluate our obligations under the AI Act and other legislation and regulations and to develop and execute a plan designed to ensure compliance. Further, the intellectual property ownership and license rights, including copyright, surrounding AI/ML technologies have not been fully addressed by U.S. courts or other federal or state laws or regulations, and the use or adoption by our customers of third-party AI/ML technologies into robotic products and services may result in exposure to claims of copyright infringement or other intellectual property misappropriation or infringement.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Uncertainty around new and emerging AI/ML technologies, may require additional investment in the development and maintenance of proprietary datasets and ML models, development of new approaches and processes to provide attribution or remuneration to creators of training data, and development of appropriate protections and safeguards for handling the use of data with AI technologies, which may be costly and could impact our expenses as we utilize AI/ML technologies within our products. The use of AI/ML technologies presents emerging ethical and social issues, and if we enable or offer solutions that draw scrutiny or controversy due to their perceived or actual impact on customers or on society as a whole, we may experience brand or reputational harm, competitive harm and/or legal liability. These challenges may make it harder for us to conduct our business using AI, and may lead to regulatory fines or penalties, require us to change our product offerings or business practices, or prevent or limit our use of AI. If we cannot use AI, or that use is restricted, our business may be less efficient, or we may be at a competitive disadvantage. Any of these factors could adversely affect our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could have a material adverse effect on our business, cash flows, results of operations or financial condition.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the tax laws, regulations, and policies of several taxing jurisdictions. Changes in tax laws, as well as other factors, could cause us to experience fluctuations in our tax obligations and effective tax rates or otherwise adversely affect our tax positions and/or our tax liabilities. For example, the Tax Act eliminated the option to deduct research and development expenditures currently and instead requires taxpayers to capitalize and amortize them over five or fifteen years, the Inflation Reduction Act of 2022 imposed a 1% excise tax on certain repurchases of stock and the Organisation for Economic Co-operation and Development has introduced a global minimum tax initiative, which is in various stages of adoption. However, the United States has withdrawn support for the initiative and has indicated that it may take action against countries with tax laws that disproportionately impact U.S. businesses, which may result in retaliatory taxes or other retaliatory actions against U.S. businesses. Any new tax laws or changes to existing tax laws could adversely affect our effective tax rate, operating results, tax credits or incentives or tax payments, or require our potential customers to pay additional taxes, which could have a material adverse effect on our business, cash flows, results of operations or financial condition.</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new or changing governmental regulations relating to the development, marketing, licensing, distribution or use of our AI/ML Foundational Technology and related products or to the providing of customer service, and a failure to comply with such regulations could lead to delays in launching our software products and/or withdrawal of our software products from the market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delay our projected revenues, increase costs and/or make our business unviable if we are unable to modify our software to comply.</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we develop and commercialize our AI/ML Foundational Technology and related products, we may become subject to a variety of existing or new laws and regulations in the United States and international jurisdictions, such as the AI Act, including in the areas of privacy, security, safety, competition, consumer protection development, marketing, licensing, distribution and the development and use of AI and ML. Such laws and regulations may also cover employment, taxation, privacy, data security, data protection, pricing, content, copyrights and other intellectual property, mobile communications, electronic contracts and other communications, the design and operation of websites, and the characteristics and quality of software and services, which may delay or impede the development and commercialization of our AI/ML Foundational Technology and related products or require us to pause sales and modify our software products, which could result in a material adverse effect on our revenue and financial condition, especially if implemented on a large scale or in a key market. Such laws and regulations can also give rise to liability, such as fines and penalties or for property damage, bodily injury and cleanup costs. Capital and operating expenses needed to comply with laws and regulations can be significant, and violations may result in substantial fines and penalties, third-party damages, suspension of production or a cessation of our operations. Any failure to comply with such laws or regulations could lead to withdrawal of our software products from the market.</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lawsuits, arbitration proceedings, government investigations and other legal, regulatory and administrative proceedings and face potential liability and expenses related thereto, which could have a material adverse effect on our business, operating results and financial condition.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6" w:name="page47"/>
    <w:bookmarkEnd w:id="46"/>
    <w:p>
      <w:pPr>
        <w:jc w:val="both"/>
        <w:spacing w:after="0" w:line="254" w:lineRule="auto"/>
        <w:rPr>
          <w:sz w:val="20"/>
          <w:szCs w:val="20"/>
          <w:color w:val="auto"/>
        </w:rPr>
      </w:pPr>
      <w:r>
        <w:rPr>
          <w:rFonts w:ascii="Times New Roman" w:cs="Times New Roman" w:eastAsia="Times New Roman" w:hAnsi="Times New Roman"/>
          <w:sz w:val="18"/>
          <w:szCs w:val="18"/>
          <w:color w:val="auto"/>
        </w:rPr>
        <w:t>We may be subject to claims, lawsuits, arbitration proceedings, government investigations and other legal, regulatory and administrative proceedings. In addition, we may be subject to the heightened scrutiny that is sometimes directed toward companies taken public via a business combination with a special purpose acquisition company. The outcome of any such claims, investigations or proceedings cannot be predicted with any degree of certainty. In the ordinary course of business, we have been and may in the future be the subject of various legal claims. Any such claims, investigations or proceedings against us, whether meritorious or not, could be time-consuming, result in costly litigation, be harmful to our reputation, require significant management attention and divert significant resources, and the resolution of any such claims, investigations or proceedings could result in substantial damages, settlement costs, fines or penalties that could adversely affect our business, financial condition or operating results or result in harm to our reputation and brand, sanctions, consent decrees, injunctions or other remedies requiring a change in our business practices.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under certain circumstances we have or may take on contractual or other legal obligations to indemnify and to incur legal expenses on behalf of investors, directors, officers, employees, customers, vendors or other third-parties. For example, our Amended and Restated Bylaws (the "Bylaws") provide that we will indemnify our directors and officers, and may indemnify our employees, agents and other persons, to the fullest extent permitted by the Delaware General Corporation Law. We have also entered into indemnification agreements with directors and officers that require us, among other things, to indemnify them against claims that may arise due to their service in those capacities. These indemnification agreements also require us to advance expenses reasonably and actually incurred by them in investigating or defending any such claims, and it may be difficult or impossible to recover any advanced expenses if it turns out the person was not entitled to indemnification. If we are required or agree to defend or indemnify, or advance expenses to, any of our investors, directors, officers, employees, customers, vendors or other third-parties, we could incur material costs and expenses that could adversely affect our business, results of operations or financial condition.</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evolving laws, regulations, standards, policies and contractual obligations related to data privacy and security, and our actual or perceived failure to comply with such obligations could harm our reputation, subject us to significant fines and liability or otherwise adversely affect our business, prospects, financial condition and operating results.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or affected by a number of national, state and local laws and regulations, as well as contractual obligations and industry standards, that impose certain obligations and restrictions with respect to data privacy and security, and govern our collection, storage, retention, protection, use, processing, transmission, sharing and disclosure of personal information, including that of our employees, customers and others. Many jurisdictions have enacted laws requiring companies to notify individuals, regulatory authorities and others of security breaches involving certain types of data. Such laws may be inconsistent or may change or additional laws may be adopted. In addition, our agreements with certain customers may require us to notify them in the event of a security breach or incident. Such mandatory disclosures are costly and could lead to negative publicity, penalties, fines, litigation and other proceedings or cause our customers to lose confidence in the effectiveness of our security measures and require us to expend significant capital and other resources to respond to and/or alleviate problems caused by the actual or perceived security breach or incident.</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government contractor or subcontractor, we are subject to the DoD's cybersecurity requirements, including compliance with the recently updated Cybersecurity Maturity Model Certification ("CMMC") program requirements, under which we received Level 2 certification on April 10, 2025. Depending on certain factors, including the awarding DoD agency and type of contract, we may be required to obtain and affirm specific third-party cybersecurity certifications to be deemed eligible for award. Failure to comply with these requirements could restrict our ability to compete for, be awarded and/or perform on DoD contracts. The DoD expects that all new contracts will be required to comply with the CMMC program by 2026, and initial requests for information and for proposal have already begun. To the extent we, or our subcontractors or other third parties on whom we rely, are unable to achieve certification in advance of contract awards that specify the requirement, we may be deemed ineligible for awards or follow-on awards for existing work with the DoD, which could materially and adversely affect our results of operations, financial condition, business and prospects. We will also be required to go through a recertification process periodically, which may increase our costs of compliance relating to such certification, may increase risk exposure based on frequency of recertification affirmations and may cause operational delays. In addition, obligations that may be imposed on us under the CMMC program may be different from or in addition to those otherwise required by applicable laws and regulations, which may cause additional expense for compliance.</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implementation standards and enforcement practices are likely to remain uncertain for the foreseeable future. We may not be able to monitor and react to all developments in a timely manner. For example, California adopted the California Consumer Privacy Act ("CCPA"), which became effective in January 2020. The CCPA established a privacy framework for covered businesses, including an expansive definition of personal information and data privacy rights for California residents. The CCPA includes a framework with potentially severe statutory damages and private rights of action. The CCPA was modified and supplemented by the California Privacy Rights Act ("CPRA"), which went into effect on January 1, 2023. Numerous other states have proposed, and in many cases have enacted, laws addressing privacy and cybersecurity. These laws in many cases are comprehensive privacy statutes similar to the CCPA and CPRA. Additionally, some states have proposed, and in certain cases enacted, laws addressing specific matters such as biometrics or health-related personal information. The U.S. federal government also is contemplating federal privacy legislation. As we expand our operations, the CCPA, CPRA, and other laws and regulations relating to privacy and data security may increase our compliance costs and potential liability. Compliance with any applicable privacy and data</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7" w:name="page48"/>
    <w:bookmarkEnd w:id="47"/>
    <w:p>
      <w:pPr>
        <w:jc w:val="both"/>
        <w:spacing w:after="0" w:line="282" w:lineRule="auto"/>
        <w:rPr>
          <w:sz w:val="20"/>
          <w:szCs w:val="20"/>
          <w:color w:val="auto"/>
        </w:rPr>
      </w:pPr>
      <w:r>
        <w:rPr>
          <w:rFonts w:ascii="Times New Roman" w:cs="Times New Roman" w:eastAsia="Times New Roman" w:hAnsi="Times New Roman"/>
          <w:sz w:val="18"/>
          <w:szCs w:val="18"/>
          <w:color w:val="auto"/>
        </w:rPr>
        <w:t>security laws and regulations is a rigorous and time-intensive process, and we may be required to put in place additional mechanisms to comply with such laws and regulations.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as our international presence expands, we may become subject to or face increasing obligations under laws and regulations in countries outside the United States, many of which, such as the European Union's General Data Protection Regulation ("GDPR") and national laws supplementing the GDPR, as well as legislation substantially implementing the GDPR in the United Kingdom, which generally are more stringent than those currently enforced in the United States. The GDPR requires companies to meet stringent requirements regarding the handling of personal data of individuals located in the European Economic Area. The GDPR also includes significant penalties for noncompliance, which may result in monetary penalties of up to the higher of €20 million or 4% of a group's worldwide turnover for the preceding financial year for the most serious violations. The United Kingdom's data protection regime also provides for substantial penalties that, for the most serious violations, can go up to the greater of £17.5 million or 4% of a group's worldwide turnover for the preceding financial year. Many other jurisdictions globally are considering or have enacted legislation providing for local storage of data or otherwise imposing privacy, data protection and data security obligations in connection with the collection, use and other processing of personal data. As a general matter, compliance with laws, regulations, contractual obligations, industry standards, and any rules or guidance from self-regulatory organizations relating to privacy, data protection, and data security that apply, or are asserted to apply, to our operations may result in substantial costs and may necessitate changes to our business practices, which may compromise our growth strategy, adversely affect our ability to acquire customers, and otherwise adversely affect our business, prospects, results of operations, and financial condition.</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publish privacy policies and other documentation regarding our collection, processing, use and disclosure of personal information and/or other confidential information. Although we endeavor to comply with our published policies and other documentation, we may at times fail to do so or may be perceived to have failed to comply with such policies and other actual or asserted legal or contractual obligations relating to privacy, data protection or data security. Moreover, despite our efforts, we may not be successful in achieving or maintaining compliance, including if our employees, contractors, service providers or vendors fail to comply with our published policies and documentation. Such failures can subject us to potential action by governmental or regulatory authorities if they are found to be deceptive, unfair, or misrepresentative of our actual practices. Any actual or perceived inability to adequately address privacy and security concerns or comply with applicable laws, rules and regulations relating to privacy, data protection or data security, or applicable privacy notices, could lead to investigations, claims and proceedings by governmental entities and private parties, damages for contract breach and other significant costs, penalties or liabilities. Any such claims or other proceedings could be expensive and time-consuming to defend and could result in adverse publicity. Any of the foregoing may have an adverse effect on our business, prospects, results of operations, and financial condition.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cybersecurity risks to our operational systems, security systems, infrastructure and data processed by us or third-party vendors.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and operations may involve the collection, storage, processing and transmission of personal data and certain other sensitive and proprietary data of collaborators, customers and others. Additionally, we maintain sensitive and proprietary information relating to our business, such as our own proprietary information and personal data relating to our employees. An increasing number of organizations have disclosed breaches of their information security systems and other information security incidents, some of which have involved sophisticated and highly targeted attacks. We have been and may in the future be a target for cybersecurity attacks designed to disrupt our operations or to attempt to gain access to our systems, data processed or maintained in our business, trade secrets or other proprietary information or financial resources. Some of our employees work remotely which has increased security risks. In addition, the risk of state-supported and geopolitical-related cybersecurity attacks is believed to be heightened in connection with international conflicts and any related political or economic responses and counter-responses.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at risk for interruptions, outages and breaches of (1) operational systems, including business, financial, accounting, product development, data processing or production processes, owned by us or our third-party vendors or suppliers; (2) facility security systems, owned by us or our third-party vendors or suppliers; (3) in-product technology, owned by us or our third-party vendors; (4) our software, including third-party software we license; and (5) customer data that we process or our third-party vendors process on our behalf. Because techniques used to obtain unauthorized access to or to sabotage information systems change frequently and may not be known until launched against a target, we may be unable to anticipate or prevent these attacks, react in a timely manner or implement adequate preventive measures, and we may face delays in our detection or remediation of, or other responses to, security breaches and other privacy-and security-related incidents. Such incidents could: materially disrupt our operational systems; result in loss of intellectual property, trade secrets or other proprietary or competitively sensitive information; compromise certain information of customers, employees or others; jeopardize the security of our facilities; or affect the performance of in-product technology and the integrated software in our systems. Certain efforts may be state-sponsored or supported by significant financial and technological resources, making them even more difficult to detect, remediate and otherwise respond to.</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plan to include product services and functionality that utilize data connectivity to monitor performance and timely capture opportunities to enhance performance and for safety and cost-saving preventative maintenance. The availability and effectiveness of our</w:t>
      </w: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8" w:name="page49"/>
    <w:bookmarkEnd w:id="48"/>
    <w:p>
      <w:pPr>
        <w:jc w:val="both"/>
        <w:spacing w:after="0" w:line="254" w:lineRule="auto"/>
        <w:rPr>
          <w:sz w:val="20"/>
          <w:szCs w:val="20"/>
          <w:color w:val="auto"/>
        </w:rPr>
      </w:pPr>
      <w:r>
        <w:rPr>
          <w:rFonts w:ascii="Times New Roman" w:cs="Times New Roman" w:eastAsia="Times New Roman" w:hAnsi="Times New Roman"/>
          <w:sz w:val="18"/>
          <w:szCs w:val="18"/>
          <w:color w:val="auto"/>
        </w:rPr>
        <w:t>services depend on the continued operation of information technology and communications systems. Our systems will be vulnerable to damage or interruption from, among others, physical theft, fire, terrorist attacks, natural disasters, power loss, war, telecommunications failures, viruses, denial or degradation of service attacks, ransomware and other malicious code, social engineering schemes, insider theft or misuse or other attempts to harm our systems. We may face objections to our intended collection or use of data, which may require us to implement new or modified data handling policies and mechanisms, increase our maintenance costs and costs associated with data processing and handling, and harm our prospects. The use of AI/ML technologies may result in security incidents and our use of AI/ML technologies may create additional cybersecurity risks or increase cybersecurity risks, including risks of security breaches and incidents. Further, AI/ML technologies may be used in connection with certain cybersecurity attacks, including to launch more automated, targeted and coordinated attacks, resulting in heightened risks of security breaches and incidents.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we have implemented and are in the process of implementing additional systems and processes that are designed to protect our data and systems within our control, prevent data loss and prevent other security breaches and security incidents, these security measures cannot guarantee security. The Information Technology ("IT") infrastructure used in our business may be vulnerable to cybersecurity attacks or security breaches or incidents, and third parties may be able to access data, including personal data and other sensitive and proprietary data of ours and our customers, collaborators and partners, our employees' personal data or other sensitive and proprietary data accessible through those systems, or such data otherwise may be subject to unauthorized use, disclosure, unavailability, modification or other processing. Employee error, malfeasance or other errors in the storage, use or transmission of any of these types of data could result in an actual or perceived privacy or security breach or other security incident.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Moreover, there are inherent risks associated with developing, improving, expanding and updating our current systems, such as the disruption of our data management, procurement, product development, finance and sales and service processes. These risks may affect our ability to manage our data or deploy and service our products and solutions, adequately protect our intellectual property or achieve and maintain compliance with, or realize available benefits under, applicable laws, regulations and contracts. We cannot be sure that these systems upon which we rely, including those of our third-party vendors or suppliers, will be effectively implemented, maintained or expanded as planned. If we do not successfully implement, maintain or expand these systems as planned, our operations may be disrupted, our ability to accurately and timely report our financial results could be impaired and deficiencies may arise in our internal control over financial reporting, which may impact our ability to certify our financial results. Moreover, our proprietary information or intellectual property could be compromised or misappropriated and our reputation may be adversely affected. If these systems do not operate as we expect them to, we may be required to expend significant resources to make corrections or find alternative sources for performing these functions.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actual or perceived security breach or security incident, or any systems outages or other disruption to systems used in our business, could interrupt our operations, result in loss or improper access to, or acquisition, unavailability, modification, disclosure or other processing of, data or a loss of intellectual property protection, harm our reputation and competitive position, reduce demand for our software products, damage our relationships with customers, partners, collaborators or others or result in claims, regulatory investigations and proceedings and significant legal, regulatory and financial exposure, and any such incidents or any perception that our security measures are inadequate could lead to loss of confidence in us and harm to our reputation, any of which could adversely affect our business, financial condition and results of operations. Any actual or perceived breach of privacy or security, or other security incident, impacting any entities with which we share or disclose data (including, for example, our third-party technology providers) could have similar effects. We expect to incur significant costs in an effort to detect and prevent privacy and security breaches and other privacy- and security-related incidents, and may face increased costs and requirements to expend substantial resources in the event of an actual or perceived privacy or security breach or other incident.</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laws, regulations and contractual provisions as a government contractor or subcontractor, which may pose increased risk of potential liability and expenses related thereto, which could have a material adverse effect on our business, operating results and financial condition.</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government contractor or subcontractor, we must comply with laws, regulations and contractual provisions relating to the formation, administration and performance of government contracts and inclusion on government contract vehicles, which affect how we and our partners do business with government agencies. U.S. governmental agencies, such as the Defense Contract Audit Agency and the Defense Contract Management Agency, routinely audit and investigate government contractors. In addition, as a result of actual or perceived noncompliance with government contracting laws, regulations or contractual provisions, we may be subject to non-ordinary course audits and internal investigations which may prove costly to our business financially, divert management time or limit our ability to continue selling our software products to our government customers. These laws and regulations may impose other added costs on our business, and failure to comply with these or other applicable regulations and requirements, including non-compliance in the past, could lead to claims for damages, downward contract price adjustments or refund obligations, civil or criminal penalties, termination of contracts and suspension or debarment from government contracting for a period of time with government agencies. Any such damages, penalties, disruption or limitation in our ability to do business with a government would adversely impact, and could have a material adverse effect on, our business, prospects, financial condition and operating results.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9" w:name="page50"/>
    <w:bookmarkEnd w:id="4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foreign anti-corruption and anti-money laundering laws and regulations. We can face criminal liability and other serious consequences for violations of these laws, which can harm our business, prospects, financial condition and operating results.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the U.S. Foreign Corrupt Practices Act of 1977, as amended ("FCPA"), the U.S. domestic bribery statute contained in 18 U.S.C. § 201, the U.S. Travel Act, and other anti-corruption, anti-bribery and anti-money laundering laws, including those of other countries in which we conduct activities. Anti-corruption laws are interpreted broadly and prohibit companies and their employees, business partners, third-party intermediaries, representatives and agents from authorizing, promising, offering or providing, directly or indirectly, improper payments or anything else of value to government officials, political candidates, political parties or commercial partners for the purpose of obtaining or retaining business or securing an improper business advantage.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direct and indirect interactions with foreign officials, including in furtherance of sales to governmental entities in non-U.S. countries. We sometimes leverage third parties to conduct our business abroad, and our third-party business partners, intermediaries, representatives and agents may have direct or indirect interactions with officials and employees of government agencies or state-owned or affiliated entities. We can be held liable for the corrupt or other illegal activities of our employees or these third-parties, even if we do not explicitly authorize or have actual knowledge of such activities. The FCPA and other applicable laws and regulations also require that we keep accurate books and records and maintain internal controls and compliance procedures designed to prevent any such actions. While we have policies and procedures to address compliance with such laws, our employees, business partners, third-party intermediaries, representatives and agents may take actions in violation of our policies and applicable law, for which we may be held responsible. Our exposure for violating these laws increases as our international presence expands and as we increase sales and operations in foreign jurisdictions.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allegations or violations of the laws and regulations described above may result in whistleblower complaints, adverse media coverage, investigations, substantial civil and criminal fines and penalties, damages, settlements, prosecution, enforcement actions, imprisonment, the loss of export or import privileges, suspension or debarment from government contracts, tax reassessments, breach of contract and fraud litigation, reputational harm and other consequences, any of which could adversely affect our business, prospects, financial condition and operating results. In addition, responding to any investigation or action will likely result in a significant diversion of management's attention and resources and significant defense costs and other professional fees.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and laws that could subject us to liability if we are not in compliance with such laws.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AI/ML Foundational Technology and related products, technology and services are subject to compliance with applicable export control, import and economic sanctions laws and regulations, including the U.S. Export Administration Regulations, U.S. International Traffic in Arms Regulations, U.S. Customs regulations and various economic and trade sanctions regulations administered by the U.S. Treasury Department's Office of Foreign Assets Control. Exports of our software products and technology must be made in compliance with these laws and regulations. If we fail to comply with these laws and regulations, we and certain of our employees could be subject to substantial civil or criminal penalties, including the possible loss of export or import privileges; debarment from U.S. government contracting; fines, which may be imposed on us and responsible employees or managers; and, in extreme cases, the incarceration of responsible employees or managers.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Moreover, international sales of our software may be subject to first obtaining licenses, clearances or authorizations from various regulatory entities. If we are not allowed to export our software or the clearance process is burdensome and costly, our ability to generate revenue would be adversely affected.</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changes to our software, or changes in applicable export control, import or economic sanctions laws and regulations may create delays in the introduction and sale of our software products, constrain collaboration with suppliers or other business partners or, in some cases, prevent the export or import of our software to certain countries, governments or persons altogether. Compliance with such laws and regulations may also be costly and require time and attention from our management. Any change in export, import or economic sanctions laws and regulations, shift in the enforcement or scope of existing laws and regulations or change in the countries, governments, persons or technologies targeted by such laws and regulations could also result in decreased use of our software, as well as our decreased ability to export or market our software to potential customers. Any decreased use of our software products or limitation on our ability to export or market our software would likely adversely affect our business, prospects, financial condition and operating results.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Increased scrutiny and changing expectations from regulators, investors, customers, employees, and others regarding our environmental, social and governance practices and reporting could cause us to incur additional costs, devote additional resources and expose us to additional risks, which could adversely impact our reputation, customer acquisition and retention, access to capital and employee retention.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0" w:name="page51"/>
    <w:bookmarkEnd w:id="50"/>
    <w:p>
      <w:pPr>
        <w:jc w:val="both"/>
        <w:spacing w:after="0" w:line="254" w:lineRule="auto"/>
        <w:rPr>
          <w:sz w:val="20"/>
          <w:szCs w:val="20"/>
          <w:color w:val="auto"/>
        </w:rPr>
      </w:pPr>
      <w:r>
        <w:rPr>
          <w:rFonts w:ascii="Times New Roman" w:cs="Times New Roman" w:eastAsia="Times New Roman" w:hAnsi="Times New Roman"/>
          <w:sz w:val="18"/>
          <w:szCs w:val="18"/>
          <w:color w:val="auto"/>
        </w:rPr>
        <w:t>Companies across all industries are facing increasing scrutiny related to their environmental, social and governance ("ESG") practices and reporting. Regulators, investors, customers, employees and other stakeholders have focused increasingly on ESG practices and placed increasing importance on the implications and social cost of their investments, purchases and other interactions with companies. Equally, it is possible that some stakeholders may be opposed to the implementation of such initiatives at all. Anti-ESG sentiment has gained some momentum across the United States, with several states having enacted or proposed "anti-ESG" policies, legislation or issued related legal opinions. If our ESG practices and reporting do not meet investor, customer or employee expectations, which continue to evolve, our brand, reputation and customer retention may be negatively impacted. We could also incur additional costs and need to devote additional resources to monitor, report and implement various ESG practices, including as a result of regulatory developments.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ability to obtain and maintain protection for the intellectual property relating to our software and other technologies.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protection for the intellectual property relating to our software and other technologies. We seek to protect our intellectual property through a combination of patents, trademarks and other intellectual property rights, as well as confidentiality and/or intellectual property assignment agreements with our employees and certain of our contractors, consultants, scientific advisors and other vendors and third-parties. In addition, we rely on copyright and trade secret law to protect our proprietary software and technologies.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Patent positions covering robotics software and solutions can be highly uncertain and involve many new and evolving complex legal, factual and technical issues. Patent laws and interpretations of those laws are subject to change and any such changes may diminish the value of our patents or narrow the scope of our right to exclude others. In addition, we may fail to apply for or be unable to obtain patents necessary to protect our technology or software products from competition or fail to enforce our patents due to lack of information about the exact use of technology or processes by third parties or for a variety of other reasons. Also, we cannot be sure that any patents will be granted in a timely manner or at all with respect to any of our pending patent applications or that any patents that are granted will be adequate to exclude others for any significant period of time or at all. Given the foregoing, and in order to continue reducing operational expenses, we are investing fewer resources in filing and prosecuting new patents and on maintaining and enforcing various patents, especially in regions where we currently do not focus our market growth strategy or with respect to patents with less relevance to our current business.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Litigation to establish or challenge the validity of patents or to defend against or assert against others' infringement, unauthorized use, enforceability or invalidity, can be lengthy and expensive and may result in our patents being invalidated or interpreted narrowly and may restrict our ability to be granted new patents related to our pending patent applications. Even if we prevail, litigation may be time consuming, force us to incur significant costs and divert management's attention from managing our business while any damages or other remedies awarded to us may not be valuable or adequate. In addition, U.S. patents and patent applications may be subject to interference or derivation proceedings, and U.S. patents may be subject to re-examination and inter partes or post grant review proceedings in the U.S. Patent and Trademark Office. Furthermore, our issued patents may be subject to claims of invalidity based on earlier filed patents or published applications not discovered in any patent searches or by the patent offices that carried out examination of the issued patents. Foreign patents may also be subject to opposition or comparable proceedings in corresponding foreign patent offices. Any of these proceedings may be expensive and could result in the loss of a patent or denial of a patent application or the loss or reduction in the scope of one or more of the claims of a patent or patent application.</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we seek to protect our trade secrets, know-how, and confidential information that is not patentable or for which we decide not to seek a patent by entering into confidentiality and intellectual property assignment agreements with our employees and certain of our contractors and confidentiality agreements with certain of our consultants, scientific advisors and other vendors and contractors. However, we may fail to enter into the necessary agreements, and even if entered into, these agreements may be breached or otherwise fail to prevent disclosure, third-party infringement or misappropriation of our proprietary information, may be limited as to their term and may not provide an adequate remedy in the event of unauthorized disclosure or use of proprietary information. Enforcing a claim that a third party illegally obtained or is using our trade secrets without authorization may be expensive and time consuming, and the outcome is unpredictable. Some of our employees or consultants or service providers may own certain technology which they license to us for a set term. If these technologies are material to our business after the term of the license and we are unable to use them, it could adversely affect our business and profitability.</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taken and continue to take precautions to initiate safeguards to protect our information technology systems. However, these measures may not be adequate to safeguard our proprietary information, which could lead to the loss or impairment thereof or to expensive litigation to defend our rights against competitors who may be better funded and have superior resources. In addition, unauthorized parties may attempt to copy or reverse engineer certain aspects of our software or other technologies that we consider proprietary or our proprietary information may otherwise become known or may be independently developed by our competitors or</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1" w:name="page52"/>
    <w:bookmarkEnd w:id="51"/>
    <w:p>
      <w:pPr>
        <w:jc w:val="both"/>
        <w:spacing w:after="0" w:line="282" w:lineRule="auto"/>
        <w:rPr>
          <w:sz w:val="20"/>
          <w:szCs w:val="20"/>
          <w:color w:val="auto"/>
        </w:rPr>
      </w:pPr>
      <w:r>
        <w:rPr>
          <w:rFonts w:ascii="Times New Roman" w:cs="Times New Roman" w:eastAsia="Times New Roman" w:hAnsi="Times New Roman"/>
          <w:sz w:val="18"/>
          <w:szCs w:val="18"/>
          <w:color w:val="auto"/>
        </w:rPr>
        <w:t>other third parties. If other parties are able to use our proprietary technology or information, our ability to compete could be harmed. Further, unauthorized use of our intellectual property may have occurred or may occur in the future, without our knowledge.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made efforts to register and enforce our trademark rights. However, trademark law and the associated infringement analysis is complex, and, notwithstanding our efforts to develop and enforce our trademark portfolio, both outgoing and incoming claims of trademark infringement could lead to limitations, loss or impairment of those trademark rights or to expensive litigation to prosecute or defend our trademark rights against third-party infringers who may be better funded and have superior resources.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unable to obtain or maintain adequate protection for our intellectual property or if any protection is reduced or eliminated, competitors may be able to use our technologies, resulting in harm to our competitive position and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effectively protect our intellectual property rights in our target markets or at all.</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Filing, prosecuting, maintaining and defending patents and trademarks and seeking to enforce copyrights on our intellectual property in all target markets would be prohibitively expensive and time consuming, and thus our intellectual property rights outside the United States are limited. In addition, the laws of some of our target markets, especially developing countries, such as China, do not protect intellectual property rights to the same extent as federal and state laws in the United States. Also, it may not be possible to effectively enforce intellectual property rights in some countries at all or to the same extent as in the United States and other countries. Consequently, we are unable to prevent third parties from using our inventions in all of our target markets, or from selling or importing products made using our inventions, technologies or software in the jurisdictions in which we do not have (or are unable to effectively enforce) patent or other intellectual property protection. Competitors may use our technologies in jurisdictions where they have not obtained patent protection to develop, market or otherwise commercialize their own products, and we may be unable to prevent those competitors from importing those infringing products into territories where we have patent protection, but enforcement may not be as strong as in the United States. These products may compete with our software products and our patents and other intellectual property rights may not be effective or sufficient to prevent them from competing in those jurisdictions. Moreover, strategic partners, competitors or others may raise legal challenges against our intellectual property rights or may infringe upon our intellectual property rights, including through means that may be difficult to detect or prevent.</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Proceedings to enforce our patent rights in the United States or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patent infringement or other claims against us. We may not prevail in any lawsuits that we initiate and the damages or other remedies awarded, if any, may not be commercially meaningful. Accordingly, our efforts to enforce our intellectual property rights in the United States and around the world may be inadequate to obtain a significant commercial advantage from the intellectual property that we develop or license from third parties.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intellectual property infringement claims or misappropriation claims, which may be time consuming and expensive and, if adversely determined, could limit our ability to commercialize our software products.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Companies operating in the robotics software industry may face difficulty enforcing their patent and other intellectual property rights and may become subject to a substantial amount of litigation over these rights. In particular, our competitors in both the United States and abroad, many of which have substantially greater resources than we have and have made substantial investments in competing technologies, have been issued patents and filed patent applications with respect to their products and processes and may apply for other patents in the future. The large number of patents, the rapid rate of new patent issuances and the complexities of the technology involved increase the risk of patent litigation.</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Determining whether a product infringes a patent involves complex legal and factual issues and the outcome of patent litigation is often uncertain. No assurance can be given that patents containing claims covering our software products, technology or methods do not exist, have not been filed or could not be filed or issued. In addition, because patent applications can take years to issue and because publication schedules for pending applications vary by jurisdiction, there may be applications now pending of which we are unaware and which may result in issued patents that our current or future products infringe. Also, because the claims of published patent applications can change between publication and patent grant, published applications that initially do not appear to be problematic may issue with claims that potentially cover our software, technology or methods. Moreover, there may be pending, published or allowed applications that may disclose, but not claim, subject matter covering our software, technology or methods, where such pending or published applications may be amended, or one or more continuation or divisional applications may be filed, in an attempt to capture, to the extent possible, such software, technology or methods that are in the public domain, and which may result in issued patents that our current or future products infringe.</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Infringement actions and other intellectual property claims brought against us, whether with or without merit, may cause us to incur substantial costs and could place a significant strain on our financial resources, divert the attention of management, and harm our</w:t>
      </w: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2" w:name="page53"/>
    <w:bookmarkEnd w:id="52"/>
    <w:p>
      <w:pPr>
        <w:jc w:val="both"/>
        <w:spacing w:after="0" w:line="256" w:lineRule="auto"/>
        <w:rPr>
          <w:sz w:val="20"/>
          <w:szCs w:val="20"/>
          <w:color w:val="auto"/>
        </w:rPr>
      </w:pPr>
      <w:r>
        <w:rPr>
          <w:rFonts w:ascii="Times New Roman" w:cs="Times New Roman" w:eastAsia="Times New Roman" w:hAnsi="Times New Roman"/>
          <w:sz w:val="18"/>
          <w:szCs w:val="18"/>
          <w:color w:val="auto"/>
        </w:rPr>
        <w:t>reputation. We cannot be certain that we will successfully defend against any allegations of infringement. If we are found to infringe another party's patents, we could be required to pay damages. We could also be prevented from selling our infringing software products, unless we can obtain a license to use the technology covered by such patents or can redesign our software products so that they do not infringe. A license may not be available on commercially reasonable terms or at all, and we may not be able to redesign our software products to avoid infringement. In these circumstances, we may not be able to sell our software products at competitive prices or at all, and our business, prospects, financial condition and operating results would be harmed.</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may develop, acquire or license intellectual property rights that have been generated through the use of U.S. government funding or grants. Pursuant to the Bayh-Dole Act of 1980, the U.S. government has certain rights in inventions developed with government funding. These U.S. government rights may include a non-exclusive, non-transferable, irrevocable worldwide license to use inventions for any governmental purpose. In addition, the U.S. government may have the right, under certain limited circumstances, to require us to grant exclusive, partially exclusive, or non-exclusive licenses to any of these inventions to a third party if the U.S. government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Such "march-in" rights would apply to new subject matter arising from the use of such government funding or grants and would not extend to pre-existing subject matter or subject matter arising from funds unrelated to the government funding or grants. If the U.S. government exercised its march-in rights in our intellectual property rights generated through the use of U.S. government funding or grants, we could be forced to license or sublicense intellectual property we developed or that we license on terms unfavorable to us, and there can be no assurance that we would receive compensation from the U.S. government for the exercise of such rights. The U.S. government may also have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1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alleged trade secrets of our employees' former employers.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be subject to claims that we or our employees have inadvertently or otherwise used or disclosed trade secrets or other proprietary information of an employee's former employers. Litigation may be necessary to defend against these claims. If we fail to defend against such claims, in addition to paying monetary damages, we may lose valuable intellectual property rights or personnel or be forced to seek a license, which may not be available on commercially acceptable terms or at all. A loss of key personnel or their work product could hamper or prevent our ability to commercialize our software products, which could severely harm our business. Even if we are successful in defending against these claims, litigation could result in substantial costs and demand on management resources.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Securities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issuance or sale of shares of our Common Stock, or rights to acquire shares of our Common Stock could depress the trading price of our Common Stock and may cause dilution to our existing stockholders.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from time to time conduct offerings of our Common Stock or other securities that are convertible into or exercisable for our Common Stock to finance our operations or fund acquisitions, or for other purposes. For further information on our financing activities for the quarter ended March 31, 2025, see "</w:t>
      </w:r>
      <w:r>
        <w:rPr>
          <w:rFonts w:ascii="Times New Roman" w:cs="Times New Roman" w:eastAsia="Times New Roman" w:hAnsi="Times New Roman"/>
          <w:sz w:val="18"/>
          <w:szCs w:val="18"/>
          <w:i w:val="1"/>
          <w:iCs w:val="1"/>
          <w:color w:val="auto"/>
        </w:rPr>
        <w:t>Management's Discussion and Analysis of Financial Condition and Results of Operations—Liquidity and Capital Resources.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issue additional shares of our Common Stock or rights to acquire shares of our Common Stock, if any of our existing stockholders sells a substantial amount of our Common Stock, or if the market perceives that such issuances or sales may occur, then the trading price of our Common Stock may significantly decrease. In addition, our issuance of additional shares of Common Stock, including upon exercise of our outstanding warrants, will dilute the ownership interests of our existing stockholders.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could decline due to the large number of shares of our Common Stock being subject to employee equity awards.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granted and expect to continue to grant equity awards to our directors and employees as additional compensation in an effort to align their interests with those of our stockholders. Because these awards may be scheduled to vest during specified points in time, such as expected open trading windows under our insider trading policy, there is a potential that sales of large amounts of our Common Stock may take place during concentrated periods, leading to a decline in the price of our Common Stock.</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"Sell-to-cover" transactions can be used in connection with the vesting and settlement of equity awards that are granted to our employees so that shares of our Common Stock are sold on behalf of our employees in an amount sufficient to cover the tax withholding obligations and, if applicable, exercise price associated with these awards. As a result of these transactions, a significant number of shares of our Common Stock may be sold over a limited time period in connection with significant vesting events. We may also settle tax withholding obligations in connection with vesting of awards through "net settlement," in which we remit cash to satisfy the tax withholding obligation and withhold a number of the vested shares on each vesting date. Depending on the fair value of our Common Stock and the number of awards vesting on any applicable vesting date, such net settlement could require us to expend substantial funds to satisfy tax withholding.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markets for our publicly traded securities have been volatile and may not continue at all.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our Common Stock and deSPAC Public Warrants (as defined below) began trading on the Nasdaq Global Market, the prices of our publicly traded securities have been volatile and may continue to fluctuate significantly due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affecting the trading price of our securities may include:</w:t>
      </w:r>
    </w:p>
    <w:p>
      <w:pPr>
        <w:spacing w:after="0" w:line="333"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results or the quarterly financial results of companies perceived to be similar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our operating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our other public announcements and our filings with the SEC;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strategy or financial condition;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failing to meet the expectation of securities analysts or investors in a particular period;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robotics software or other technology companies, or those in our industry in particular;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our company or the market in general;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sell and deliver our software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shares of our publicly traded securities, including as a result of the exercise of our deSPAC Public Warrants or the exercise or vesting of employee equity awards;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or management;</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Common Stock by our directors, officers or significant stockholders or the perception that such sales could occur;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realization of any of the risk factors discussed herein;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4" w:name="page55"/>
    <w:bookmarkEnd w:id="54"/>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5" w:lineRule="exact"/>
        <w:rPr>
          <w:rFonts w:ascii="Times New Roman" w:cs="Times New Roman" w:eastAsia="Times New Roman" w:hAnsi="Times New Roman"/>
          <w:sz w:val="18"/>
          <w:szCs w:val="18"/>
          <w:color w:val="auto"/>
        </w:rPr>
      </w:pPr>
    </w:p>
    <w:p>
      <w:pPr>
        <w:jc w:val="both"/>
        <w:ind w:left="1020" w:hanging="503"/>
        <w:spacing w:after="0" w:line="267"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to comply with Nasdaq listing requirements (see </w:t>
      </w:r>
      <w:r>
        <w:rPr>
          <w:rFonts w:ascii="Times New Roman" w:cs="Times New Roman" w:eastAsia="Times New Roman" w:hAnsi="Times New Roman"/>
          <w:sz w:val="18"/>
          <w:szCs w:val="18"/>
          <w:i w:val="1"/>
          <w:iCs w:val="1"/>
          <w:color w:val="auto"/>
        </w:rPr>
        <w:t>"Our publicly traded securities are subject to potential delisting from The Nasdaq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Global Market if we do not meet Nasdaq's continued listing requirements, which would likely impair the liquidity of the trading market for our Common Stock and warrants"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Sarbanes-Oxley Act of 2002 or other laws or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potential or perceived control, accounting or reporting problems;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and guidelines;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changes in U.S. trade policy including tariffs and expectations of tariffs, fuel prices, international currency fluctuations and acts of war or terrorism.</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Broad market and industry factors may materially harm the market price of our securities irrespective of our operating performance or any of the factors listed above. The securities markets in general have experienced price and volume fluctuations that have often been unrelated or disproportionate to the operating performance of the particular companies affected. The trading prices and valuations of these securities, including our securities, are not predictable. A loss of investor confidence in the market for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publicly traded securities are subject to potential delisting from the Nasdaq Global Market if we do not meet Nasdaq's continued listing requirements, which would likely impair the liquidity of the trading market for our Common Stock and warrants.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listing on the Nasdaq Global Market is contingent upon meeting all the continued listing requirements of the Nasdaq Global Market. On two occasions in the past, we received notice from Nasdaq that we were not in compliance with its continued listing requirements based on the minimum bid price per share of our Common Stock. While in each case we were able to achieve compliance within the compliance period, if we fail to meet any listing requirements, we could again receive notice of non-compliance and in that case may not be able to regain compliance. If our Common Stock or deSPAC Public Warrants are delisted from the Nasdaq Global Market and are not eligible for quotation or listing on another market or exchange, we may be transferred to an over-the-counter market or on an electronic bulletin board established for unlisted securities such as the Pink Sheets or the OTC Bulletin Board. In such event, it could become more difficult to dispose of, or obtain accurate price quotations for our shares, and it would likely also reduce the visibility, liquidity, and value of our Common Stock, reduce institutional investor interest in us, and may increase the volatility of our Common Stock. Delisting could also cause a loss of confidence of potential industry partners, lenders and employees, which may harm our ability to raise capital through alternative financing sources on terms acceptable to us, which could further harm our business and our future prospects. Some or all of these material adverse consequences may contribute to a further decline in our stock price. If an active trading market for our securities is not sustained with sufficient trading volume, you may have limited or no ability to sell your securities.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publishing research or reports about us, our business or our market, or if they change their recommendations regarding our Common Stock, then the price and trading volume of our Common Stock could decline</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trading markets for our Common Stock and deSPAC Public Warrants will be influenced by the research and reports that industry or securities analysts may publish about us, our business, our market or our competitors. From time to time, analysts covering us have ceased publishing research or reports about us. If any analyst covering our company now or in the future change their recommendation regarding our stock adversely, or provide more favorable relative recommendations about our competitors, the price of our Common Stock and deSPAC Public Warrants would likely decline. If any analyst covering our company now or in the future were to cease coverage of us or fail to regularly publish reports on us, we could lose visibility in the financial markets, which could cause the prices and trading volumes of the Common Stock and deSPAC Public Warrants to decline.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no guarantee that the deSPAC Public Warrants or the deSPAC Private Placement Warrants will ever be in the money, and they may expire worthless.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our initial public offering and a concurrent private placement, we issued units with each unit including one sixth of a share of Class A Common Stock and one half of one warrant (the "deSPAC Public Warrants") and certain warrants (the "deSPAC Private Placement Warrants," and together with the deSPAC Public Warrants, the "deSPAC Warrants"). The exercise price of our deSPAC Warrants is higher than is typical with many companies that have merged with similar blank check companies in the past.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5" w:name="page56"/>
    <w:bookmarkEnd w:id="55"/>
    <w:p>
      <w:pPr>
        <w:jc w:val="both"/>
        <w:spacing w:after="0" w:line="258" w:lineRule="auto"/>
        <w:rPr>
          <w:sz w:val="20"/>
          <w:szCs w:val="20"/>
          <w:color w:val="auto"/>
        </w:rPr>
      </w:pPr>
      <w:r>
        <w:rPr>
          <w:rFonts w:ascii="Times New Roman" w:cs="Times New Roman" w:eastAsia="Times New Roman" w:hAnsi="Times New Roman"/>
          <w:sz w:val="18"/>
          <w:szCs w:val="18"/>
          <w:color w:val="auto"/>
        </w:rPr>
        <w:t>Historically, with regard to units offered by blank check companies, the exercise price of a warrant was generally a fraction of the purchase price of the units in the initial public offering. The exercise price for our deSPAC Warrants is $11.50 per warrant. Upon exercise of the deSPAC Warrants the number of shares of Common Stock issuable shall be adjusted 1-for-6, the same ratio as the reverse stock split that was effective as of July 5, 2023, such that each warrant will be exercisable for 1/6 of a share of our Common Stock for a purchase price of $11.50 per warrant. There is no guarantee that the deSPAC Warrants will ever be in the money prior to their expiration, and as such, the deSPAC Warrants may expire worthless.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redeem unexpired deSPAC Warrants prior to their exercise at a time that is disadvantageous to deSPAC Warrant holders, thereby making their deSPAC Warrants worthless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the ability to redeem outstanding deSPAC Warrants at any time after they become exercisable and prior to their expiration, subject to certain exceptions, provided that the last reported sales price of our Common Stock equals or exceeds $60.00 per share (as adjusted for stock splits, stock dividends, reorganizations, recapitalization and the like) for any 20 trading days within a 30 trading-day period ending on the third trading day prior to the date on which we give proper notice of such redemption to the deSPAC Warrant holders and provided certain other conditions are met. For additional information on the circumstances in which the deSPAC Public Warrants may be redeemed, see "</w:t>
      </w:r>
      <w:r>
        <w:rPr>
          <w:rFonts w:ascii="Times New Roman" w:cs="Times New Roman" w:eastAsia="Times New Roman" w:hAnsi="Times New Roman"/>
          <w:sz w:val="18"/>
          <w:szCs w:val="18"/>
          <w:i w:val="1"/>
          <w:iCs w:val="1"/>
          <w:color w:val="auto"/>
        </w:rPr>
        <w:t>Description of Securities—Warrants—Public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Stockholders' Warrants</w:t>
      </w:r>
      <w:r>
        <w:rPr>
          <w:rFonts w:ascii="Times New Roman" w:cs="Times New Roman" w:eastAsia="Times New Roman" w:hAnsi="Times New Roman"/>
          <w:sz w:val="18"/>
          <w:szCs w:val="18"/>
          <w:color w:val="auto"/>
        </w:rPr>
        <w:t>" in this Quarterly Report. If and when the deSPAC Warrants become redeemable by us, we may exercise our redemption right even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we are unable to register or qualify the underlying securities for sale under all applicable state securities laws. Redemption of the outstanding deSPAC Warrants could force the deSPAC Warrant holders (1) to exercise their deSPAC Warrants and pay the exercise price therefor at a time when it may be disadvantageous for them to do so, (2) to sell their deSPAC Warrants at the then-current market price when they might otherwise wish to hold their deSPAC Warrants or (3) to accept the nominal redemption price which, at the time the outstanding deSPAC Warrants are called for redemption, is likely to be substantially less than the market value of their deSPAC Warrants. None of the deSPAC Private Placement Warrants will be redeemable by us so long as they are held by the initial purchasers or their permitted transferees, subject to certain exceptions. None of the warrants sold in private placement under the Investor Purchase Agreement and the Insider Purchase Agreement are redeemable by us.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DeSPAC Warrants are exercisable for Common Stock, and their exercise would increase the number of shares eligible for future resale in the public market and result in dilution to our stockholders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2025, there were 20,549,453 deSPAC Warrants outstanding. Each whole deSPAC Warrant entitles the holder to purchase one sixth of a share of our Common Stock at a price of $11.50 per warrant, which is equivalent to approximately 3,424,909 shares of Common Stock. The shares of Common Stock issued upon exercise of our deSPAC Warrants will result in dilution to the then existing holders of Common Stock and increase the number of shares eligible for resale in the public market. Sales of substantial numbers of such shares in the public market could adversely affect the market price of our Common Stock or deSPAC Public Warrants.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2024 Warrants are exercisable for Common Stock, and their exercise would increase the number of shares eligible for future resale in the public market and result in dilution to our stockholders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 xml:space="preserve">On November 1, 2024, we issued warrants to purchase up to </w:t>
      </w:r>
      <w:r>
        <w:rPr>
          <w:rFonts w:ascii="Times New Roman" w:cs="Times New Roman" w:eastAsia="Times New Roman" w:hAnsi="Times New Roman"/>
          <w:sz w:val="18"/>
          <w:szCs w:val="18"/>
          <w:color w:val="000000"/>
        </w:rPr>
        <w:t>3,220,805</w:t>
      </w:r>
      <w:r>
        <w:rPr>
          <w:rFonts w:ascii="Times New Roman" w:cs="Times New Roman" w:eastAsia="Times New Roman" w:hAnsi="Times New Roman"/>
          <w:sz w:val="18"/>
          <w:szCs w:val="18"/>
          <w:color w:val="212529"/>
        </w:rPr>
        <w:t xml:space="preserve"> shares of </w:t>
      </w:r>
      <w:r>
        <w:rPr>
          <w:rFonts w:ascii="Times New Roman" w:cs="Times New Roman" w:eastAsia="Times New Roman" w:hAnsi="Times New Roman"/>
          <w:sz w:val="18"/>
          <w:szCs w:val="18"/>
          <w:color w:val="000000"/>
        </w:rPr>
        <w:t>Common Stock</w:t>
      </w:r>
      <w:r>
        <w:rPr>
          <w:rFonts w:ascii="Times New Roman" w:cs="Times New Roman" w:eastAsia="Times New Roman" w:hAnsi="Times New Roman"/>
          <w:sz w:val="18"/>
          <w:szCs w:val="18"/>
          <w:color w:val="212529"/>
        </w:rPr>
        <w:t xml:space="preserve"> (the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12529"/>
        </w:rPr>
        <w:t>2024 Warrants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As of March 31, 2025, there were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3,220,805 2024 Warrants outstanding. Each whole 2024 Warrant entitles the holder to purchase one share of our Common Stock at a price of $2.30 per share. The shares of Common Stock issued upon exercise of our 2024 Warrants will result in dilution to the then existing holders of Common Stock and increase the number of shares eligible for resale in the public market. Sales of substantial numbers of such shares in the public market could adversely affect the market price of our Common Stock or deSPAC Public Warrants.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Charter and Bylaws, as well as provisions of Delaware law, could impair a takeover attempt, which could limit the price investors might be willing to pay in the future for our Common Stock</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Charter and Bylaws contain provisions that may discourage unsolicited takeover proposals that stockholders may consider to be in their best interests.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 These provisions include:</w:t>
      </w:r>
    </w:p>
    <w:p>
      <w:pPr>
        <w:spacing w:after="0" w:line="288" w:lineRule="exact"/>
        <w:rPr>
          <w:sz w:val="20"/>
          <w:szCs w:val="20"/>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the board of directors (pursuant to a majority vote of the whole board), the chairperson of the board of directors, or the Chief Executive Officer may call a special meeting;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vote of at least 66-2/3% required to remove a director for "cause";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6" w:name="page57"/>
    <w:bookmarkEnd w:id="56"/>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vote of at least 66-2/3% required to approve certain amendments to the Charter and Bylaws;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Delaware and federal courts as the exclusive forums for certain disputes.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Bylaws provide that the Court of Chancery of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Bylaws provide, to the fullest extent permitted by law, that internal corporate claims may be brought only in the Court of Chancery in the State of Delaware (or, if the Court of Chancery does not have, or declines to accept, jurisdiction, another state court or a federal court located within the State of Delaware). In addition, our Bylaws provide that the federal district courts of the United States will be the exclusive forum for resolving any complaint asserting a cause of action arising under the Securities Act. This forum selection provision will not apply to claims brought to enforce a duty or liability created by the Exchange Act. Any person or entity purchasing or otherwise acquiring or holding any interest in our stock shall be deemed to have notice of and consented to the forum provision in our Bylaws.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Bylaws to be inapplicable or unenforceable in an action, we may incur additional costs associated with resolving such action in other jurisdictions, which could harm our business, operating results and financial condition. For example, under the Securities Act, federal courts have concurrent jurisdiction over all suits brought to enforce any duty or liability created by the Securities Act, and investors cannot waive compliance with the federal securities laws and the rules and regulations thereunder. Accordingly, there is uncertainty as to whether a court would enforce such a forum selection provision as written in connection with claims arising under the Securities Act.</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JOBS Act permits "emerging growth companies" like us to take advantage of certain exemptions from various reporting requirements applicable to other public companies that are not emerging growth companies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qualify as an "emerging growth company" as defined in Section 2(a)(19) of the Securities Act, as modified by the JOBS Act. As such, we take advantage of certain exemptions from various reporting requirements applicable to other public companies that are not emerging growth companies for as long as we continue to be an emerging growth company, including (1) the exemption from the auditor attestation requirements with respect to internal control over financial reporting under Section 404 of the Sarbanes-Oxley Act of 2002, (2) the exemptions from say-on-pay, say-on-frequency and say-on-golden parachute voting requirements and (3) reduced disclosure obligations regarding executive compensation in our periodic reports and proxy statements. As a result, our stockholders may not have access to certain information they deem important. We will remain an emerging growth company until the earlier of (1) the last day of the fiscal year (a) following January 20, 2026, the fifth anniversary of Rotor's initial public offering, (b) in which we have total annual gross revenue of at least $1.235 billion or (c) in which we are deemed to be a large accelerated filer, which means the market value of our Common Stock and deSPAC Public Warrants that is held by non-affiliates exceeds $700 million as of the last business day of our prior second fiscal quarter, and (2) the date on which we have issued more than $1.0 billion in non-convertible debt during the prior three-year period.</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to avail ourselves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Investors may find our Common Stock or deSPAC Public Warrants less attractive because we rely on these exemptions and may continue to rely on them to the extent they remain available to us. If some investors find our Common Stock or deSPAC Public Warrants less attractive as a result of these exemptions and reduced disclosure as an emerging growth company, there may be a less active trading market for and/or more price volatility with respect to our Common Stock or deSPAC Public Warrants.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our last fiscal quarter, no director or officer, as defined in Rule 16a-1(f), adopted or terminated a “Rule 10b5-1 trading arrangement” or a “non-Rule 10b5-1 trading arrangement,” each as defined in Regulation S-K Item 408.</w:t>
      </w: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7340" w:type="dxa"/>
            <w:vAlign w:val="bottom"/>
            <w:gridSpan w:val="11"/>
            <w:vMerge w:val="restart"/>
          </w:tcPr>
          <w:p>
            <w:pPr>
              <w:ind w:left="18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spacing w:after="0"/>
              <w:rPr>
                <w:sz w:val="15"/>
                <w:szCs w:val="15"/>
                <w:color w:val="auto"/>
              </w:rPr>
            </w:pPr>
          </w:p>
        </w:tc>
        <w:tc>
          <w:tcPr>
            <w:tcW w:w="7340" w:type="dxa"/>
            <w:vAlign w:val="bottom"/>
            <w:tcBorders>
              <w:bottom w:val="single" w:sz="8" w:color="auto"/>
            </w:tcBorders>
            <w:gridSpan w:val="1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4"/>
                <w:szCs w:val="14"/>
                <w:color w:val="auto"/>
              </w:rPr>
            </w:pPr>
          </w:p>
        </w:tc>
        <w:tc>
          <w:tcPr>
            <w:tcW w:w="9800" w:type="dxa"/>
            <w:vAlign w:val="bottom"/>
            <w:tcBorders>
              <w:bottom w:val="single" w:sz="8" w:color="0000FF"/>
            </w:tcBorders>
            <w:gridSpan w:val="9"/>
          </w:tcPr>
          <w:p>
            <w:pPr>
              <w:spacing w:after="0" w:line="169" w:lineRule="exact"/>
              <w:rPr>
                <w:rFonts w:ascii="Times New Roman" w:cs="Times New Roman" w:eastAsia="Times New Roman" w:hAnsi="Times New Roman"/>
                <w:sz w:val="18"/>
                <w:szCs w:val="18"/>
                <w:color w:val="0000FF"/>
                <w:w w:val="99"/>
              </w:rPr>
            </w:pPr>
            <w:hyperlink r:id="rId219">
              <w:r>
                <w:rPr>
                  <w:rFonts w:ascii="Times New Roman" w:cs="Times New Roman" w:eastAsia="Times New Roman" w:hAnsi="Times New Roman"/>
                  <w:sz w:val="18"/>
                  <w:szCs w:val="18"/>
                  <w:color w:val="0000FF"/>
                  <w:w w:val="99"/>
                </w:rPr>
                <w:t>Second Amended and Restated Certificate of Incorporation of the Company (incorporated by reference to Exhibit 3.1 to the Company’s</w:t>
              </w:r>
            </w:hyperlink>
          </w:p>
        </w:tc>
        <w:tc>
          <w:tcPr>
            <w:tcW w:w="4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Current Report on Form 8-K, filed with the SEC on September 30, 2021).</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96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rFonts w:ascii="Times New Roman" w:cs="Times New Roman" w:eastAsia="Times New Roman" w:hAnsi="Times New Roman"/>
                <w:sz w:val="18"/>
                <w:szCs w:val="18"/>
                <w:color w:val="0000FF"/>
                <w:w w:val="99"/>
              </w:rPr>
            </w:pPr>
            <w:hyperlink r:id="rId220">
              <w:r>
                <w:rPr>
                  <w:rFonts w:ascii="Times New Roman" w:cs="Times New Roman" w:eastAsia="Times New Roman" w:hAnsi="Times New Roman"/>
                  <w:sz w:val="18"/>
                  <w:szCs w:val="18"/>
                  <w:color w:val="0000FF"/>
                  <w:w w:val="99"/>
                </w:rPr>
                <w:t>Certificate of Amendment of Amended and Restated Certificate of Incorporation of the Company (incorporated by reference to Exhibit 3.1 to</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96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the Company’s Current Report on Form 8-K filed with the SEC on June 20, 2023).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96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000" w:type="dxa"/>
            <w:vAlign w:val="bottom"/>
            <w:tcBorders>
              <w:right w:val="single" w:sz="8" w:color="0000EE"/>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rFonts w:ascii="Times New Roman" w:cs="Times New Roman" w:eastAsia="Times New Roman" w:hAnsi="Times New Roman"/>
                <w:sz w:val="18"/>
                <w:szCs w:val="18"/>
                <w:color w:val="0000FF"/>
                <w:w w:val="99"/>
              </w:rPr>
            </w:pPr>
            <w:hyperlink r:id="rId221">
              <w:r>
                <w:rPr>
                  <w:rFonts w:ascii="Times New Roman" w:cs="Times New Roman" w:eastAsia="Times New Roman" w:hAnsi="Times New Roman"/>
                  <w:sz w:val="18"/>
                  <w:szCs w:val="18"/>
                  <w:color w:val="0000FF"/>
                  <w:w w:val="99"/>
                </w:rPr>
                <w:t>Certificate of Amendment of Amended and Restated Certificate of Incorporation of the Company (incorporated by reference to Exhibit 3.1 to</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96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140" w:type="dxa"/>
            <w:vAlign w:val="bottom"/>
            <w:tcBorders>
              <w:right w:val="single" w:sz="8" w:color="0000FF"/>
            </w:tcBorders>
            <w:gridSpan w:val="3"/>
            <w:shd w:val="clear" w:color="auto" w:fill="0000FF"/>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the Company’s Current Report on Form 8-K filed with the SEC on March 18, 2024).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96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140" w:type="dxa"/>
            <w:vAlign w:val="bottom"/>
            <w:tcBorders>
              <w:right w:val="single" w:sz="8" w:color="0000EE"/>
            </w:tcBorders>
            <w:gridSpan w:val="3"/>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Amended and Restated Bylaws of the Company (incorporated by reference to Exhibit 3.2 to the Company's Current Report on Form 8-K</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96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2960" w:type="dxa"/>
            <w:vAlign w:val="bottom"/>
            <w:tcBorders>
              <w:right w:val="single" w:sz="8" w:color="0000FF"/>
            </w:tcBorders>
            <w:gridSpan w:val="4"/>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filed with the SEC on March 18, 2024).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960" w:type="dxa"/>
            <w:vAlign w:val="bottom"/>
            <w:tcBorders>
              <w:right w:val="single" w:sz="8" w:color="0000EE"/>
            </w:tcBorders>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Employment Agreement, dated February 29, 2024, among Kristi Martindale, Sarcos Corp., and the Company.</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gridSpan w:val="2"/>
            <w:shd w:val="clear" w:color="auto" w:fill="0000FF"/>
          </w:tcPr>
          <w:p>
            <w:pPr>
              <w:spacing w:after="0" w:line="20" w:lineRule="exact"/>
              <w:rPr>
                <w:sz w:val="1"/>
                <w:szCs w:val="1"/>
                <w:color w:val="auto"/>
              </w:rPr>
            </w:pPr>
          </w:p>
        </w:tc>
        <w:tc>
          <w:tcPr>
            <w:tcW w:w="2960" w:type="dxa"/>
            <w:vAlign w:val="bottom"/>
            <w:tcBorders>
              <w:right w:val="single" w:sz="8" w:color="0000EE"/>
            </w:tcBorders>
            <w:gridSpan w:val="4"/>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gridSpan w:val="2"/>
            <w:shd w:val="clear" w:color="auto" w:fill="0000FF"/>
          </w:tcPr>
          <w:p>
            <w:pPr>
              <w:spacing w:after="0" w:line="20" w:lineRule="exact"/>
              <w:rPr>
                <w:sz w:val="1"/>
                <w:szCs w:val="1"/>
                <w:color w:val="auto"/>
              </w:rPr>
            </w:pPr>
          </w:p>
        </w:tc>
        <w:tc>
          <w:tcPr>
            <w:tcW w:w="4640" w:type="dxa"/>
            <w:vAlign w:val="bottom"/>
            <w:gridSpan w:val="5"/>
            <w:shd w:val="clear" w:color="auto" w:fill="0000FF"/>
          </w:tcPr>
          <w:p>
            <w:pPr>
              <w:spacing w:after="0" w:line="20" w:lineRule="exact"/>
              <w:rPr>
                <w:sz w:val="1"/>
                <w:szCs w:val="1"/>
                <w:color w:val="auto"/>
              </w:rPr>
            </w:pPr>
          </w:p>
        </w:tc>
        <w:tc>
          <w:tcPr>
            <w:tcW w:w="420" w:type="dxa"/>
            <w:vAlign w:val="bottom"/>
            <w:tcBorders>
              <w:left w:val="single" w:sz="8" w:color="0000FF"/>
            </w:tcBorders>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gridSpan w:val="2"/>
            <w:shd w:val="clear" w:color="auto" w:fill="0000FF"/>
          </w:tcPr>
          <w:p>
            <w:pPr>
              <w:spacing w:after="0" w:line="20" w:lineRule="exact"/>
              <w:rPr>
                <w:sz w:val="1"/>
                <w:szCs w:val="1"/>
                <w:color w:val="auto"/>
              </w:rPr>
            </w:pPr>
          </w:p>
        </w:tc>
        <w:tc>
          <w:tcPr>
            <w:tcW w:w="4640" w:type="dxa"/>
            <w:vAlign w:val="bottom"/>
            <w:gridSpan w:val="5"/>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8700" w:type="dxa"/>
            <w:vAlign w:val="bottom"/>
            <w:gridSpan w:val="7"/>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gridSpan w:val="2"/>
            <w:shd w:val="clear" w:color="auto" w:fill="0000FF"/>
          </w:tcPr>
          <w:p>
            <w:pPr>
              <w:spacing w:after="0" w:line="20" w:lineRule="exact"/>
              <w:rPr>
                <w:sz w:val="1"/>
                <w:szCs w:val="1"/>
                <w:color w:val="auto"/>
              </w:rPr>
            </w:pPr>
          </w:p>
        </w:tc>
        <w:tc>
          <w:tcPr>
            <w:tcW w:w="5060" w:type="dxa"/>
            <w:vAlign w:val="bottom"/>
            <w:gridSpan w:val="8"/>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9120" w:type="dxa"/>
            <w:vAlign w:val="bottom"/>
            <w:gridSpan w:val="10"/>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9120" w:type="dxa"/>
            <w:vAlign w:val="bottom"/>
            <w:gridSpan w:val="1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20" w:type="dxa"/>
            <w:vAlign w:val="bottom"/>
            <w:gridSpan w:val="11"/>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930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18"/>
                <w:szCs w:val="18"/>
                <w:color w:val="auto"/>
              </w:rPr>
            </w:pPr>
          </w:p>
        </w:tc>
        <w:tc>
          <w:tcPr>
            <w:tcW w:w="102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0"/>
                <w:szCs w:val="20"/>
                <w:color w:val="auto"/>
              </w:rPr>
            </w:pPr>
          </w:p>
        </w:tc>
        <w:tc>
          <w:tcPr>
            <w:tcW w:w="102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ind w:left="1020" w:hanging="1012"/>
        <w:spacing w:after="0"/>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4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95123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97" w:lineRule="exact"/>
        <w:rPr>
          <w:sz w:val="20"/>
          <w:szCs w:val="20"/>
          <w:color w:val="auto"/>
        </w:rPr>
      </w:pPr>
    </w:p>
    <w:p>
      <w:pPr>
        <w:ind w:left="360" w:hanging="352"/>
        <w:spacing w:after="0"/>
        <w:tabs>
          <w:tab w:leader="none" w:pos="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17" w:lineRule="exact"/>
        <w:rPr>
          <w:sz w:val="20"/>
          <w:szCs w:val="20"/>
          <w:color w:val="auto"/>
        </w:rPr>
      </w:pPr>
    </w:p>
    <w:p>
      <w:pPr>
        <w:ind w:left="520" w:right="20" w:hanging="512"/>
        <w:spacing w:after="0" w:line="261" w:lineRule="auto"/>
        <w:tabs>
          <w:tab w:leader="none" w:pos="37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Exhibits 32.1 and 32.2 that accompany this Quarterly Report on Form 10-Q are not deemed filed with the Securities and Exchange Commission and are not to be incorporated by reference into any filing of Palladyne AI Corp. under the Securities Act of 1933, as amended, or the Securities Exchange Act of 1934, as amended, whether made before or after the date of this Form 10-Q, irrespective of any general incorporation language contained in such filing.</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9" w:name="page60"/>
    <w:bookmarkEnd w:id="59"/>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0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139"/>
          </w:cols>
          <w:pgMar w:left="320" w:top="9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2025</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PALLADYNE AI CORP.</w:t>
      </w:r>
    </w:p>
    <w:p>
      <w:pPr>
        <w:spacing w:after="0" w:line="2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By: /s/ Benjamin G. Wolff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310515</wp:posOffset>
            </wp:positionH>
            <wp:positionV relativeFrom="paragraph">
              <wp:posOffset>17145</wp:posOffset>
            </wp:positionV>
            <wp:extent cx="330898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5">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Benjamin G. Wolff</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By: /s/ Trevor Thatcher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310515</wp:posOffset>
            </wp:positionH>
            <wp:positionV relativeFrom="paragraph">
              <wp:posOffset>17145</wp:posOffset>
            </wp:positionV>
            <wp:extent cx="330898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6">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Trevor Thatcher</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7" w:lineRule="exact"/>
        <w:rPr>
          <w:sz w:val="20"/>
          <w:szCs w:val="20"/>
          <w:color w:val="auto"/>
        </w:rPr>
      </w:pPr>
    </w:p>
    <w:p>
      <w:pPr>
        <w:jc w:val="center"/>
        <w:ind w:right="44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820" w:space="720"/>
            <w:col w:w="4599"/>
          </w:cols>
          <w:pgMar w:left="320" w:top="981" w:right="1440" w:bottom="1440" w:gutter="0" w:footer="0" w:header="0"/>
          <w:type w:val="continuous"/>
        </w:sectPr>
      </w:pPr>
    </w:p>
    <w:bookmarkStart w:id="60" w:name="page61"/>
    <w:bookmarkEnd w:id="60"/>
    <w:p>
      <w:pPr>
        <w:spacing w:after="0" w:line="181"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SARCOS CORP.</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This Employment Agreement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entered into as of February 29, 2024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by and between Sarcos Corp.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Sarcos Technology and Robotics Corporation (“</w:t>
      </w:r>
      <w:r>
        <w:rPr>
          <w:rFonts w:ascii="Times New Roman" w:cs="Times New Roman" w:eastAsia="Times New Roman" w:hAnsi="Times New Roman"/>
          <w:sz w:val="22"/>
          <w:szCs w:val="22"/>
          <w:b w:val="1"/>
          <w:bCs w:val="1"/>
          <w:color w:val="auto"/>
        </w:rPr>
        <w:t>Parent</w:t>
      </w:r>
      <w:r>
        <w:rPr>
          <w:rFonts w:ascii="Times New Roman" w:cs="Times New Roman" w:eastAsia="Times New Roman" w:hAnsi="Times New Roman"/>
          <w:sz w:val="22"/>
          <w:szCs w:val="22"/>
          <w:color w:val="auto"/>
        </w:rPr>
        <w:t>”) and Kristi Martindale (“</w:t>
      </w:r>
      <w:r>
        <w:rPr>
          <w:rFonts w:ascii="Times New Roman" w:cs="Times New Roman" w:eastAsia="Times New Roman" w:hAnsi="Times New Roman"/>
          <w:sz w:val="22"/>
          <w:szCs w:val="22"/>
          <w:b w:val="1"/>
          <w:bCs w:val="1"/>
          <w:color w:val="auto"/>
        </w:rPr>
        <w:t>Executive</w:t>
      </w:r>
      <w:r>
        <w:rPr>
          <w:rFonts w:ascii="Times New Roman" w:cs="Times New Roman" w:eastAsia="Times New Roman" w:hAnsi="Times New Roman"/>
          <w:sz w:val="22"/>
          <w:szCs w:val="22"/>
          <w:color w:val="auto"/>
        </w:rPr>
        <w:t>” and, together with the Company and Parent,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RECITALS</w:t>
      </w:r>
    </w:p>
    <w:p>
      <w:pPr>
        <w:spacing w:after="0" w:line="206" w:lineRule="exact"/>
        <w:rPr>
          <w:sz w:val="20"/>
          <w:szCs w:val="20"/>
          <w:color w:val="auto"/>
        </w:rPr>
      </w:pPr>
    </w:p>
    <w:p>
      <w:pPr>
        <w:jc w:val="both"/>
        <w:ind w:firstLine="432"/>
        <w:spacing w:after="0" w:line="244" w:lineRule="auto"/>
        <w:rPr>
          <w:sz w:val="20"/>
          <w:szCs w:val="20"/>
          <w:color w:val="auto"/>
        </w:rPr>
      </w:pPr>
      <w:r>
        <w:rPr>
          <w:rFonts w:ascii="Times New Roman" w:cs="Times New Roman" w:eastAsia="Times New Roman" w:hAnsi="Times New Roman"/>
          <w:sz w:val="22"/>
          <w:szCs w:val="22"/>
          <w:color w:val="auto"/>
        </w:rPr>
        <w:t>WHEREAS, Executive was previously an employee of the Company and is currently serving as a consultant to the Company pursuant to that certain Consulting Agreement entered into on September 22, 2023 by and between Executive and the Company (the “</w:t>
      </w:r>
      <w:r>
        <w:rPr>
          <w:rFonts w:ascii="Times New Roman" w:cs="Times New Roman" w:eastAsia="Times New Roman" w:hAnsi="Times New Roman"/>
          <w:sz w:val="22"/>
          <w:szCs w:val="22"/>
          <w:b w:val="1"/>
          <w:bCs w:val="1"/>
          <w:color w:val="auto"/>
        </w:rPr>
        <w:t>Consulting Agreement</w:t>
      </w:r>
      <w:r>
        <w:rPr>
          <w:rFonts w:ascii="Times New Roman" w:cs="Times New Roman" w:eastAsia="Times New Roman" w:hAnsi="Times New Roman"/>
          <w:sz w:val="22"/>
          <w:szCs w:val="22"/>
          <w:color w:val="auto"/>
        </w:rPr>
        <w:t>”); and</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WHEREAS, Parent and the Company wich to re-employ Executive wishes to retain the services of Executive as of March 1, 2024 (the “</w:t>
      </w:r>
      <w:r>
        <w:rPr>
          <w:rFonts w:ascii="Times New Roman" w:cs="Times New Roman" w:eastAsia="Times New Roman" w:hAnsi="Times New Roman"/>
          <w:sz w:val="22"/>
          <w:szCs w:val="22"/>
          <w:b w:val="1"/>
          <w:bCs w:val="1"/>
          <w:color w:val="auto"/>
        </w:rPr>
        <w:t>Start Date</w:t>
      </w:r>
      <w:r>
        <w:rPr>
          <w:rFonts w:ascii="Times New Roman" w:cs="Times New Roman" w:eastAsia="Times New Roman" w:hAnsi="Times New Roman"/>
          <w:sz w:val="22"/>
          <w:szCs w:val="22"/>
          <w:color w:val="auto"/>
        </w:rPr>
        <w:t>”) and Executive wishes to be employed by the Company on the Start Date on the terms and subject to the conditions set forth in this Agreement;</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1"/>
          <w:szCs w:val="21"/>
          <w:color w:val="auto"/>
        </w:rPr>
        <w:t>NOW THEREFORE, in consideration of the foregoing recital and the respective undertakings of the Company, Parent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Executive set forth below, the Company and Executive agree as follows:</w:t>
      </w:r>
    </w:p>
    <w:p>
      <w:pPr>
        <w:spacing w:after="0" w:line="182" w:lineRule="exact"/>
        <w:rPr>
          <w:sz w:val="20"/>
          <w:szCs w:val="20"/>
          <w:color w:val="auto"/>
        </w:rPr>
      </w:pPr>
    </w:p>
    <w:p>
      <w:pPr>
        <w:ind w:left="1020" w:hanging="263"/>
        <w:spacing w:after="0"/>
        <w:tabs>
          <w:tab w:leader="none" w:pos="10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Duties and Obligations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Duties and Scope of Employment</w:t>
      </w:r>
      <w:r>
        <w:rPr>
          <w:rFonts w:ascii="Times New Roman" w:cs="Times New Roman" w:eastAsia="Times New Roman" w:hAnsi="Times New Roman"/>
          <w:sz w:val="22"/>
          <w:szCs w:val="22"/>
          <w:color w:val="auto"/>
        </w:rPr>
        <w:t>. As of the Start Date, Executive will serve as Chief Commercial Officer of Parent and the Company and report to the Company’s and Parent’s Chief Executive Officer (the “</w:t>
      </w:r>
      <w:r>
        <w:rPr>
          <w:rFonts w:ascii="Times New Roman" w:cs="Times New Roman" w:eastAsia="Times New Roman" w:hAnsi="Times New Roman"/>
          <w:sz w:val="22"/>
          <w:szCs w:val="22"/>
          <w:b w:val="1"/>
          <w:bCs w:val="1"/>
          <w:color w:val="auto"/>
        </w:rPr>
        <w:t>CEO</w:t>
      </w:r>
      <w:r>
        <w:rPr>
          <w:rFonts w:ascii="Times New Roman" w:cs="Times New Roman" w:eastAsia="Times New Roman" w:hAnsi="Times New Roman"/>
          <w:sz w:val="22"/>
          <w:szCs w:val="22"/>
          <w:color w:val="auto"/>
        </w:rPr>
        <w:t>”). Executive will render business and professional services in the performance of Executive’s duties, consistent with Executive’s position within the Company, as will reasonably be assigned to Executive by the CEO. The period of Executive’s employment under this Agreement is referred to in this Agreement as the “</w:t>
      </w:r>
      <w:r>
        <w:rPr>
          <w:rFonts w:ascii="Times New Roman" w:cs="Times New Roman" w:eastAsia="Times New Roman" w:hAnsi="Times New Roman"/>
          <w:sz w:val="22"/>
          <w:szCs w:val="22"/>
          <w:b w:val="1"/>
          <w:bCs w:val="1"/>
          <w:color w:val="auto"/>
        </w:rPr>
        <w:t>Employment Term</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firstLine="1505"/>
        <w:spacing w:after="0" w:line="246" w:lineRule="auto"/>
        <w:tabs>
          <w:tab w:leader="none" w:pos="2036"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Obligations</w:t>
      </w:r>
      <w:r>
        <w:rPr>
          <w:rFonts w:ascii="Times New Roman" w:cs="Times New Roman" w:eastAsia="Times New Roman" w:hAnsi="Times New Roman"/>
          <w:sz w:val="21"/>
          <w:szCs w:val="21"/>
          <w:color w:val="auto"/>
        </w:rPr>
        <w:t>. During the Employment Term, Executive will perform Executive’s duties faithfully and to the best of Executive’s ability and will devote Executive’s full business efforts and time to Parent and the Company (and, to the extent applicable, other subsidiaries of Parent). Except as prohibited by applicable law, for the duration of the Employment Term, Executive agrees not to actively engage in any other employment, occupation, or consulting activity for any direct or indirect remuneration without the prior approval of the Board, and Executive will not engage in any other activities that materially interfere with Executive’s obligations to the Company; provided, however, that Executive may continue to provide services to Glidance Inc., Walden Family Services, 5P Consulting and Cree8 Inc. consistent with the services she is currently providing to such companies or organizations so long as such services do not interfere with her services ot the Company Group. Executive further agrees to comply with all Company policies, including, for the avoidance of any doubt, any insider trading policies and compensation clawback policies currently in existence or that may be adopted by the Company during the Employment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85" w:lineRule="exact"/>
        <w:rPr>
          <w:sz w:val="20"/>
          <w:szCs w:val="20"/>
          <w:color w:val="auto"/>
        </w:rPr>
      </w:pPr>
    </w:p>
    <w:p>
      <w:pPr>
        <w:jc w:val="both"/>
        <w:ind w:left="-440" w:firstLine="1505"/>
        <w:spacing w:after="0" w:line="236" w:lineRule="auto"/>
        <w:tabs>
          <w:tab w:leader="none" w:pos="1596"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the Parties acknowledge and agree that there will not be any gap in time between the end of Executive’s service to the Company pursuant to the Consulting Agreement and the commencement of Executive’s employment with Parent and the Company as described herein, and therefore Executive’s status as a Service Provider (as that term is used in Executive’s equity award agreements and the 2021 Plan (as defined below) or any other applicable equity plan shall continue uninterrupted from the period of Executive’s service as a consultant under the Consulting Agreement into the period of Executive’s employment as described herein.</w:t>
      </w:r>
    </w:p>
    <w:p>
      <w:pPr>
        <w:spacing w:after="0" w:line="181" w:lineRule="exact"/>
        <w:rPr>
          <w:rFonts w:ascii="Times New Roman" w:cs="Times New Roman" w:eastAsia="Times New Roman" w:hAnsi="Times New Roman"/>
          <w:sz w:val="22"/>
          <w:szCs w:val="22"/>
          <w:color w:val="auto"/>
        </w:rPr>
      </w:pPr>
    </w:p>
    <w:p>
      <w:pPr>
        <w:jc w:val="both"/>
        <w:ind w:left="-440" w:firstLine="757"/>
        <w:spacing w:after="0" w:line="239" w:lineRule="auto"/>
        <w:tabs>
          <w:tab w:leader="none" w:pos="578"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At-Will Employment</w:t>
      </w:r>
      <w:r>
        <w:rPr>
          <w:rFonts w:ascii="Times New Roman" w:cs="Times New Roman" w:eastAsia="Times New Roman" w:hAnsi="Times New Roman"/>
          <w:sz w:val="22"/>
          <w:szCs w:val="22"/>
          <w:color w:val="auto"/>
        </w:rPr>
        <w:t>. Subject to the terms hereof, Executive’s employment with the Company will be “at-will” employment and may be terminated by the Company at any time with or without cause or with or without notice. However, as described in this Agreement, Executive may be entitled to severance benefits depending upon the circumstances of Executive’s termination of employment.</w:t>
      </w:r>
    </w:p>
    <w:p>
      <w:pPr>
        <w:spacing w:after="0" w:line="180" w:lineRule="exact"/>
        <w:rPr>
          <w:rFonts w:ascii="Times New Roman" w:cs="Times New Roman" w:eastAsia="Times New Roman" w:hAnsi="Times New Roman"/>
          <w:sz w:val="22"/>
          <w:szCs w:val="22"/>
          <w:color w:val="auto"/>
        </w:rPr>
      </w:pPr>
    </w:p>
    <w:p>
      <w:pPr>
        <w:ind w:left="580" w:hanging="263"/>
        <w:spacing w:after="0"/>
        <w:tabs>
          <w:tab w:leader="none" w:pos="58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440" w:firstLine="1505"/>
        <w:spacing w:after="0" w:line="238" w:lineRule="auto"/>
        <w:tabs>
          <w:tab w:leader="none" w:pos="1596"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During the Employment Term, the Company will pay Executive an annual base salary of $285,000 as compensation for Executive’s services (the annual base salary as may be amended from time to time, the “</w:t>
      </w:r>
      <w:r>
        <w:rPr>
          <w:rFonts w:ascii="Times New Roman" w:cs="Times New Roman" w:eastAsia="Times New Roman" w:hAnsi="Times New Roman"/>
          <w:sz w:val="22"/>
          <w:szCs w:val="22"/>
          <w:b w:val="1"/>
          <w:bCs w:val="1"/>
          <w:color w:val="auto"/>
        </w:rPr>
        <w:t>Base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Salary</w:t>
      </w:r>
      <w:r>
        <w:rPr>
          <w:rFonts w:ascii="Times New Roman" w:cs="Times New Roman" w:eastAsia="Times New Roman" w:hAnsi="Times New Roman"/>
          <w:sz w:val="22"/>
          <w:szCs w:val="22"/>
          <w:color w:val="auto"/>
        </w:rPr>
        <w:t>”). The Base Salary will be paid periodically in accordance with the Company’s normal payroll practices and be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usual, required withholding. Executive’s Base Salary will be subject to review and adjustments will be made by the Board or its authorized committee (the “</w:t>
      </w:r>
      <w:r>
        <w:rPr>
          <w:rFonts w:ascii="Times New Roman" w:cs="Times New Roman" w:eastAsia="Times New Roman" w:hAnsi="Times New Roman"/>
          <w:sz w:val="22"/>
          <w:szCs w:val="22"/>
          <w:b w:val="1"/>
          <w:bCs w:val="1"/>
          <w:color w:val="auto"/>
        </w:rPr>
        <w:t>Committee</w:t>
      </w:r>
      <w:r>
        <w:rPr>
          <w:rFonts w:ascii="Times New Roman" w:cs="Times New Roman" w:eastAsia="Times New Roman" w:hAnsi="Times New Roman"/>
          <w:sz w:val="22"/>
          <w:szCs w:val="22"/>
          <w:color w:val="auto"/>
        </w:rPr>
        <w:t>”) based upon the Company’s normal performance review practices.</w:t>
      </w:r>
    </w:p>
    <w:p>
      <w:pPr>
        <w:spacing w:after="0" w:line="176" w:lineRule="exact"/>
        <w:rPr>
          <w:rFonts w:ascii="Times New Roman" w:cs="Times New Roman" w:eastAsia="Times New Roman" w:hAnsi="Times New Roman"/>
          <w:sz w:val="22"/>
          <w:szCs w:val="22"/>
          <w:color w:val="auto"/>
        </w:rPr>
      </w:pPr>
    </w:p>
    <w:p>
      <w:pPr>
        <w:jc w:val="both"/>
        <w:ind w:left="-440" w:firstLine="1505"/>
        <w:spacing w:after="0" w:line="248" w:lineRule="auto"/>
        <w:tabs>
          <w:tab w:leader="none" w:pos="1596"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Bonus</w:t>
      </w:r>
      <w:r>
        <w:rPr>
          <w:rFonts w:ascii="Times New Roman" w:cs="Times New Roman" w:eastAsia="Times New Roman" w:hAnsi="Times New Roman"/>
          <w:sz w:val="21"/>
          <w:szCs w:val="21"/>
          <w:color w:val="auto"/>
        </w:rPr>
        <w:t>. Executive will be eligible to receive a bonus targeted annually at 50% of Executive’s then-current Base Salary (the “</w:t>
      </w:r>
      <w:r>
        <w:rPr>
          <w:rFonts w:ascii="Times New Roman" w:cs="Times New Roman" w:eastAsia="Times New Roman" w:hAnsi="Times New Roman"/>
          <w:sz w:val="21"/>
          <w:szCs w:val="21"/>
          <w:b w:val="1"/>
          <w:bCs w:val="1"/>
          <w:color w:val="auto"/>
        </w:rPr>
        <w:t>Bonus</w:t>
      </w:r>
      <w:r>
        <w:rPr>
          <w:rFonts w:ascii="Times New Roman" w:cs="Times New Roman" w:eastAsia="Times New Roman" w:hAnsi="Times New Roman"/>
          <w:sz w:val="21"/>
          <w:szCs w:val="21"/>
          <w:color w:val="auto"/>
        </w:rPr>
        <w:t>”). Any Bonus may be based on achievement of the performance goals set by the Committee and the Committee’s assessment of achievement of those goals as well as the terms and conditions of the bonus plan to be approved by the Committee. Executive’s receipt of any achieved amount of the Bonus is subject to Executive’s continued employment with the Company through the applicable payment date, and such amount will not be earned if Executive’s employment with the Company terminates for any reason or no reason prior to the applicable payment date. The achieved amount of Executive’s Bonus for any year will be payable no later than March 15th of the year following the year in which such amount is earned.</w:t>
      </w:r>
    </w:p>
    <w:p>
      <w:pPr>
        <w:spacing w:after="0" w:line="170" w:lineRule="exact"/>
        <w:rPr>
          <w:rFonts w:ascii="Times New Roman" w:cs="Times New Roman" w:eastAsia="Times New Roman" w:hAnsi="Times New Roman"/>
          <w:sz w:val="21"/>
          <w:szCs w:val="21"/>
          <w:color w:val="auto"/>
        </w:rPr>
      </w:pPr>
    </w:p>
    <w:p>
      <w:pPr>
        <w:ind w:left="1600" w:hanging="535"/>
        <w:spacing w:after="0"/>
        <w:tabs>
          <w:tab w:leader="none" w:pos="160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440" w:right="40" w:firstLine="2629"/>
        <w:spacing w:after="0" w:line="247" w:lineRule="auto"/>
        <w:tabs>
          <w:tab w:leader="none" w:pos="2615" w:val="left"/>
        </w:tabs>
        <w:numPr>
          <w:ilvl w:val="2"/>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an inducement for Executive to enter into this Agreement and be employed as Chief Commercial Officer, the Company will recommend to the Committee that it grant Executive 250,000 restricted stock units related to Parent common stock (the “</w:t>
      </w:r>
      <w:r>
        <w:rPr>
          <w:rFonts w:ascii="Times New Roman" w:cs="Times New Roman" w:eastAsia="Times New Roman" w:hAnsi="Times New Roman"/>
          <w:sz w:val="21"/>
          <w:szCs w:val="21"/>
          <w:b w:val="1"/>
          <w:bCs w:val="1"/>
          <w:color w:val="auto"/>
        </w:rPr>
        <w:t>RSUs</w:t>
      </w:r>
      <w:r>
        <w:rPr>
          <w:rFonts w:ascii="Times New Roman" w:cs="Times New Roman" w:eastAsia="Times New Roman" w:hAnsi="Times New Roman"/>
          <w:sz w:val="21"/>
          <w:szCs w:val="21"/>
          <w:color w:val="auto"/>
        </w:rPr>
        <w:t>”). Unless determined otherwise by the Committee and subject to the Committee’s approval, the “</w:t>
      </w:r>
      <w:r>
        <w:rPr>
          <w:rFonts w:ascii="Times New Roman" w:cs="Times New Roman" w:eastAsia="Times New Roman" w:hAnsi="Times New Roman"/>
          <w:sz w:val="21"/>
          <w:szCs w:val="21"/>
          <w:b w:val="1"/>
          <w:bCs w:val="1"/>
          <w:color w:val="auto"/>
        </w:rPr>
        <w:t>Grant Date</w:t>
      </w:r>
      <w:r>
        <w:rPr>
          <w:rFonts w:ascii="Times New Roman" w:cs="Times New Roman" w:eastAsia="Times New Roman" w:hAnsi="Times New Roman"/>
          <w:sz w:val="21"/>
          <w:szCs w:val="21"/>
          <w:color w:val="auto"/>
        </w:rPr>
        <w:t>” shall be the first Quarterly Vesting Date (as defined below) following the Start Date. Subject to the continuation of Executive’s service to Parent or the Company in accordance with the 2021 Plan (as defined below), the RSUs will vest as to 100,000 RSUs on the first anniversary of the Grant Date, and as to 1/12 of the remaining 150,000 RSUs on each of the subsequent 12 Quarterly Vesting Dates thereafter. The RSUs will be subject to the terms and conditions of Section 6 below, Parent’s 2021 Equity Plan, as amended from time to time (“</w:t>
      </w:r>
      <w:r>
        <w:rPr>
          <w:rFonts w:ascii="Times New Roman" w:cs="Times New Roman" w:eastAsia="Times New Roman" w:hAnsi="Times New Roman"/>
          <w:sz w:val="21"/>
          <w:szCs w:val="21"/>
          <w:b w:val="1"/>
          <w:bCs w:val="1"/>
          <w:color w:val="auto"/>
        </w:rPr>
        <w:t>2021 Plan</w:t>
      </w:r>
      <w:r>
        <w:rPr>
          <w:rFonts w:ascii="Times New Roman" w:cs="Times New Roman" w:eastAsia="Times New Roman" w:hAnsi="Times New Roman"/>
          <w:sz w:val="21"/>
          <w:szCs w:val="21"/>
          <w:color w:val="auto"/>
        </w:rPr>
        <w:t>”), and Parent’s form of restricted stock unit</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478155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440" w:right="339" w:bottom="1440" w:gutter="0" w:footer="0" w:header="0"/>
        </w:sectPr>
      </w:pPr>
    </w:p>
    <w:bookmarkStart w:id="62" w:name="page63"/>
    <w:bookmarkEnd w:id="62"/>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 The “</w:t>
      </w:r>
      <w:r>
        <w:rPr>
          <w:rFonts w:ascii="Times New Roman" w:cs="Times New Roman" w:eastAsia="Times New Roman" w:hAnsi="Times New Roman"/>
          <w:sz w:val="22"/>
          <w:szCs w:val="22"/>
          <w:b w:val="1"/>
          <w:bCs w:val="1"/>
          <w:color w:val="auto"/>
        </w:rPr>
        <w:t>Quarterly Vesting Date</w:t>
      </w:r>
      <w:r>
        <w:rPr>
          <w:rFonts w:ascii="Times New Roman" w:cs="Times New Roman" w:eastAsia="Times New Roman" w:hAnsi="Times New Roman"/>
          <w:sz w:val="22"/>
          <w:szCs w:val="22"/>
          <w:color w:val="auto"/>
        </w:rPr>
        <w:t>” means March 29, May 20, August 20, and November 20 of each year.</w:t>
      </w:r>
    </w:p>
    <w:p>
      <w:pPr>
        <w:spacing w:after="0" w:line="210" w:lineRule="exact"/>
        <w:rPr>
          <w:sz w:val="20"/>
          <w:szCs w:val="20"/>
          <w:color w:val="auto"/>
        </w:rPr>
      </w:pPr>
    </w:p>
    <w:p>
      <w:pPr>
        <w:ind w:right="60" w:firstLine="2629"/>
        <w:spacing w:after="0" w:line="239" w:lineRule="auto"/>
        <w:tabs>
          <w:tab w:leader="none" w:pos="3055" w:val="left"/>
        </w:tabs>
        <w:numPr>
          <w:ilvl w:val="2"/>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Employment Term, Executive will be eligible to receive equity awards pursuant to any plans or arrangements Parent may have in effect from time to time. The Committee will determine in its discretion whether Executive will be granted any equity awards and the terms of any equity award in accordance with the terms of any applicable plan or arrangement that may be in effect from time to time.</w:t>
      </w:r>
    </w:p>
    <w:p>
      <w:pPr>
        <w:spacing w:after="0" w:line="180" w:lineRule="exact"/>
        <w:rPr>
          <w:rFonts w:ascii="Times New Roman" w:cs="Times New Roman" w:eastAsia="Times New Roman" w:hAnsi="Times New Roman"/>
          <w:sz w:val="22"/>
          <w:szCs w:val="22"/>
          <w:color w:val="auto"/>
        </w:rPr>
      </w:pPr>
    </w:p>
    <w:p>
      <w:pPr>
        <w:jc w:val="both"/>
        <w:ind w:firstLine="757"/>
        <w:spacing w:after="0" w:line="236" w:lineRule="auto"/>
        <w:tabs>
          <w:tab w:leader="none" w:pos="1018"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Benefits</w:t>
      </w:r>
      <w:r>
        <w:rPr>
          <w:rFonts w:ascii="Times New Roman" w:cs="Times New Roman" w:eastAsia="Times New Roman" w:hAnsi="Times New Roman"/>
          <w:sz w:val="22"/>
          <w:szCs w:val="22"/>
          <w:color w:val="auto"/>
        </w:rPr>
        <w:t>. During the Employment Term, Executive will be entitled to participate in benefit plans and programs of the Company (including vacation, flex time off and/or paid-time off), maintained by the Company for the benefit of its employees if any, on the same terms and conditions as other similarly-situated employees to the extent that Executive’s position, tenure, salary, age, health and other qualifications make Executive eligible to participate in such plans or programs, subject to the rules and regulations applicable thereto. The Company reserves the right to modify employee compensation and cancel or change the benefit plans and programs it offers to its employees at any time in its discretion.</w:t>
      </w:r>
    </w:p>
    <w:p>
      <w:pPr>
        <w:spacing w:after="0" w:line="181" w:lineRule="exact"/>
        <w:rPr>
          <w:rFonts w:ascii="Times New Roman" w:cs="Times New Roman" w:eastAsia="Times New Roman" w:hAnsi="Times New Roman"/>
          <w:sz w:val="22"/>
          <w:szCs w:val="22"/>
          <w:color w:val="auto"/>
        </w:rPr>
      </w:pPr>
    </w:p>
    <w:p>
      <w:pPr>
        <w:jc w:val="both"/>
        <w:ind w:firstLine="757"/>
        <w:spacing w:after="0" w:line="244" w:lineRule="auto"/>
        <w:tabs>
          <w:tab w:leader="none" w:pos="1018"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The Company will reimburse Executive for reasonable travel, entertainment or other expenses incurred by Executive in the furtherance of or in connection with the performance of Executive’s duties hereunder, in accordance with the Company’s expense reimbursement policy as in effect from time to time.</w:t>
      </w:r>
    </w:p>
    <w:p>
      <w:pPr>
        <w:spacing w:after="0" w:line="173"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 Benefits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Outside the Change in Control Period</w:t>
      </w:r>
      <w:r>
        <w:rPr>
          <w:rFonts w:ascii="Times New Roman" w:cs="Times New Roman" w:eastAsia="Times New Roman" w:hAnsi="Times New Roman"/>
          <w:sz w:val="22"/>
          <w:szCs w:val="22"/>
          <w:color w:val="auto"/>
        </w:rPr>
        <w:t>. If, outside the Change in Control Period, the Company or its Affiliates terminate Executive’s employment with the Company or its Affiliates, respectively, without Cause (excluding by reason of Executive’s death or Disability), or Executive resigns from such employment for Good Reason, then, subject to Section 7, Executive will receive the following severance benefits:</w:t>
      </w:r>
    </w:p>
    <w:p>
      <w:pPr>
        <w:spacing w:after="0" w:line="180" w:lineRule="exact"/>
        <w:rPr>
          <w:rFonts w:ascii="Times New Roman" w:cs="Times New Roman" w:eastAsia="Times New Roman" w:hAnsi="Times New Roman"/>
          <w:sz w:val="22"/>
          <w:szCs w:val="22"/>
          <w:color w:val="auto"/>
        </w:rPr>
      </w:pPr>
    </w:p>
    <w:p>
      <w:pPr>
        <w:jc w:val="both"/>
        <w:ind w:firstLine="2629"/>
        <w:spacing w:after="0" w:line="244" w:lineRule="auto"/>
        <w:tabs>
          <w:tab w:leader="none" w:pos="3055" w:val="left"/>
        </w:tabs>
        <w:numPr>
          <w:ilvl w:val="2"/>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Salary Severance</w:t>
      </w:r>
      <w:r>
        <w:rPr>
          <w:rFonts w:ascii="Times New Roman" w:cs="Times New Roman" w:eastAsia="Times New Roman" w:hAnsi="Times New Roman"/>
          <w:sz w:val="22"/>
          <w:szCs w:val="22"/>
          <w:color w:val="auto"/>
        </w:rPr>
        <w:t>. Continuing payments of severance pay at a rate equal to Executive’s Base Salary, at the highest rate in effect during the Term, for six (6) months from the date of Executive’s termination of employment, which will be paid in accordance with the Company’s regular payroll procedures.</w:t>
      </w:r>
    </w:p>
    <w:p>
      <w:pPr>
        <w:spacing w:after="0" w:line="173" w:lineRule="exact"/>
        <w:rPr>
          <w:sz w:val="20"/>
          <w:szCs w:val="20"/>
          <w:color w:val="auto"/>
        </w:rPr>
      </w:pPr>
    </w:p>
    <w:p>
      <w:pPr>
        <w:jc w:val="both"/>
        <w:ind w:firstLine="2629"/>
        <w:spacing w:after="0" w:line="234" w:lineRule="auto"/>
        <w:tabs>
          <w:tab w:leader="none" w:pos="3055"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Continued Employee Benefits</w:t>
      </w:r>
      <w:r>
        <w:rPr>
          <w:rFonts w:ascii="Times New Roman" w:cs="Times New Roman" w:eastAsia="Times New Roman" w:hAnsi="Times New Roman"/>
          <w:sz w:val="22"/>
          <w:szCs w:val="22"/>
          <w:color w:val="auto"/>
        </w:rPr>
        <w:t>. If Executive elects continuation coverage pursuant to the Consolidated Omnibus Budget Reconciliation Act of 1985, as amended (“</w:t>
      </w:r>
      <w:r>
        <w:rPr>
          <w:rFonts w:ascii="Times New Roman" w:cs="Times New Roman" w:eastAsia="Times New Roman" w:hAnsi="Times New Roman"/>
          <w:sz w:val="22"/>
          <w:szCs w:val="22"/>
          <w:b w:val="1"/>
          <w:bCs w:val="1"/>
          <w:color w:val="auto"/>
        </w:rPr>
        <w:t>COBRA</w:t>
      </w:r>
      <w:r>
        <w:rPr>
          <w:rFonts w:ascii="Times New Roman" w:cs="Times New Roman" w:eastAsia="Times New Roman" w:hAnsi="Times New Roman"/>
          <w:sz w:val="22"/>
          <w:szCs w:val="22"/>
          <w:color w:val="auto"/>
        </w:rPr>
        <w:t>”) within the time period prescribed pursuant to COBRA for Executive and Executive’s eligible dependents, the Company will reimburse Executive for the premiums necessary to continue group health insurance benefits for Executive and Executive’s eligible dependents until the earlier of (A) a period of six (6) months from the date of Executive’s termination of employment, (B) the date upon which Executive and/or Executive’s eligible dependents becomes covered under similar plans or (C) the date upon which Executive ceases to be eligible for coverage under COBRA (such reimbursements, the “</w:t>
      </w:r>
      <w:r>
        <w:rPr>
          <w:rFonts w:ascii="Times New Roman" w:cs="Times New Roman" w:eastAsia="Times New Roman" w:hAnsi="Times New Roman"/>
          <w:sz w:val="22"/>
          <w:szCs w:val="22"/>
          <w:b w:val="1"/>
          <w:bCs w:val="1"/>
          <w:color w:val="auto"/>
        </w:rPr>
        <w:t>COBRA Premiums</w:t>
      </w:r>
      <w:r>
        <w:rPr>
          <w:rFonts w:ascii="Times New Roman" w:cs="Times New Roman" w:eastAsia="Times New Roman" w:hAnsi="Times New Roman"/>
          <w:sz w:val="22"/>
          <w:szCs w:val="22"/>
          <w:color w:val="auto"/>
        </w:rPr>
        <w:t>”). However, if the Company determines in its sole discretion that it cannot pay the COBRA Premiums without potentially violating applicable law (including, without limitation, Section 2716 of the Public Health Service Act), the Company will in</w:t>
      </w:r>
    </w:p>
    <w:p>
      <w:pPr>
        <w:spacing w:after="0" w:line="372"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8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lieu thereof provide to Executive a taxable monthly payment payable on the last day of a given month (except as provided by the following sentence), in an amount equal to the monthly COBRA premium that Executive would be required to pay to continue Executive’s group health coverage in effect on the date of Executive’s termination of employment (which amount will be based on the premium for the first month of COBRA coverage), which payments will be made regardless of whether Executive elects COBRA continuation coverage and will commence on the month following Executive’s termination of employment and will end on the earlier of (x) the date upon which Executive obtains other employment or (y) the date the Company has paid an amount equal to six (6) months of payments. For the avoidance of doubt, the taxable payments in lieu of COBRA Premiums may be used for any purpose, including, but not limited to continuation coverage under COBRA, and will be subject to all applicable tax withholdings. Notwithstanding anything to the contrary under this Agreement, if at any time the Company determines in its sole discretion that it cannot provide the payments contemplated by the preceding sentence without violating applicable law (including, without limitation, Section 2716 of the Public Health Service Act), Executive will not receive such payment or any further reimbursements for COBRA premiums.</w:t>
      </w:r>
    </w:p>
    <w:p>
      <w:pPr>
        <w:spacing w:after="0" w:line="185" w:lineRule="exact"/>
        <w:rPr>
          <w:sz w:val="20"/>
          <w:szCs w:val="20"/>
          <w:color w:val="auto"/>
        </w:rPr>
      </w:pPr>
    </w:p>
    <w:p>
      <w:pPr>
        <w:jc w:val="both"/>
        <w:ind w:firstLine="1505"/>
        <w:spacing w:after="0" w:line="238" w:lineRule="auto"/>
        <w:tabs>
          <w:tab w:leader="none" w:pos="2036"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without Cause or Resignation for Good Reason within the Change in Control Period</w:t>
      </w:r>
      <w:r>
        <w:rPr>
          <w:rFonts w:ascii="Times New Roman" w:cs="Times New Roman" w:eastAsia="Times New Roman" w:hAnsi="Times New Roman"/>
          <w:sz w:val="22"/>
          <w:szCs w:val="22"/>
          <w:color w:val="auto"/>
        </w:rPr>
        <w:t>. If, within the Change in Control Period, the Company or its Affiliates terminate Executive’s employment with the Company or its Affiliates, respectively, without Cause (excluding by reason of Executive’s death or Disability), or Executive resigns from such employment for Good Reason, then, subject to Section 8, Executive will receive the following severance benefits from the Company:</w:t>
      </w:r>
    </w:p>
    <w:p>
      <w:pPr>
        <w:spacing w:after="0" w:line="176" w:lineRule="exact"/>
        <w:rPr>
          <w:rFonts w:ascii="Times New Roman" w:cs="Times New Roman" w:eastAsia="Times New Roman" w:hAnsi="Times New Roman"/>
          <w:sz w:val="22"/>
          <w:szCs w:val="22"/>
          <w:color w:val="auto"/>
        </w:rPr>
      </w:pPr>
    </w:p>
    <w:p>
      <w:pPr>
        <w:jc w:val="both"/>
        <w:ind w:firstLine="2629"/>
        <w:spacing w:after="0" w:line="244" w:lineRule="auto"/>
        <w:tabs>
          <w:tab w:leader="none" w:pos="3055" w:val="left"/>
        </w:tabs>
        <w:numPr>
          <w:ilvl w:val="2"/>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Salary Severance</w:t>
      </w:r>
      <w:r>
        <w:rPr>
          <w:rFonts w:ascii="Times New Roman" w:cs="Times New Roman" w:eastAsia="Times New Roman" w:hAnsi="Times New Roman"/>
          <w:sz w:val="22"/>
          <w:szCs w:val="22"/>
          <w:color w:val="auto"/>
        </w:rPr>
        <w:t>. A lump sum severance payment equal to six (6) months of Executive’s Base Salary, at the highest rate in effect during the Employment Term, which will be paid in accordance with the Company’s regular payroll procedures.</w:t>
      </w:r>
    </w:p>
    <w:p>
      <w:pPr>
        <w:spacing w:after="0" w:line="173" w:lineRule="exact"/>
        <w:rPr>
          <w:rFonts w:ascii="Times New Roman" w:cs="Times New Roman" w:eastAsia="Times New Roman" w:hAnsi="Times New Roman"/>
          <w:sz w:val="22"/>
          <w:szCs w:val="22"/>
          <w:color w:val="auto"/>
        </w:rPr>
      </w:pPr>
    </w:p>
    <w:p>
      <w:pPr>
        <w:jc w:val="both"/>
        <w:ind w:firstLine="2629"/>
        <w:spacing w:after="0" w:line="235" w:lineRule="auto"/>
        <w:tabs>
          <w:tab w:leader="none" w:pos="3055" w:val="left"/>
        </w:tabs>
        <w:numPr>
          <w:ilvl w:val="2"/>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Bonus Severance</w:t>
      </w:r>
      <w:r>
        <w:rPr>
          <w:rFonts w:ascii="Times New Roman" w:cs="Times New Roman" w:eastAsia="Times New Roman" w:hAnsi="Times New Roman"/>
          <w:sz w:val="22"/>
          <w:szCs w:val="22"/>
          <w:color w:val="auto"/>
        </w:rPr>
        <w:t>. Executive will receive a lump-sum payment, payable in accordance with the Company’s regular payroll procedures, equal to one hundred percent (100%) of the higher of (A) Executive’s target Bonus as in effect for the fiscal year in which the Change in Control occurs or (B) Executive’s target Bonus as in effect for the fiscal year in which Executive’s termination of employment occurs; provided, in either case, the Company had not previously paid Executive a Bonus corresponding to such fiscal year. For avoidance of doubt, the amount paid to Executive pursuant to this Section 6(b)(ii) will not be prorated based on the actual amount of time Executive is employed by the Company during the fiscal year (or the relevant performance period if something different than a fiscal year) during which the termination occurs.</w:t>
      </w:r>
    </w:p>
    <w:p>
      <w:pPr>
        <w:spacing w:after="0" w:line="183" w:lineRule="exact"/>
        <w:rPr>
          <w:rFonts w:ascii="Times New Roman" w:cs="Times New Roman" w:eastAsia="Times New Roman" w:hAnsi="Times New Roman"/>
          <w:sz w:val="22"/>
          <w:szCs w:val="22"/>
          <w:color w:val="auto"/>
        </w:rPr>
      </w:pPr>
    </w:p>
    <w:p>
      <w:pPr>
        <w:jc w:val="both"/>
        <w:ind w:firstLine="2629"/>
        <w:spacing w:after="0" w:line="247" w:lineRule="auto"/>
        <w:tabs>
          <w:tab w:leader="none" w:pos="3055" w:val="left"/>
        </w:tabs>
        <w:numPr>
          <w:ilvl w:val="2"/>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Continued Employee Benefits</w:t>
      </w:r>
      <w:r>
        <w:rPr>
          <w:rFonts w:ascii="Times New Roman" w:cs="Times New Roman" w:eastAsia="Times New Roman" w:hAnsi="Times New Roman"/>
          <w:sz w:val="21"/>
          <w:szCs w:val="21"/>
          <w:color w:val="auto"/>
        </w:rPr>
        <w:t>. If Executive elects continuation coverage pursuant to COBRA within the time period prescribed pursuant to COBRA for Executive and Executive’s eligible dependents, the Company will reimburse Executive for the premiums necessary to continue group health insurance benefits for Executive and Executive’s eligible dependents until the earlier of (A) a period of six (6) months from the date of Executive’s termination of employment,</w:t>
      </w:r>
    </w:p>
    <w:p>
      <w:pPr>
        <w:spacing w:after="0" w:line="1" w:lineRule="exact"/>
        <w:rPr>
          <w:rFonts w:ascii="Times New Roman" w:cs="Times New Roman" w:eastAsia="Times New Roman" w:hAnsi="Times New Roman"/>
          <w:sz w:val="21"/>
          <w:szCs w:val="21"/>
          <w:color w:val="auto"/>
        </w:rPr>
      </w:pPr>
    </w:p>
    <w:p>
      <w:pPr>
        <w:jc w:val="both"/>
        <w:ind w:firstLine="8"/>
        <w:spacing w:after="0" w:line="234" w:lineRule="auto"/>
        <w:tabs>
          <w:tab w:leader="none" w:pos="355"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upon which Executive and/or Executive’s eligible dependents becomes covered under similar plans or (C) the date upon which Executive ceases to be eligible for coverage under COBRA (such reimbursements, the “</w:t>
      </w:r>
      <w:r>
        <w:rPr>
          <w:rFonts w:ascii="Times New Roman" w:cs="Times New Roman" w:eastAsia="Times New Roman" w:hAnsi="Times New Roman"/>
          <w:sz w:val="22"/>
          <w:szCs w:val="22"/>
          <w:b w:val="1"/>
          <w:bCs w:val="1"/>
          <w:color w:val="auto"/>
        </w:rPr>
        <w:t>COC COBRA Premiums</w:t>
      </w:r>
      <w:r>
        <w:rPr>
          <w:rFonts w:ascii="Times New Roman" w:cs="Times New Roman" w:eastAsia="Times New Roman" w:hAnsi="Times New Roman"/>
          <w:sz w:val="22"/>
          <w:szCs w:val="22"/>
          <w:color w:val="auto"/>
        </w:rPr>
        <w:t>”). However, if the Company determines in its sole discretion that it cannot pay the COC COBRA Premiums without potentially violating applicable law (including, without limitation, Section 2716 of the Public Health Service Act),</w:t>
      </w:r>
    </w:p>
    <w:p>
      <w:pPr>
        <w:spacing w:after="0" w:line="36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8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Company will in lieu thereof provide to Executive a taxable monthly payment in an amount equal to the monthly COBRA premium that Executive would be required to pay to continue Executive’s group health coverage in effect on the date of Executive’s termination of employment (which amount will be based on the premium for the first month of COBRA coverage), which payments will be made regardless of whether Executive elects COBRA continuation coverage and will commence on the month following Executive’s termination of employment and will end on the earlier of (x) the date upon which Executive obtains other employment or (y) the date the Company has paid an amount equal to six (6) payments. For the avoidance of doubt, the taxable payments in lieu of COC COBRA Premiums may be used for any purpose, including, but not limited to continuation coverage under COBRA, and will be subject to all applicable tax withholdings. Notwithstanding anything to the contrary under this Agreement, if at any time the Company determines in its sole discretion that it cannot provide the payments contemplated by the preceding sentence without violating applicable law (including, without limitation, Section 2716 of the Public Health Service Act), Executive will not receive such payment or any further reimbursements for COBRA premiums.</w:t>
      </w:r>
    </w:p>
    <w:p>
      <w:pPr>
        <w:spacing w:after="0" w:line="187" w:lineRule="exact"/>
        <w:rPr>
          <w:sz w:val="20"/>
          <w:szCs w:val="20"/>
          <w:color w:val="auto"/>
        </w:rPr>
      </w:pPr>
    </w:p>
    <w:p>
      <w:pPr>
        <w:jc w:val="both"/>
        <w:ind w:firstLine="2629"/>
        <w:spacing w:after="0" w:line="251" w:lineRule="auto"/>
        <w:tabs>
          <w:tab w:leader="none" w:pos="3055"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Equity</w:t>
      </w:r>
      <w:r>
        <w:rPr>
          <w:rFonts w:ascii="Times New Roman" w:cs="Times New Roman" w:eastAsia="Times New Roman" w:hAnsi="Times New Roman"/>
          <w:sz w:val="21"/>
          <w:szCs w:val="21"/>
          <w:color w:val="auto"/>
        </w:rPr>
        <w:t>. Vesting acceleration of one hundred percent (100%) of Executive’s outstanding unvested Equity Awards on the date of Executive’s termination. If, however, an outstanding Equity Award is to vest and/or the amount of the Equity Award to vest is to be determined based on the achievement of performance criteria, then the Equity Award will vest as to one hundred percent (100%) of the amount of the Equity Award assuming the performance criteria had been achieved at target levels for the relevant performance period(s), unless otherwise provided in the applicable award agreement.</w:t>
      </w:r>
    </w:p>
    <w:p>
      <w:pPr>
        <w:spacing w:after="0" w:line="168" w:lineRule="exact"/>
        <w:rPr>
          <w:rFonts w:ascii="Times New Roman" w:cs="Times New Roman" w:eastAsia="Times New Roman" w:hAnsi="Times New Roman"/>
          <w:sz w:val="21"/>
          <w:szCs w:val="21"/>
          <w:color w:val="auto"/>
        </w:rPr>
      </w:pPr>
    </w:p>
    <w:p>
      <w:pPr>
        <w:jc w:val="both"/>
        <w:ind w:firstLine="1505"/>
        <w:spacing w:after="0" w:line="255" w:lineRule="auto"/>
        <w:tabs>
          <w:tab w:leader="none" w:pos="2036"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Voluntary Resignation; Termination for Cause</w:t>
      </w:r>
      <w:r>
        <w:rPr>
          <w:rFonts w:ascii="Times New Roman" w:cs="Times New Roman" w:eastAsia="Times New Roman" w:hAnsi="Times New Roman"/>
          <w:sz w:val="21"/>
          <w:szCs w:val="21"/>
          <w:color w:val="auto"/>
        </w:rPr>
        <w:t>. If Executive’s employment with the Company or its Affiliates terminates (i) voluntarily by Executive (other than for Good Reason) or (ii) for Cause by the Company, then Executive will not be entitled to receive severance or other benefits except for those (if any) as may then be established under the Company’s then existing severance and benefits plans and practices or pursuant to other written agreements with the Company.</w:t>
      </w:r>
    </w:p>
    <w:p>
      <w:pPr>
        <w:spacing w:after="0" w:line="161" w:lineRule="exact"/>
        <w:rPr>
          <w:rFonts w:ascii="Times New Roman" w:cs="Times New Roman" w:eastAsia="Times New Roman" w:hAnsi="Times New Roman"/>
          <w:sz w:val="21"/>
          <w:szCs w:val="21"/>
          <w:color w:val="auto"/>
        </w:rPr>
      </w:pPr>
    </w:p>
    <w:p>
      <w:pPr>
        <w:jc w:val="both"/>
        <w:ind w:firstLine="1505"/>
        <w:spacing w:after="0" w:line="238" w:lineRule="auto"/>
        <w:tabs>
          <w:tab w:leader="none" w:pos="203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Disability; Death</w:t>
      </w:r>
      <w:r>
        <w:rPr>
          <w:rFonts w:ascii="Times New Roman" w:cs="Times New Roman" w:eastAsia="Times New Roman" w:hAnsi="Times New Roman"/>
          <w:sz w:val="22"/>
          <w:szCs w:val="22"/>
          <w:color w:val="auto"/>
        </w:rPr>
        <w:t>. If the Company terminates Executive’s employment as a result of Executive’s Disability, or Executive’s employment terminates due to Executive’s death, then Executive will not be entitled to receive severance or other benefits except for those (if any) as may then be established under the Company’s then existing written severance and benefits plans and practices or pursuant to other written agreements between Executive or the Company or Parent, as applicable.</w:t>
      </w:r>
    </w:p>
    <w:p>
      <w:pPr>
        <w:spacing w:after="0" w:line="176"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Accrued Compensation</w:t>
      </w:r>
      <w:r>
        <w:rPr>
          <w:rFonts w:ascii="Times New Roman" w:cs="Times New Roman" w:eastAsia="Times New Roman" w:hAnsi="Times New Roman"/>
          <w:sz w:val="22"/>
          <w:szCs w:val="22"/>
          <w:color w:val="auto"/>
        </w:rPr>
        <w:t>. For the avoidance of any doubt, in the event of a termination of Executive’s employment with the Company or its Affiliates, Executive will be entitled to receive all accrued but unpaid vacation, expense reimbursements, wages, and other benefits due to Executive under any Company-provided plans, policies, and arrangements.</w:t>
      </w:r>
    </w:p>
    <w:p>
      <w:pPr>
        <w:spacing w:after="0" w:line="173"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between the Company and Affiliates</w:t>
      </w:r>
      <w:r>
        <w:rPr>
          <w:rFonts w:ascii="Times New Roman" w:cs="Times New Roman" w:eastAsia="Times New Roman" w:hAnsi="Times New Roman"/>
          <w:sz w:val="22"/>
          <w:szCs w:val="22"/>
          <w:color w:val="auto"/>
        </w:rPr>
        <w:t>. For purposes of this Section 6, if Executive’s employment with the Company or one of its Affiliates terminates, Executive will not be determined to have been terminated without Cause, provided Executive continues to remain employed by the Company or one of its Affiliates (e.g., upon transfer from on Affiliate to another); provided, however, that the parties understand and acknowledge that any such termination could potentially result in Executive’s ability to resign for Good Reason.</w:t>
      </w:r>
    </w:p>
    <w:p>
      <w:pPr>
        <w:spacing w:after="0" w:line="36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85" w:lineRule="exact"/>
        <w:rPr>
          <w:sz w:val="20"/>
          <w:szCs w:val="20"/>
          <w:color w:val="auto"/>
        </w:rPr>
      </w:pPr>
    </w:p>
    <w:p>
      <w:pPr>
        <w:jc w:val="both"/>
        <w:ind w:left="-440" w:firstLine="1505"/>
        <w:spacing w:after="0" w:line="238" w:lineRule="auto"/>
        <w:tabs>
          <w:tab w:leader="none" w:pos="1596"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Exclusive Remedy</w:t>
      </w:r>
      <w:r>
        <w:rPr>
          <w:rFonts w:ascii="Times New Roman" w:cs="Times New Roman" w:eastAsia="Times New Roman" w:hAnsi="Times New Roman"/>
          <w:sz w:val="22"/>
          <w:szCs w:val="22"/>
          <w:color w:val="auto"/>
        </w:rPr>
        <w:t>. In the event of a termination of Executive’s employment with the Company or its Affiliates, the provisions of this Section 6 are intended to be and are exclusive and in lieu of any other rights or remedies to which Executive or the Company may otherwise be entitled, whether at law, tort or contract, in equity. Executive will be entitled to no benefits, compensation or other payments or rights upon termination of employment other than those benefits expressly set forth in this Section 6.</w:t>
      </w:r>
    </w:p>
    <w:p>
      <w:pPr>
        <w:spacing w:after="0" w:line="176" w:lineRule="exact"/>
        <w:rPr>
          <w:rFonts w:ascii="Times New Roman" w:cs="Times New Roman" w:eastAsia="Times New Roman" w:hAnsi="Times New Roman"/>
          <w:sz w:val="22"/>
          <w:szCs w:val="22"/>
          <w:color w:val="auto"/>
        </w:rPr>
      </w:pPr>
    </w:p>
    <w:p>
      <w:pPr>
        <w:jc w:val="both"/>
        <w:ind w:left="-440" w:firstLine="1505"/>
        <w:spacing w:after="0" w:line="246" w:lineRule="auto"/>
        <w:tabs>
          <w:tab w:leader="none" w:pos="1596"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Non-duplication of Payment or Benefits</w:t>
      </w:r>
      <w:r>
        <w:rPr>
          <w:rFonts w:ascii="Times New Roman" w:cs="Times New Roman" w:eastAsia="Times New Roman" w:hAnsi="Times New Roman"/>
          <w:sz w:val="16"/>
          <w:szCs w:val="16"/>
          <w:color w:val="auto"/>
        </w:rPr>
        <w:t>.</w:t>
      </w:r>
      <w:r>
        <w:rPr>
          <w:rFonts w:ascii="Times New Roman" w:cs="Times New Roman" w:eastAsia="Times New Roman" w:hAnsi="Times New Roman"/>
          <w:sz w:val="21"/>
          <w:szCs w:val="21"/>
          <w:color w:val="auto"/>
        </w:rPr>
        <w:t xml:space="preserve"> For purposes of clarity, in the event of a termination of employment that qualifies Executive for severance payments and benefits under Section 6(a) of the Employment Agreement that occurs during the period within three (3) months prior to a Change in Control, any severance payments and benefits to be provided to Executive under Section 6(b) will be reduced by any amounts that already were provided to Executive under Section 6(a). Notwithstanding any provision of this Agreement to the contrary, if Executive is entitled to any cash severance, continued health coverage benefits, vesting acceleration of any Awards, or other severance or separation benefits similar to those provided under this Agreement, by operation of applicable law or under a plan, policy, contract, or arrangement sponsored by or to which the Company is a party other than this Agreement (“</w:t>
      </w:r>
      <w:r>
        <w:rPr>
          <w:rFonts w:ascii="Times New Roman" w:cs="Times New Roman" w:eastAsia="Times New Roman" w:hAnsi="Times New Roman"/>
          <w:sz w:val="21"/>
          <w:szCs w:val="21"/>
          <w:b w:val="1"/>
          <w:bCs w:val="1"/>
          <w:color w:val="auto"/>
        </w:rPr>
        <w:t>Other Benefits</w:t>
      </w:r>
      <w:r>
        <w:rPr>
          <w:rFonts w:ascii="Times New Roman" w:cs="Times New Roman" w:eastAsia="Times New Roman" w:hAnsi="Times New Roman"/>
          <w:sz w:val="21"/>
          <w:szCs w:val="21"/>
          <w:color w:val="auto"/>
        </w:rPr>
        <w:t>”), then the corresponding severance payments and benefits under this Agreement will be reduced by the amount of Other Benefits paid or provided to Executive.</w:t>
      </w:r>
    </w:p>
    <w:p>
      <w:pPr>
        <w:spacing w:after="0" w:line="175" w:lineRule="exact"/>
        <w:rPr>
          <w:rFonts w:ascii="Times New Roman" w:cs="Times New Roman" w:eastAsia="Times New Roman" w:hAnsi="Times New Roman"/>
          <w:sz w:val="21"/>
          <w:szCs w:val="21"/>
          <w:color w:val="auto"/>
        </w:rPr>
      </w:pPr>
    </w:p>
    <w:p>
      <w:pPr>
        <w:ind w:left="580" w:hanging="263"/>
        <w:spacing w:after="0"/>
        <w:tabs>
          <w:tab w:leader="none" w:pos="5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 to Receipt of Severance; No Duty to Mitigate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440" w:firstLine="1505"/>
        <w:spacing w:after="0" w:line="233" w:lineRule="auto"/>
        <w:tabs>
          <w:tab w:leader="none" w:pos="1596"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Separation Agreement and Release of Claims</w:t>
      </w:r>
      <w:r>
        <w:rPr>
          <w:rFonts w:ascii="Times New Roman" w:cs="Times New Roman" w:eastAsia="Times New Roman" w:hAnsi="Times New Roman"/>
          <w:sz w:val="22"/>
          <w:szCs w:val="22"/>
          <w:color w:val="auto"/>
        </w:rPr>
        <w:t>. The payment of any severance set forth in Section 6(a) and Section 6(b) above is contingent upon Executive signing and not revoking a separation and release of claims agreement with the Company (which may include an agreement not to disparage the Company, non-solicit provisions and/or other standard terms and conditions) in a form reasonably acceptable to the Company (the “</w:t>
      </w:r>
      <w:r>
        <w:rPr>
          <w:rFonts w:ascii="Times New Roman" w:cs="Times New Roman" w:eastAsia="Times New Roman" w:hAnsi="Times New Roman"/>
          <w:sz w:val="22"/>
          <w:szCs w:val="22"/>
          <w:b w:val="1"/>
          <w:bCs w:val="1"/>
          <w:color w:val="auto"/>
        </w:rPr>
        <w:t>Release</w:t>
      </w:r>
      <w:r>
        <w:rPr>
          <w:rFonts w:ascii="Times New Roman" w:cs="Times New Roman" w:eastAsia="Times New Roman" w:hAnsi="Times New Roman"/>
          <w:sz w:val="22"/>
          <w:szCs w:val="22"/>
          <w:color w:val="auto"/>
        </w:rPr>
        <w:t>”) upon or following Executive’s separation from service and such Release becoming effective no later than sixty (60) days following Executive’s separation from service (such deadline, the “</w:t>
      </w:r>
      <w:r>
        <w:rPr>
          <w:rFonts w:ascii="Times New Roman" w:cs="Times New Roman" w:eastAsia="Times New Roman" w:hAnsi="Times New Roman"/>
          <w:sz w:val="22"/>
          <w:szCs w:val="22"/>
          <w:b w:val="1"/>
          <w:bCs w:val="1"/>
          <w:color w:val="auto"/>
        </w:rPr>
        <w:t>Release Deadline</w:t>
      </w:r>
      <w:r>
        <w:rPr>
          <w:rFonts w:ascii="Times New Roman" w:cs="Times New Roman" w:eastAsia="Times New Roman" w:hAnsi="Times New Roman"/>
          <w:sz w:val="22"/>
          <w:szCs w:val="22"/>
          <w:color w:val="auto"/>
        </w:rPr>
        <w:t>”). If the Release does not become effective by the Release Deadline, Executive will forfeit any rights to severance under this Agreement. In no event will severance payments or benefits be paid or provided until the Release actually becomes effective. Any severance payments and benefits under this Agreement will be paid on, or, in the case of installments, will not commence until, the sixtieth (60</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day following Executive’s separation from service, or, if later, such time as required by Section 7(b)(ii). Except as required by Section 7(b)(ii), any payments and benefits that would have been made to Executive during the sixty (60)-day period immediately following Executive’s separation from service but for the preceding sentence will be paid to Executive on the sixtieth (60</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day following Executive’s separation from service and the remaining payments will be made as provided in this Agreement. In no event will Executive have discretion to determine the taxable year of payment of any severance payments or benefits.</w:t>
      </w:r>
    </w:p>
    <w:p>
      <w:pPr>
        <w:spacing w:after="0" w:line="179" w:lineRule="exact"/>
        <w:rPr>
          <w:rFonts w:ascii="Times New Roman" w:cs="Times New Roman" w:eastAsia="Times New Roman" w:hAnsi="Times New Roman"/>
          <w:sz w:val="22"/>
          <w:szCs w:val="22"/>
          <w:color w:val="auto"/>
        </w:rPr>
      </w:pPr>
    </w:p>
    <w:p>
      <w:pPr>
        <w:ind w:left="1600" w:hanging="535"/>
        <w:spacing w:after="0"/>
        <w:tabs>
          <w:tab w:leader="none" w:pos="1600"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440" w:firstLine="2629"/>
        <w:spacing w:after="0" w:line="239" w:lineRule="auto"/>
        <w:tabs>
          <w:tab w:leader="none" w:pos="2615" w:val="left"/>
        </w:tabs>
        <w:numPr>
          <w:ilvl w:val="2"/>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Agreement, no Deferred Payments, if any, payable to Executive pursuant to this Agreement will be payable until Executive has a “separation from service” within the meaning of Section 409A of the Code and the final regulations and official guidance thereunder (“</w:t>
      </w:r>
      <w:r>
        <w:rPr>
          <w:rFonts w:ascii="Times New Roman" w:cs="Times New Roman" w:eastAsia="Times New Roman" w:hAnsi="Times New Roman"/>
          <w:sz w:val="22"/>
          <w:szCs w:val="22"/>
          <w:b w:val="1"/>
          <w:bCs w:val="1"/>
          <w:color w:val="auto"/>
        </w:rPr>
        <w:t>Section 409A</w:t>
      </w:r>
      <w:r>
        <w:rPr>
          <w:rFonts w:ascii="Times New Roman" w:cs="Times New Roman" w:eastAsia="Times New Roman" w:hAnsi="Times New Roman"/>
          <w:sz w:val="22"/>
          <w:szCs w:val="22"/>
          <w:color w:val="auto"/>
        </w:rPr>
        <w:t>”). Similarly, no severance payable to Executive, if any, pursuant to this Agreement that otherwise would be exempt from Section 409A</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478155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440" w:right="339" w:bottom="1440" w:gutter="0" w:footer="0" w:header="0"/>
        </w:sectPr>
      </w:pPr>
    </w:p>
    <w:bookmarkStart w:id="66" w:name="page67"/>
    <w:bookmarkEnd w:id="66"/>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Treasury Regulation Section 1.409A-1(b)(9) will be payable until Executive has a “separation from service” within the meaning of Section 409A.</w:t>
      </w:r>
    </w:p>
    <w:p>
      <w:pPr>
        <w:spacing w:after="0" w:line="158" w:lineRule="exact"/>
        <w:rPr>
          <w:sz w:val="20"/>
          <w:szCs w:val="20"/>
          <w:color w:val="auto"/>
        </w:rPr>
      </w:pPr>
    </w:p>
    <w:p>
      <w:pPr>
        <w:jc w:val="both"/>
        <w:ind w:firstLine="2629"/>
        <w:spacing w:after="0" w:line="233" w:lineRule="auto"/>
        <w:tabs>
          <w:tab w:leader="none" w:pos="3055"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Agreement, if Executive is a “specified employee” within the meaning of Section 409A at the time of Executive’s separation from service (other than due to death), then the Deferred Payments, if any, that are payable within the first six (6) months following Executive’s separation from service, will become payable on the date six (6) months and one (1) day following the date of Executive’s separation from service. All subsequent Deferred Payments, if any, will be payable in accordance with the payment schedule applicable to each payment or benefit. Notwithstanding anything herein to the contrary, if Executive dies following Executive’s separation from service, but prior to the six (6) month anniversary of the separation from service, then any payments delayed in accordance with this Section 7(b)(ii) will be payable in a lump sum as soon as administratively practicable after the date of Executive’s death and all other Deferred Payments will be payable in accordance with the payment schedule applicable to each payment or benefit. Each payment, installment and benefit payable under this Agreement is intended to constitute a separate payment for purposes of Section 1.409A-2(b)(2) of the Treasury Regulations.</w:t>
      </w:r>
    </w:p>
    <w:p>
      <w:pPr>
        <w:spacing w:after="0" w:line="187" w:lineRule="exact"/>
        <w:rPr>
          <w:rFonts w:ascii="Times New Roman" w:cs="Times New Roman" w:eastAsia="Times New Roman" w:hAnsi="Times New Roman"/>
          <w:sz w:val="22"/>
          <w:szCs w:val="22"/>
          <w:color w:val="auto"/>
        </w:rPr>
      </w:pPr>
    </w:p>
    <w:p>
      <w:pPr>
        <w:jc w:val="both"/>
        <w:ind w:firstLine="2629"/>
        <w:spacing w:after="0" w:line="235" w:lineRule="auto"/>
        <w:tabs>
          <w:tab w:leader="none" w:pos="3055"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severance payment that satisfies the requirements of the “short-term deferral” rule set forth in Section 1.409A-1(b)(4) of the Treasury Regulations will not constitute Deferred Payments for purposes herein. Any amount paid under this Agreement that qualifies as a payment made as a result of an involuntary separation from service pursuant to Section 1.409A-1(b)(9)(iii) of the Treasury Regulations that does not exceed the Section 409A Limit (as defined below) will not constitute Deferred Payments for purposes herein. Any payments or benefits due under Section 6 of this Agreement will be paid as provided under this Agreement, but in no event later than the last day of the second taxable year of Executive following Executive’s taxable year in which Executive’s separation from service from the Company occurs.</w:t>
      </w:r>
    </w:p>
    <w:p>
      <w:pPr>
        <w:spacing w:after="0" w:line="179" w:lineRule="exact"/>
        <w:rPr>
          <w:rFonts w:ascii="Times New Roman" w:cs="Times New Roman" w:eastAsia="Times New Roman" w:hAnsi="Times New Roman"/>
          <w:sz w:val="22"/>
          <w:szCs w:val="22"/>
          <w:color w:val="auto"/>
        </w:rPr>
      </w:pPr>
    </w:p>
    <w:p>
      <w:pPr>
        <w:jc w:val="both"/>
        <w:ind w:firstLine="2629"/>
        <w:spacing w:after="0" w:line="237" w:lineRule="auto"/>
        <w:tabs>
          <w:tab w:leader="none" w:pos="3055"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b w:val="1"/>
          <w:bCs w:val="1"/>
          <w:color w:val="auto"/>
        </w:rPr>
        <w:t>Section 409A Limit</w:t>
      </w:r>
      <w:r>
        <w:rPr>
          <w:rFonts w:ascii="Times New Roman" w:cs="Times New Roman" w:eastAsia="Times New Roman" w:hAnsi="Times New Roman"/>
          <w:sz w:val="22"/>
          <w:szCs w:val="22"/>
          <w:color w:val="auto"/>
        </w:rPr>
        <w:t>” means two (2) times the lesser of: (x) Executive’s annualized compensation based upon the annual rate of pay paid to Executive during Executive’s taxable year preceding Executive’s taxable year of Executive’s termination of employment as determined under, and with such adjustments as are set forth in, Treasury Regulation 1.409A-1(b)(9)(iii)(A)(1) and any Internal Revenue Service guidance issued with respect thereto, or (y) the maximum amount that may be taken into account under a qualified plan pursuant to Section 401(a)(17) of the Code for the year in which Executive’s employment is terminated.</w:t>
      </w:r>
    </w:p>
    <w:p>
      <w:pPr>
        <w:spacing w:after="0" w:line="179" w:lineRule="exact"/>
        <w:rPr>
          <w:rFonts w:ascii="Times New Roman" w:cs="Times New Roman" w:eastAsia="Times New Roman" w:hAnsi="Times New Roman"/>
          <w:sz w:val="22"/>
          <w:szCs w:val="22"/>
          <w:color w:val="auto"/>
        </w:rPr>
      </w:pPr>
    </w:p>
    <w:p>
      <w:pPr>
        <w:jc w:val="both"/>
        <w:ind w:firstLine="2629"/>
        <w:spacing w:after="0" w:line="235" w:lineRule="auto"/>
        <w:tabs>
          <w:tab w:leader="none" w:pos="3055"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foregoing provisions are intended to comply with or be exempt from the requirements of Section 409A so that none of the severance or other payments and benefits to be provided hereunder will be subject to the additional tax imposed under Section 409A, and any ambiguities or ambiguous terms herein will be interpreted to so comply or be exempt. In no event will the Company have any liability or obligation to reimburse, indemnify, or hold harmless Executive for any taxes or costs that may be imposed on or incurred by Executive as a result of Section 409A. Executive and the Company agree to work together in good faith to consider amendments to this Agreement and to take such reasonable actions which are necessary, appropriate or desirable to avoid imposition of any additional tax or income recognition prior to actual payment to Executive under Section 409A.</w:t>
      </w:r>
    </w:p>
    <w:p>
      <w:pPr>
        <w:spacing w:after="0" w:line="367"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85" w:lineRule="exact"/>
        <w:rPr>
          <w:sz w:val="20"/>
          <w:szCs w:val="20"/>
          <w:color w:val="auto"/>
        </w:rPr>
      </w:pPr>
    </w:p>
    <w:p>
      <w:pPr>
        <w:jc w:val="both"/>
        <w:ind w:firstLine="1505"/>
        <w:spacing w:after="0" w:line="239" w:lineRule="auto"/>
        <w:tabs>
          <w:tab w:leader="none" w:pos="2036"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 Agreement</w:t>
      </w:r>
      <w:r>
        <w:rPr>
          <w:rFonts w:ascii="Times New Roman" w:cs="Times New Roman" w:eastAsia="Times New Roman" w:hAnsi="Times New Roman"/>
          <w:sz w:val="22"/>
          <w:szCs w:val="22"/>
          <w:color w:val="auto"/>
        </w:rPr>
        <w:t>. Executive’s receipt of any payments or benefits under Section 6 will be subject to Executive complying with: (i) the terms of the Confidentiality Agreement (as defined in Section 10), and (ii) the provisions of this Agreement. In the event Executive breaches the provisions of this Section 7(c), all continuing payments and benefits to which Executive may otherwise be entitled to pursuant to Section 6 will immediately cease.</w:t>
      </w:r>
    </w:p>
    <w:p>
      <w:pPr>
        <w:spacing w:after="0" w:line="180" w:lineRule="exact"/>
        <w:rPr>
          <w:rFonts w:ascii="Times New Roman" w:cs="Times New Roman" w:eastAsia="Times New Roman" w:hAnsi="Times New Roman"/>
          <w:sz w:val="22"/>
          <w:szCs w:val="22"/>
          <w:color w:val="auto"/>
        </w:rPr>
      </w:pPr>
    </w:p>
    <w:p>
      <w:pPr>
        <w:ind w:firstLine="1505"/>
        <w:spacing w:after="0" w:line="282" w:lineRule="auto"/>
        <w:tabs>
          <w:tab w:leader="none" w:pos="2036"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Duty to Mitigate</w:t>
      </w:r>
      <w:r>
        <w:rPr>
          <w:rFonts w:ascii="Times New Roman" w:cs="Times New Roman" w:eastAsia="Times New Roman" w:hAnsi="Times New Roman"/>
          <w:sz w:val="21"/>
          <w:szCs w:val="21"/>
          <w:color w:val="auto"/>
        </w:rPr>
        <w:t>. Executive will not be required to mitigate the amount of any payment contemplated by this Agreement, nor will any earnings that Executive may receive from any other source reduce any such payment.</w:t>
      </w:r>
    </w:p>
    <w:p>
      <w:pPr>
        <w:spacing w:after="0" w:line="134" w:lineRule="exact"/>
        <w:rPr>
          <w:rFonts w:ascii="Times New Roman" w:cs="Times New Roman" w:eastAsia="Times New Roman" w:hAnsi="Times New Roman"/>
          <w:sz w:val="21"/>
          <w:szCs w:val="21"/>
          <w:color w:val="auto"/>
        </w:rPr>
      </w:pPr>
    </w:p>
    <w:p>
      <w:pPr>
        <w:jc w:val="both"/>
        <w:ind w:firstLine="757"/>
        <w:spacing w:after="0" w:line="239" w:lineRule="auto"/>
        <w:tabs>
          <w:tab w:leader="none" w:pos="101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on Payments</w:t>
      </w:r>
      <w:r>
        <w:rPr>
          <w:rFonts w:ascii="Times New Roman" w:cs="Times New Roman" w:eastAsia="Times New Roman" w:hAnsi="Times New Roman"/>
          <w:sz w:val="22"/>
          <w:szCs w:val="22"/>
          <w:color w:val="auto"/>
        </w:rPr>
        <w:t>. In the event that the severance or change in control-related or other payments or benefits provided for in this Agreement or otherwise payable to Executive (collectively, the “</w:t>
      </w:r>
      <w:r>
        <w:rPr>
          <w:rFonts w:ascii="Times New Roman" w:cs="Times New Roman" w:eastAsia="Times New Roman" w:hAnsi="Times New Roman"/>
          <w:sz w:val="22"/>
          <w:szCs w:val="22"/>
          <w:b w:val="1"/>
          <w:bCs w:val="1"/>
          <w:color w:val="auto"/>
        </w:rPr>
        <w:t>Payments</w:t>
      </w:r>
      <w:r>
        <w:rPr>
          <w:rFonts w:ascii="Times New Roman" w:cs="Times New Roman" w:eastAsia="Times New Roman" w:hAnsi="Times New Roman"/>
          <w:sz w:val="22"/>
          <w:szCs w:val="22"/>
          <w:color w:val="auto"/>
        </w:rPr>
        <w:t>”) (i) constitute “parachute payments” within the meaning of Section 280G of the Code, and (ii) but for this Section 8, would be subject to the excise tax imposed by Section 4999 of the Code, then such payments or benefits will be either:</w:t>
      </w:r>
    </w:p>
    <w:p>
      <w:pPr>
        <w:spacing w:after="0" w:line="180"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delivered in full, or</w:t>
      </w:r>
    </w:p>
    <w:p>
      <w:pPr>
        <w:spacing w:after="0" w:line="206" w:lineRule="exact"/>
        <w:rPr>
          <w:rFonts w:ascii="Times New Roman" w:cs="Times New Roman" w:eastAsia="Times New Roman" w:hAnsi="Times New Roman"/>
          <w:sz w:val="22"/>
          <w:szCs w:val="22"/>
          <w:color w:val="auto"/>
        </w:rPr>
      </w:pPr>
    </w:p>
    <w:p>
      <w:pPr>
        <w:ind w:left="2260" w:hanging="755"/>
        <w:spacing w:after="0" w:line="258" w:lineRule="auto"/>
        <w:tabs>
          <w:tab w:leader="none" w:pos="2260"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delivered as to such lesser extent which would result in no portion of such benefits being subject to excise tax under Section 4999 of the Code,</w:t>
      </w:r>
    </w:p>
    <w:p>
      <w:pPr>
        <w:spacing w:after="0" w:line="15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whichever of the foregoing amounts, taking into account the applicable federal, state and local income taxes and the excise tax imposed by Section 4999 of the Code, results in the receipt by Executive on an after-tax basis, of the greatest amount of Payments, notwithstanding that all or some portion of such Payments may be taxable under Section 4999 of the Code. If a reduction in Payments constituting “parachute payments” is necessary so that Payments are delivered to a lesser extent, reduction will occur in the following order: (i) cancellation of equity awards granted “contingent on a change in ownership or control” (within the meaning of Section 280G of the Code); (ii) a pro rata reduction of (A) cash payments that are subject to Section 409A as deferred compensation and (B) cash payments not subject to Section 409A; (iii) a pro rata reduction of (A) employee benefits that are subject to Section 409A as deferred compensation and (B) employee benefits not subject to Section 409A; and (iv) a pro rata cancellation of (A) accelerated vesting of equity awards that are subject to Section 409A as deferred compensation and (B) equity awards not subject to Section 409A. If acceleration of vesting of equity awards is to be cancelled, such acceleration of vesting will be cancelled in the reverse order of the date of grant of Executive’s equity awards. In no event will Executive have any discretion with respect to the ordering of payment reductions.</w:t>
      </w:r>
    </w:p>
    <w:p>
      <w:pPr>
        <w:spacing w:after="0" w:line="181"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Unless the Company and Executive otherwise agree in writing, any determination required under this Section 8 will be made in writing by a nationally recognized firm of independent public accountants selected by the Company (the “Accountants”), whose determination will be conclusive and binding upon Executive and the Company for all purposes. For purposes of making the calculations required by this Section 8, the Accountants may make reasonable assumptions and approximations concerning applicable taxes and may rely on reasonable, good faith interpretations concerning the application of Sections 280G and 4999 of the Code. The Company and Executive will furnish to the Accountants such information and documents as the Accountants may reasonably request in order to make a determination under this Section 8. The Company will bear all costs the</w:t>
      </w:r>
    </w:p>
    <w:p>
      <w:pPr>
        <w:spacing w:after="0" w:line="371"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Accountants may reasonably incur in connection with any calculations contemplated by this Section 8.</w:t>
      </w:r>
    </w:p>
    <w:p>
      <w:pPr>
        <w:spacing w:after="0" w:line="210" w:lineRule="exact"/>
        <w:rPr>
          <w:sz w:val="20"/>
          <w:szCs w:val="20"/>
          <w:color w:val="auto"/>
        </w:rPr>
      </w:pPr>
    </w:p>
    <w:p>
      <w:pPr>
        <w:ind w:left="1020" w:hanging="263"/>
        <w:spacing w:after="0"/>
        <w:tabs>
          <w:tab w:leader="none" w:pos="1020"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w:t>
      </w:r>
    </w:p>
    <w:p>
      <w:pPr>
        <w:spacing w:after="0" w:line="202" w:lineRule="exact"/>
        <w:rPr>
          <w:rFonts w:ascii="Times New Roman" w:cs="Times New Roman" w:eastAsia="Times New Roman" w:hAnsi="Times New Roman"/>
          <w:sz w:val="22"/>
          <w:szCs w:val="22"/>
          <w:color w:val="auto"/>
        </w:rPr>
      </w:pPr>
    </w:p>
    <w:p>
      <w:pPr>
        <w:ind w:firstLine="1505"/>
        <w:spacing w:after="0" w:line="262" w:lineRule="auto"/>
        <w:tabs>
          <w:tab w:leader="none" w:pos="2036" w:val="left"/>
        </w:tabs>
        <w:numPr>
          <w:ilvl w:val="2"/>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means the Company and any other parent or subsidiary corporation of the Company, as such terms are defined in Section 424(e) and (1) of the Code.</w:t>
      </w:r>
    </w:p>
    <w:p>
      <w:pPr>
        <w:spacing w:after="0" w:line="149"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2"/>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means Parent’s board of directors.</w:t>
      </w:r>
    </w:p>
    <w:p>
      <w:pPr>
        <w:spacing w:after="0" w:line="206" w:lineRule="exact"/>
        <w:rPr>
          <w:rFonts w:ascii="Times New Roman" w:cs="Times New Roman" w:eastAsia="Times New Roman" w:hAnsi="Times New Roman"/>
          <w:sz w:val="22"/>
          <w:szCs w:val="22"/>
          <w:color w:val="auto"/>
        </w:rPr>
      </w:pPr>
    </w:p>
    <w:p>
      <w:pPr>
        <w:jc w:val="both"/>
        <w:ind w:firstLine="1505"/>
        <w:spacing w:after="0" w:line="245" w:lineRule="auto"/>
        <w:tabs>
          <w:tab w:leader="none" w:pos="2036" w:val="left"/>
        </w:tabs>
        <w:numPr>
          <w:ilvl w:val="2"/>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means the occurrence of any of the following actions or events: (i) Executive’s willful material misconduct or material breach of any written agreement between Executive and the Company (including without limitation this Agreement or the Executive’s Confidentiality Agreement), (ii) Executive’s conviction of, or plea of guilty or no contest to, any felony, or of or to a crime involving moral turpitude, (iii) the performance of an illegal act by Executive while purporting to act on the Company's behalf, or engaging in activities directly in competition or antithetical to the best interests of the Company or any Affiliate, including but not limited to material personal dishonesty, in each case, which is materially injurious to the financial condition or business reputation of, or is otherwise materially injurious to, the Company or any Affiliate,</w:t>
      </w:r>
    </w:p>
    <w:p>
      <w:pPr>
        <w:spacing w:after="0" w:line="3" w:lineRule="exact"/>
        <w:rPr>
          <w:rFonts w:ascii="Times New Roman" w:cs="Times New Roman" w:eastAsia="Times New Roman" w:hAnsi="Times New Roman"/>
          <w:sz w:val="21"/>
          <w:szCs w:val="21"/>
          <w:color w:val="auto"/>
        </w:rPr>
      </w:pPr>
    </w:p>
    <w:p>
      <w:pPr>
        <w:jc w:val="both"/>
        <w:ind w:firstLine="8"/>
        <w:spacing w:after="0" w:line="242" w:lineRule="auto"/>
        <w:tabs>
          <w:tab w:leader="none" w:pos="381"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fraud or unauthorized use or disclosure of confidential information or trade secrets of the Company or any Affiliate or any other party to whom Executive owes an obligation of nondisclosure as a result of Executive’s relationship with the Company, (v) an intentional violation of any federal, state or local law or regulation applicable to the Company or any Affiliate or their business, or (vi) Executive’s continued failure to perform Executive’s duties or responsibilities to the Company or any Affiliate or deliberate violation of a Company policy, including but not limited to those relating to insider trading or sexual harassment in each case as determined by the Board, in its sole discretion. Notwithstanding the foregoing, Cause shall only exist after; (x) the Board delivers written notice to Executive of the Board’s determination that Cause exists; (y) such notice sets forth in reasonable detail such facts and circumstances, along with the Board’s determination, in its discretion, of whether such events are reasonably capable of being corrected; and (z) only if the Board has determined that such events are reasonably capable of being corrected, Executive has failed to fully correct any of the events listed above within 10 days following delivery to Executive of the Board’s written notice of its determination that Cause exists. For the avoidance of doubt, in the event the Board determines, in its discretion, that such events constituting Cause are not reasonably capable of being corrected, Cause shall be deemed to exist immediately upon the Board’s delivery of the written notice described in the foregoing clauses (x) and (y).</w:t>
      </w:r>
    </w:p>
    <w:p>
      <w:pPr>
        <w:spacing w:after="0" w:line="181" w:lineRule="exact"/>
        <w:rPr>
          <w:rFonts w:ascii="Times New Roman" w:cs="Times New Roman" w:eastAsia="Times New Roman" w:hAnsi="Times New Roman"/>
          <w:sz w:val="21"/>
          <w:szCs w:val="21"/>
          <w:color w:val="auto"/>
        </w:rPr>
      </w:pPr>
    </w:p>
    <w:p>
      <w:pPr>
        <w:ind w:firstLine="1505"/>
        <w:spacing w:after="0" w:line="262" w:lineRule="auto"/>
        <w:tabs>
          <w:tab w:leader="none" w:pos="2036" w:val="left"/>
        </w:tabs>
        <w:numPr>
          <w:ilvl w:val="2"/>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has the meaning of “Change in Control” as defined in Parent’s 2021 Equity Incentive Plan.</w:t>
      </w:r>
    </w:p>
    <w:p>
      <w:pPr>
        <w:spacing w:after="0" w:line="149" w:lineRule="exact"/>
        <w:rPr>
          <w:rFonts w:ascii="Times New Roman" w:cs="Times New Roman" w:eastAsia="Times New Roman" w:hAnsi="Times New Roman"/>
          <w:sz w:val="22"/>
          <w:szCs w:val="22"/>
          <w:color w:val="auto"/>
        </w:rPr>
      </w:pPr>
    </w:p>
    <w:p>
      <w:pPr>
        <w:ind w:firstLine="1505"/>
        <w:spacing w:after="0" w:line="262" w:lineRule="auto"/>
        <w:tabs>
          <w:tab w:leader="none" w:pos="2036" w:val="left"/>
        </w:tabs>
        <w:numPr>
          <w:ilvl w:val="2"/>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 Period</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Change in Control Period</w:t>
      </w:r>
      <w:r>
        <w:rPr>
          <w:rFonts w:ascii="Times New Roman" w:cs="Times New Roman" w:eastAsia="Times New Roman" w:hAnsi="Times New Roman"/>
          <w:sz w:val="22"/>
          <w:szCs w:val="22"/>
          <w:color w:val="auto"/>
        </w:rPr>
        <w:t>” means the period beginning on the date three (3) months prior to, and ending on the date that is twelve (12) months following, a Change in Control.</w:t>
      </w:r>
    </w:p>
    <w:p>
      <w:pPr>
        <w:spacing w:after="0" w:line="149"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2"/>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means the Internal Revenue Code of 1986, as amended.</w:t>
      </w:r>
    </w:p>
    <w:p>
      <w:pPr>
        <w:spacing w:after="0" w:line="206" w:lineRule="exact"/>
        <w:rPr>
          <w:rFonts w:ascii="Times New Roman" w:cs="Times New Roman" w:eastAsia="Times New Roman" w:hAnsi="Times New Roman"/>
          <w:sz w:val="22"/>
          <w:szCs w:val="22"/>
          <w:color w:val="auto"/>
        </w:rPr>
      </w:pPr>
    </w:p>
    <w:p>
      <w:pPr>
        <w:ind w:firstLine="1505"/>
        <w:spacing w:after="0" w:line="262" w:lineRule="auto"/>
        <w:tabs>
          <w:tab w:leader="none" w:pos="2036" w:val="left"/>
        </w:tabs>
        <w:numPr>
          <w:ilvl w:val="2"/>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Deferred Payments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Deferred Payments</w:t>
      </w:r>
      <w:r>
        <w:rPr>
          <w:rFonts w:ascii="Times New Roman" w:cs="Times New Roman" w:eastAsia="Times New Roman" w:hAnsi="Times New Roman"/>
          <w:sz w:val="22"/>
          <w:szCs w:val="22"/>
          <w:color w:val="auto"/>
        </w:rPr>
        <w:t>” means any severance pay or benefits to be paid or provided to Executive (or Executive’s estate or beneficiaries) pursuant to this</w:t>
      </w:r>
    </w:p>
    <w:p>
      <w:pPr>
        <w:spacing w:after="0" w:line="343"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Agreement and any other severance payments or separation benefits to be paid or provided to Executive (or Executive’s estate or beneficiaries), that in each case, when considered together, are considered deferred compensation under Section 409A.</w:t>
      </w:r>
    </w:p>
    <w:p>
      <w:pPr>
        <w:spacing w:after="0" w:line="154" w:lineRule="exact"/>
        <w:rPr>
          <w:sz w:val="20"/>
          <w:szCs w:val="20"/>
          <w:color w:val="auto"/>
        </w:rPr>
      </w:pPr>
    </w:p>
    <w:p>
      <w:pPr>
        <w:jc w:val="both"/>
        <w:ind w:firstLine="1505"/>
        <w:spacing w:after="0" w:line="237" w:lineRule="auto"/>
        <w:tabs>
          <w:tab w:leader="none" w:pos="203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means Executive (i) is unable to engage in any substantial gainful activity by reason of any medically determinable physical or mental impairment which can be expected to result in death or can be expected to last for a continuous period of not less than twelve (12) months, or (ii) is, by reason of any medically determinable physical or mental impairment which can be expected to last for a continuous period of not less than twelve (12) months, receiving income replacement benefits for a period of not less than three (3) months under an accident and health plan covering Company employees.</w:t>
      </w:r>
    </w:p>
    <w:p>
      <w:pPr>
        <w:spacing w:after="0" w:line="175" w:lineRule="exact"/>
        <w:rPr>
          <w:rFonts w:ascii="Times New Roman" w:cs="Times New Roman" w:eastAsia="Times New Roman" w:hAnsi="Times New Roman"/>
          <w:sz w:val="22"/>
          <w:szCs w:val="22"/>
          <w:color w:val="auto"/>
        </w:rPr>
      </w:pPr>
    </w:p>
    <w:p>
      <w:pPr>
        <w:jc w:val="both"/>
        <w:ind w:firstLine="1505"/>
        <w:spacing w:after="0" w:line="233" w:lineRule="auto"/>
        <w:tabs>
          <w:tab w:leader="none" w:pos="203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means the occurrence of one or more of the following events without Executive’s express written consent: (i) a material reduction of Executive’s duties, authorities, or responsibilities relative to Executive’s duties, authorities, or responsibilities in effect immediately prior to the reduction; (ii) a material reduction in Executive’s annual base salary; provided, however, that, a reduction of annual base salary that also applies to substantially all other similarly situated employees of the Company will not constitute “Good Reason”; (iii) a material change in the geographic location of Executive’s primary work facility or location by more than 50 miles from Executive’s then-present location; provided, that a relocation to a location that is within 50 miles from Executive’s then-present primary residence will not be considered a material change in geographic location, or (iv) failure of a successor corporation to assume the obligations under Executive’s employment agreement with the Company. In order for the termination to be for Good Reason, Executive must not terminate Executive’s employment with the Company without first providing written notice to the Company of the acts or omissions constituting the grounds for “Good Reason” within 60 days of the initial existence of the grounds for “Good Reason” and a cure period of 30 days following the date of written notice (the “</w:t>
      </w:r>
      <w:r>
        <w:rPr>
          <w:rFonts w:ascii="Times New Roman" w:cs="Times New Roman" w:eastAsia="Times New Roman" w:hAnsi="Times New Roman"/>
          <w:sz w:val="22"/>
          <w:szCs w:val="22"/>
          <w:b w:val="1"/>
          <w:bCs w:val="1"/>
          <w:color w:val="auto"/>
        </w:rPr>
        <w:t>Cure Period</w:t>
      </w:r>
      <w:r>
        <w:rPr>
          <w:rFonts w:ascii="Times New Roman" w:cs="Times New Roman" w:eastAsia="Times New Roman" w:hAnsi="Times New Roman"/>
          <w:sz w:val="22"/>
          <w:szCs w:val="22"/>
          <w:color w:val="auto"/>
        </w:rPr>
        <w:t>”), the grounds must not have been cured during that time, and Executive must terminate Executive’s employment within 30 days following the Cure Period.</w:t>
      </w:r>
    </w:p>
    <w:p>
      <w:pPr>
        <w:spacing w:after="0" w:line="182"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Protected Activity</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Protected Activity</w:t>
      </w:r>
      <w:r>
        <w:rPr>
          <w:rFonts w:ascii="Times New Roman" w:cs="Times New Roman" w:eastAsia="Times New Roman" w:hAnsi="Times New Roman"/>
          <w:sz w:val="22"/>
          <w:szCs w:val="22"/>
          <w:color w:val="auto"/>
        </w:rPr>
        <w:t>” includes filing and/or pursuing a charge, complaint, or report with, or otherwise communicating, cooperating,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w:t>
      </w:r>
      <w:r>
        <w:rPr>
          <w:rFonts w:ascii="Times New Roman" w:cs="Times New Roman" w:eastAsia="Times New Roman" w:hAnsi="Times New Roman"/>
          <w:sz w:val="22"/>
          <w:szCs w:val="22"/>
          <w:b w:val="1"/>
          <w:bCs w:val="1"/>
          <w:color w:val="auto"/>
        </w:rPr>
        <w:t>Government Agencies</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Executive agrees to comply with the Executive’s Sarcos Employee Intellectual Property Agreement entered into concurrently with this Agreement (the “</w:t>
      </w:r>
      <w:r>
        <w:rPr>
          <w:rFonts w:ascii="Times New Roman" w:cs="Times New Roman" w:eastAsia="Times New Roman" w:hAnsi="Times New Roman"/>
          <w:sz w:val="22"/>
          <w:szCs w:val="22"/>
          <w:b w:val="1"/>
          <w:bCs w:val="1"/>
          <w:color w:val="auto"/>
        </w:rPr>
        <w:t>Confidentiality Agreement</w:t>
      </w:r>
      <w:r>
        <w:rPr>
          <w:rFonts w:ascii="Times New Roman" w:cs="Times New Roman" w:eastAsia="Times New Roman" w:hAnsi="Times New Roman"/>
          <w:sz w:val="22"/>
          <w:szCs w:val="22"/>
          <w:color w:val="auto"/>
        </w:rPr>
        <w:t>”) and, to the extent applicable, Executive’s Sarcos Employee Intellection Property Agreement entered into on November 10, 2016 (the “</w:t>
      </w:r>
      <w:r>
        <w:rPr>
          <w:rFonts w:ascii="Times New Roman" w:cs="Times New Roman" w:eastAsia="Times New Roman" w:hAnsi="Times New Roman"/>
          <w:sz w:val="22"/>
          <w:szCs w:val="22"/>
          <w:b w:val="1"/>
          <w:bCs w:val="1"/>
          <w:color w:val="auto"/>
        </w:rPr>
        <w:t>Prior Confidentiality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and the confidentiality, intellectual property assignment and other similar provisions contained in the Consulting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provided that nothing in this Agreement, the Prior Confidentiality Agreement or the Consulting Agreement shall prevent Executive from engaging in Protected Activity. Executive understands that in connection with such Protected Activity, Executive is permitted to disclose documents or other information as permitted by law, without giving notice to, or receiving authorization from, the Company. In addition, nothing in this Agreement or in any other</w:t>
      </w:r>
    </w:p>
    <w:p>
      <w:pPr>
        <w:spacing w:after="0" w:line="367"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agreement with he Company, prevents Execuive from discussing or disclosing information about unlawful acts in the workplace, such as harassment or discriminatin or any other conduct that Executive has reason to believe is unlawful. Notwithstanding the foregoing, Executive agrees to take all reasonable precautions to prevent any unauthorized use or disclosure of any Company trade secrets, proprietary information or confidential information that does not involve unlawful acts in the workplace or activity otherwise protected in this paragraph or in the definition of Protected Activity. Executive further understands that Executive is not permitted to disclose the Company’s attorney-client privileged communications or attorney work product. Any language in the Confidentiality Agreement regarding Executive’s right to engage in Protected Activity that conflicts with, or is contrary to, this section is superseded by this Agreement. In addition, pursuant to the Defend Trade Secrets Act of 2016, Executive is notified that an individual will not be held criminally or civilly liable under any federal or state trade secret law for the disclosure of a trade secret that (i) is made in confidence to a federal, state, or local government official (directly or indirectly) or to an attorney solely for the purpose of reporting or investigating a suspected violation of law, or (ii) is made in a complaint or other document filed in a lawsuit or other proceeding, if (and only if) such filing is made under seal. In addition, an individual who files a lawsuit for retaliation by an employer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 order.</w:t>
      </w:r>
    </w:p>
    <w:p>
      <w:pPr>
        <w:spacing w:after="0" w:line="178"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11.</w:t>
      </w:r>
      <w:r>
        <w:rPr>
          <w:rFonts w:ascii="Times New Roman" w:cs="Times New Roman" w:eastAsia="Times New Roman" w:hAnsi="Times New Roman"/>
          <w:sz w:val="21"/>
          <w:szCs w:val="21"/>
          <w:u w:val="single" w:color="auto"/>
          <w:color w:val="auto"/>
        </w:rPr>
        <w:t>No Conflicting Obligations</w:t>
      </w:r>
      <w:r>
        <w:rPr>
          <w:rFonts w:ascii="Times New Roman" w:cs="Times New Roman" w:eastAsia="Times New Roman" w:hAnsi="Times New Roman"/>
          <w:sz w:val="21"/>
          <w:szCs w:val="21"/>
          <w:color w:val="auto"/>
        </w:rPr>
        <w:t>. Executive confirms that Executive is not under any existing obligations that may impact Executive’s eligibility to be employed by the Company or limit the manner in which Executive may be employed. Executive agrees not to bring any third-party confidential information to the Company, including that of Executive’s former employer, and that Executive will not in any way utilize any such information in performing Executive’s duties for the Company.</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5" w:lineRule="auto"/>
        <w:tabs>
          <w:tab w:leader="none" w:pos="203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The Company’s Successors</w:t>
      </w:r>
      <w:r>
        <w:rPr>
          <w:rFonts w:ascii="Times New Roman" w:cs="Times New Roman" w:eastAsia="Times New Roman" w:hAnsi="Times New Roman"/>
          <w:sz w:val="22"/>
          <w:szCs w:val="22"/>
          <w:color w:val="auto"/>
        </w:rPr>
        <w:t>. Any successor to the Company (whether direct or indirect and whether by purchase, merger, consolidation, liquidation or otherwise) to all 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will include any successor to the Company’s business and/or assets which executes and delivers the assumption agreement described in this Section 14(a) or which becomes bound by the terms of this Agreement by operation of law.</w:t>
      </w:r>
    </w:p>
    <w:p>
      <w:pPr>
        <w:spacing w:after="0" w:line="183"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Executive’s Successors</w:t>
      </w:r>
      <w:r>
        <w:rPr>
          <w:rFonts w:ascii="Times New Roman" w:cs="Times New Roman" w:eastAsia="Times New Roman" w:hAnsi="Times New Roman"/>
          <w:sz w:val="22"/>
          <w:szCs w:val="22"/>
          <w:color w:val="auto"/>
        </w:rPr>
        <w:t>. The terms of this Agreement and all rights of Executive hereunder will inure to the benefit of, and be enforceable by, Executive’s personal or legal representatives, executors, administrators, successors, heirs, distributees, devisees and legatees.</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Notices and all other communications contemplated by this Agreement will be in writing and will be deemed to have been duly given when personally delivered or when mailed by U.S. registered or certified mail, return receipt requested and postage prepaid or when delivered by a private courier service such as UPS, DHL or Federal Express that has tracking capability. In the case</w:t>
      </w:r>
    </w:p>
    <w:p>
      <w:pPr>
        <w:spacing w:after="0" w:line="369"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of Executive, mailed notices will be addressed to Executive at the home address which Executive’s most recently communicated to the Company in writing. In the case of the Company, mailed notices will be addressed to its corporate headquarters, and all notices will be directed to the Chief Executive Officer of the Company, with a copy sent to the Chief Legal Officer.</w:t>
      </w:r>
    </w:p>
    <w:p>
      <w:pPr>
        <w:spacing w:after="0" w:line="157"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14.</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In the event that any provision hereof becomes or is declared by a court of competent jurisdiction to be illegal, unenforceable or void, this Agreement will continue in full force and effect without said provision.</w:t>
      </w:r>
    </w:p>
    <w:p>
      <w:pPr>
        <w:spacing w:after="0" w:line="158"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u w:val="single" w:color="auto"/>
          <w:color w:val="auto"/>
        </w:rPr>
        <w:t>Integration; Termination</w:t>
      </w:r>
      <w:r>
        <w:rPr>
          <w:rFonts w:ascii="Times New Roman" w:cs="Times New Roman" w:eastAsia="Times New Roman" w:hAnsi="Times New Roman"/>
          <w:sz w:val="22"/>
          <w:szCs w:val="22"/>
          <w:color w:val="auto"/>
        </w:rPr>
        <w:t>. This Agreement, together with the Confidentiality Agreement represents the entire agreement and understanding between the Parties as to the subject matter herein and supersedes all other prior or contemporaneous agreements as to the subject matter herein whether written or oral, provided that this Agreement does not supersede Executive’s Indemnification Agreement dated September 22, 2021 or Executive’s equity award agreements for previous equity awards. For the avoidance of doubt, (a) Executive and the Company hereby mutually terminate the Consulting Agreement, agree that this Agreement supersedes in its entirety the Consulting Agreement except to the extent set forth in Section 6.B. of the Consulting Agreement and agree that no notice period or associated payment is due Executive pursuant to Section 6.C. of the Consulting Agreement; (b) Executive’s Separation Agreement and Release entered into on September 25, 2023 is not superseded pursuant to this Agreement except that Section 1(d) of that agreement is terminated as of the Start Date; and (c) the Prior Confidentiality Agreement remains in full force and effect in accordance with its terms, except to the extent set forth in an email from the Company (and any subsequent confirmation letter) on or about February 14, 2024 regarding recent California law changes and restrictive covenants. This Agreement may be modified only by agreement of the Parties by a written instrument executed by the Parties that is designated as an amendment to this Agreement.</w:t>
      </w:r>
    </w:p>
    <w:p>
      <w:pPr>
        <w:spacing w:after="0" w:line="18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16.</w:t>
      </w:r>
      <w:r>
        <w:rPr>
          <w:rFonts w:ascii="Times New Roman" w:cs="Times New Roman" w:eastAsia="Times New Roman" w:hAnsi="Times New Roman"/>
          <w:sz w:val="22"/>
          <w:szCs w:val="22"/>
          <w:u w:val="single" w:color="auto"/>
          <w:color w:val="auto"/>
        </w:rPr>
        <w:t>Waiver of Breach</w:t>
      </w:r>
      <w:r>
        <w:rPr>
          <w:rFonts w:ascii="Times New Roman" w:cs="Times New Roman" w:eastAsia="Times New Roman" w:hAnsi="Times New Roman"/>
          <w:sz w:val="22"/>
          <w:szCs w:val="22"/>
          <w:color w:val="auto"/>
        </w:rPr>
        <w:t>. No provision of this Agreement will be modified, waived or discharged unless the modification, waiver or discharge is agreed to in writing and signed by Executive and by an authorized officer of the Company (other than Executive). The waiver of a breach of any term or provision of this Agreement will not operate as or be construed to be a waiver of any other previous or subsequent breach of this Agreement.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17.</w:t>
      </w:r>
      <w:r>
        <w:rPr>
          <w:rFonts w:ascii="Times New Roman" w:cs="Times New Roman" w:eastAsia="Times New Roman" w:hAnsi="Times New Roman"/>
          <w:sz w:val="22"/>
          <w:szCs w:val="22"/>
          <w:u w:val="single" w:color="auto"/>
          <w:color w:val="auto"/>
        </w:rPr>
        <w:t>Arbitration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3" w:lineRule="auto"/>
        <w:tabs>
          <w:tab w:leader="none" w:pos="203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IN CONSIDERATION OF EXECUTIVE’S EMPLOYMENT WITH THE COMPANY, THE COMPANY’S PROMISE TO ARBITRATE ALL EMPLOYMENT-RELATED DISPUTES WITH EXECUTIVE, AND EXECUTIVE’S RECEIPT OF THE COMPENSATION AND OTHER BENEFITS PAID OR PROVIDED TO EXECUTIVE BY THE COMPANY AT PRESENT AND IN THE FUTURE, EXECUTIVE AGREES THAT ANY AND ALL CONTROVERSIES, CLAIMS, OR DISPUTES THAT EXECUTIVE MAY HAVE WITH THE COMPANY (INCLUDING ANY COMPANY EMPLOYEE, OFFICER, DIRECTOR, TRUSTEE, OR BENEFIT PLAN OF THE COMPANY, IN THEIR CAPACITY AS SUCH OR OTHERWISE), ARISING OUT OF, RELATING TO, OR RESULTING FROM EXECUTIVE’S EMPLOYMENT OR RELATIONSHIP WITH THE COMPANY OR THE TERMINATION OF EXECUTIVE’S EMPLOYMENT OR RELATIONSHIP WITH THE COMPANY, INCLUDING ANY BREACH OF ANY AGREEMENT BETWEEN THE PARTIES, INCLUDING THIS AGREEMENT AND THE CONFIDENTIALITY AGREEMENT, SHALL BE SUBJECT TO BINDING ARBITRATION</w:t>
      </w:r>
    </w:p>
    <w:p>
      <w:pPr>
        <w:spacing w:after="0" w:line="37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8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PURSUANT TO THE FEDERAL ARBITRATION ACT (9 U.S.C. SEC. 1 ET SEQ.) (THE “</w:t>
      </w:r>
      <w:r>
        <w:rPr>
          <w:rFonts w:ascii="Times New Roman" w:cs="Times New Roman" w:eastAsia="Times New Roman" w:hAnsi="Times New Roman"/>
          <w:sz w:val="21"/>
          <w:szCs w:val="21"/>
          <w:b w:val="1"/>
          <w:bCs w:val="1"/>
          <w:color w:val="auto"/>
        </w:rPr>
        <w:t>FAA</w:t>
      </w:r>
      <w:r>
        <w:rPr>
          <w:rFonts w:ascii="Times New Roman" w:cs="Times New Roman" w:eastAsia="Times New Roman" w:hAnsi="Times New Roman"/>
          <w:sz w:val="21"/>
          <w:szCs w:val="21"/>
          <w:color w:val="auto"/>
        </w:rPr>
        <w:t>”). THE FAA’S SUBSTANTIVE AND PROCEDURAL PROVISIONS SHALL EXCLUSIVELY GOVERN AND APPLY WITH FULL FORCE AND EFFECT TO THIS ARBITRATION AGREEMENT, INCLUDING ITS ENFORCEMENT. ANY STATE COURT OF COMPETENT JURISDICTION SHALL STAY PROCEEDINGS PENDING ARBITRATION OR COMPEL ARBITRATION IN THE SAME MANNER AS A FEDERAL COURT UNDER THE FAA. EXECUTIVE FURTHER AGREES THAT, TO THE FULLEST EXTENT PERMITTED BY LAW, EXECUTIVE MAY BRING ANY ARBITRATION PROCEEDING ONLY IN EXECUTIVE’S INDIVIDUAL CAPACITY, AND NOT AS A PLAINTIFF, REPRESENTATIVE, OR CLASS MEMBER IN ANY PURPORTED CLASS, COLLECTIVE, OR REPRESENTATIVE LAWSUIT OR PROCEEDING. EXECUTIVE AGREES THAT ANY CLAIMS EXECUTIVE MAY BRING PURSUANT TO THE PRIVATE ATTORNEYS GENERAL ACT (THE “</w:t>
      </w:r>
      <w:r>
        <w:rPr>
          <w:rFonts w:ascii="Times New Roman" w:cs="Times New Roman" w:eastAsia="Times New Roman" w:hAnsi="Times New Roman"/>
          <w:sz w:val="21"/>
          <w:szCs w:val="21"/>
          <w:b w:val="1"/>
          <w:bCs w:val="1"/>
          <w:color w:val="auto"/>
        </w:rPr>
        <w:t>PAGA</w:t>
      </w:r>
      <w:r>
        <w:rPr>
          <w:rFonts w:ascii="Times New Roman" w:cs="Times New Roman" w:eastAsia="Times New Roman" w:hAnsi="Times New Roman"/>
          <w:sz w:val="21"/>
          <w:szCs w:val="21"/>
          <w:color w:val="auto"/>
        </w:rPr>
        <w:t xml:space="preserve">”) ON BEHALF OF THE LABOR AND WORKFORCE DEVEOPMENT AGENCY MUST BE ARBITRATED ONLY IN EXECUTIVE’S INDIVIDUAL CAPACITY WITHOUT ANY JOINDER OR REPRESENTATION OF ANY CALIFORNIA LABOR CODE VIOLATIONS THAT WERE OR COULD BE ASSERTED BY OR ON BEHALF OF ANY OTHER PERSONS. </w:t>
      </w:r>
      <w:r>
        <w:rPr>
          <w:rFonts w:ascii="Times New Roman" w:cs="Times New Roman" w:eastAsia="Times New Roman" w:hAnsi="Times New Roman"/>
          <w:sz w:val="21"/>
          <w:szCs w:val="21"/>
          <w:b w:val="1"/>
          <w:bCs w:val="1"/>
          <w:color w:val="auto"/>
        </w:rPr>
        <w:t>TO THE FULLEST EXTENT PERMITTED BY LAW, EXECUTIVE</w:t>
      </w:r>
    </w:p>
    <w:p>
      <w:pPr>
        <w:spacing w:after="0" w:line="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b w:val="1"/>
          <w:bCs w:val="1"/>
          <w:color w:val="auto"/>
        </w:rPr>
        <w:t xml:space="preserve">AGREES TO ARBITRATE ANY AND ALL COMMON LAW AND/OR STATUTORY CLAIMS UNDER LOCAL, STATE, OR FEDERAL LAW, INCLUDING, BUT NOT LIMITED TO, CLAIMS UNDER THE WORKER ADJUSTMENT AND RETRAINING NOTIFICATION ACT, THE FAIR LABOR STANDARDS ACT, STATE AND LOCAL WAGE PAYMENT LAWS, THE FAMILY AND MEDICAL LEAVE ACT, THE UTAH ANTIDISCRIMINATION ACT, THE CALIFORNIA FAIR EMPLOYMENT AND HOUSING ACT, THE CALIFORNIA FAMILY RIGHTS ACT, THE CALIFORNIA LABOR CODE AND OTHER STATE AND LOCAL ANTI-DISCRIMINATION LAWS, FEDERAL ANTIDISCRIMINATION LAWS (INCLUDING TITLE VII OF THE CIVIL RIGHTS ACT OF 1964, THE AMERICANS WITH DISABILITIES ACT OF 1990, THE AGE DISCRIMINATION IN EMPLOYMENT ACT OF 1967, AND THE OLDER WORKERS BENEFIT PROTECTION ACT), CLAIMS RELATING TO EMPLOYMENT STATUS, CLASSIFICATION AND RELATIONSHIP WITH THE COMPANY, AND CLAIMS OF DISCRIMINATION, HARASSMENT, RETALIATION, WRONGFUL TERMINATION AND BREACH OF CONTRACT, EXCEPT AS PROHIBITED BY LAW. EXECUTIVE ALSO AGREES TO ARBITRATE (EXCEPT AS PROHIBITED BY LAW) ANY AND ALL DISPUTES ARISING OUT OF OR RELATING TO THE INTERPRETATION OR APPLICATION OF THIS AGREEMENT TO ARBITRATE, BUT NOT DISPUTES ABOUT THE ENFORCEABILITY, REVOCABILITY OR VALIDITY OF THIS AGREEMENT TO ARBITRATE OR ITS REQUIREMENTS THAT EXECUTIVE BRINGS ANY ARBITRAITON PROCEEDING ONLY IN EXECUTIVE’S INDIVIDUAL CAPACITY. WITH RESPECT TO ALL SUCH CLAIMS AND DISPUTES THAT EXECUTIVE AGREES TO ARBITRATE, EXECUTIVE HEREBY EXPRESSLY AGREES TO WAIVE, AND DOES WAIVE, ANY RIGHT TO A TRIAL BY JURY. </w:t>
      </w:r>
      <w:r>
        <w:rPr>
          <w:rFonts w:ascii="Times New Roman" w:cs="Times New Roman" w:eastAsia="Times New Roman" w:hAnsi="Times New Roman"/>
          <w:sz w:val="22"/>
          <w:szCs w:val="22"/>
          <w:color w:val="auto"/>
        </w:rPr>
        <w:t>EXECUTIVE FURTHER UNDERSTANDS THAT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ARBITRATE ALSO APPLIES TO ANY DISPUTES THAT THE COMPANY MAY HAVE WITH EXECUTIVE. EXECUTIVE UNDERSTANDS THAT NOTHING IN THIS AGREEMENT REQUIRES EXECUTIVE TO ARBITRATE CLAIMS THAT CANNOT BE ARBITRATED UNDER THE SARBANES-OXLEY ACT OR OTHER LAW THAT EXPRESSLY PROHIBITS ARBITRATION OF A CLAIM NOTWITHSTANDING APPLICATION OF THE FAA. SIMILARLY, NOTHING IN THIS</w:t>
      </w:r>
    </w:p>
    <w:p>
      <w:pPr>
        <w:spacing w:after="0" w:line="369"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 PROHIBITS EXECUTIVE FROM ENGAGING IN PROTECTED ACTIVITY (AS DEFINED HEREIN).</w:t>
      </w:r>
    </w:p>
    <w:p>
      <w:pPr>
        <w:spacing w:after="0" w:line="206" w:lineRule="exact"/>
        <w:rPr>
          <w:sz w:val="20"/>
          <w:szCs w:val="20"/>
          <w:color w:val="auto"/>
        </w:rPr>
      </w:pPr>
    </w:p>
    <w:p>
      <w:pPr>
        <w:jc w:val="both"/>
        <w:ind w:firstLine="1505"/>
        <w:spacing w:after="0" w:line="231" w:lineRule="auto"/>
        <w:tabs>
          <w:tab w:leader="none" w:pos="203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 of Arbitration</w:t>
      </w:r>
      <w:r>
        <w:rPr>
          <w:rFonts w:ascii="Times New Roman" w:cs="Times New Roman" w:eastAsia="Times New Roman" w:hAnsi="Times New Roman"/>
          <w:sz w:val="22"/>
          <w:szCs w:val="22"/>
          <w:color w:val="auto"/>
        </w:rPr>
        <w:t>. EXECUTIVE AGREES THAT ANY ARBITRATION WILL BE ADMINISTERED BY JAMS, PURSUANT TO ITS EMPLOYMENT ARBITRATION RULES &amp; PROCEDURES (THE “</w:t>
      </w:r>
      <w:r>
        <w:rPr>
          <w:rFonts w:ascii="Times New Roman" w:cs="Times New Roman" w:eastAsia="Times New Roman" w:hAnsi="Times New Roman"/>
          <w:sz w:val="22"/>
          <w:szCs w:val="22"/>
          <w:b w:val="1"/>
          <w:bCs w:val="1"/>
          <w:color w:val="auto"/>
        </w:rPr>
        <w:t>JAMS RULES</w:t>
      </w:r>
      <w:r>
        <w:rPr>
          <w:rFonts w:ascii="Times New Roman" w:cs="Times New Roman" w:eastAsia="Times New Roman" w:hAnsi="Times New Roman"/>
          <w:sz w:val="22"/>
          <w:szCs w:val="22"/>
          <w:color w:val="auto"/>
        </w:rPr>
        <w:t>”), WHICH ARE AVAILABLE AT http://www.jamsadr.com/rules-employment-arbitration/ AND FROM THE COMPANY. IF THE JAMS RULES CANNOT BE ENFORCED AS TO THE ARBITRATION, THEN THE PARTIES AGREE THAT THEY WILL UTILIZE THE JAMS COMPREHENSIVE ARBITRATION RULES AND PROCEDURES OR SUCH RULES AS THE ARBITRATOR MAY DEEM MOST APPROPRIATE FOR THE DISPUTE. EXECUTIVE AGREES THAT THE ARBITRATOR SHALL HAVE THE POWER TO DECIDE ANY MOTIONS BROUGHT BY ANY PARTY TO THE ARBITRATION, INCLUDING MOTIONS FOR SUMMARY JUDGMENT AND/OR ADJUDICATION, MOTIONS TO DISMISS AND DEMURRERS, APPLYING THE STANDARDS SET FORTH FOR SUCH MOTIONS UNDER APPLICABLE CALIFORNIA LAW, INCLUDING THE CALIFORNIA CODE OF CIVIL PROCEDURE. EXECUTIVE AGREES THAT THE ARBITRATOR SHALL ISSUE A WRITTEN DECISION ON THE MERITS. EXECUTIVE ALSO AGREES THAT THE ARBITRATOR SHALL HAVE THE POWER TO AWARD ANY REMEDIES AVAILABLE UNDER APPLICABLE LAW, AND THAT THE ARBITRATOR MAY AWARD ATTORNEYS’ FEES AND COSTS TO THE PREVAILING PARTY, WHERE PERMITTED BY APPLICABLE LAW. EXECUTIVE AGREES THAT THE DECREE OR AWARD RENDERED BY THE ARBITRATOR MAY BE ENTERED AS A FINAL AND BINDING JUDGMENT IN ANY COURT HAVING JURISDICTION THEREOF. EXECUTIVE UNDERSTANDS THAT THE COMPANY WILL PAY FOR ANY ADMINISTRATIVE OR HEARING FEES CHARGED BY THE ARBITRATOR OR JAMS EXCEPT THAT EXECUTIVE SHALL PAY ANY FILING FEES ASSOCIATED WITH ANY ARBITRATION THAT EXECUTIVE INITIATES, BUT ONLY SO MUCH OF THE FILING FEES AS EXECUTIVE WOULD HAVE INSTEAD PAID HAD EXECUTIVE FILED A COMPLAINT IN A COURT OF LAW THAT WOULD HAVE HAD JURISDICTION OVER SUCH COMPLAINT. SUBJECT TO THE FAA’S EXCLUSIVE APPLICABILITY TO THE ENFORCEMENT OF THS AGREEMENT TO ARBITRATE, EXECUTIVE AGREES THAT THE ARBITRATOR SHALL ADMINISTER AND CONDUCT ANY ARBITRATION HEARING OR PROCEEDIG APPLYING CALIFORNIA SUBSTANTIVE AND DECISIONAL LAW AND THE CALIFORNIA CODE OF CIVIL PROCEDURE, INCLUDING THE CALIFORNIA CIVIL DISCOVERY ACT. EXECUTIVE AGREES THAT ANY ARBITRATION UNDER THIS AGREEMENT SHALL BE CONDUCTED IN SAN DIEGO COUNTY, CALIFORNIA.</w:t>
      </w:r>
    </w:p>
    <w:p>
      <w:pPr>
        <w:spacing w:after="0" w:line="203"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Remedy</w:t>
      </w:r>
      <w:r>
        <w:rPr>
          <w:rFonts w:ascii="Times New Roman" w:cs="Times New Roman" w:eastAsia="Times New Roman" w:hAnsi="Times New Roman"/>
          <w:sz w:val="22"/>
          <w:szCs w:val="22"/>
          <w:color w:val="auto"/>
        </w:rPr>
        <w:t>. EXCEPT FOR THE PURSUIT OF ANY PROVISIONAL REMEDY PERMITTED UNDER THE FAA, THE CALIFORNIA ARBITRATION ACT (CALIFORNIA CODE CIV. PROC. § 1281.8), OR AS OTHERWISE PROVIDED BY THIS AGREEMENT, EXECUTIVE AGREES THAT ARBITRATION SHALL BE THE SOLE, EXCLUSIVE, AND FINAL REMEDY FOR ANY DISPUTE BETWEEN EXECUTIVE AND THE COMPANY. EXECUTIVE ACKNOWLEDGES AND AGREES THAT POTENTIAL BREACHES OR THREATENED BREACHES OF THE CONFIDENTIALITY AGREEMENT WILL CAUSE IRREPARABLE INJURY AND THAT MONEY DAMAGES WILL NOT PROVIDE AN ADEQUATE REMEDY THEREFOR, AND BOTH PARTIES CONSENT TO THE ISSUANCE OF AN INJUNCTION, WHETHER IN ARBITRATION OR IN CONNECTION WITH THE</w:t>
      </w:r>
    </w:p>
    <w:p>
      <w:pPr>
        <w:spacing w:after="0" w:line="367"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PROVISIONAL REMEDIES PERMITTED UNDER THE FAA, WITHOUT THE POSTING OF A BOND. IN THE EVENT EITHER PARTY SEEKS SUCH INJUNCTIVE RELIEF, THE PREVAILING PARTY SHALL BE ENTITLED TO RECOVER REASONABLE COSTS AND ATTORNEYS’ FEES.</w:t>
      </w:r>
    </w:p>
    <w:p>
      <w:pPr>
        <w:spacing w:after="0" w:line="173" w:lineRule="exact"/>
        <w:rPr>
          <w:sz w:val="20"/>
          <w:szCs w:val="20"/>
          <w:color w:val="auto"/>
        </w:rPr>
      </w:pPr>
    </w:p>
    <w:p>
      <w:pPr>
        <w:jc w:val="both"/>
        <w:ind w:firstLine="1505"/>
        <w:spacing w:after="0" w:line="235" w:lineRule="auto"/>
        <w:tabs>
          <w:tab w:leader="none" w:pos="203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Administrative Relief</w:t>
      </w:r>
      <w:r>
        <w:rPr>
          <w:rFonts w:ascii="Times New Roman" w:cs="Times New Roman" w:eastAsia="Times New Roman" w:hAnsi="Times New Roman"/>
          <w:sz w:val="22"/>
          <w:szCs w:val="22"/>
          <w:color w:val="auto"/>
        </w:rPr>
        <w:t>. EXECUTIVE UNDERSTANDS THAT THIS AGREEMENT DOES NOT PROHIBIT EXECUTIVE FROM PURSUING AN ADMINISTRATIVE CLAIM WITH A LOCAL, STATE, OR FEDERAL ADMINISTRATIVE BODY OR GOVERNMENT AGENCY THAT IS AUTHORIZED TO ENFORCE OR ADMINISTER LAWS RELATED TO EMPLOYMENT, INCLUDING, BUT NOT LIMITED TO, THE CALIFORNIA CIVIL RIGHTS DEPARTMENT, THE EQUAL EMPLOYMENT OPPORTUNITY COMMISSION, THE NATIONAL LABOR RELATIONS BOARD, THE SECURITIES AND EXCHANGE COMMISSION, OR THE WORKERS’ COMPENSATION BOARD. THIS AGREEMENT DOES, HOWEVER, PRECLUDE EXECUTIVE FROM PURSUING A COURT ACTION REGARDING ANY SUCH CLAIM, EXCEPT AS PERMITTED BY LAW.</w:t>
      </w:r>
    </w:p>
    <w:p>
      <w:pPr>
        <w:spacing w:after="0" w:line="178" w:lineRule="exact"/>
        <w:rPr>
          <w:rFonts w:ascii="Times New Roman" w:cs="Times New Roman" w:eastAsia="Times New Roman" w:hAnsi="Times New Roman"/>
          <w:sz w:val="22"/>
          <w:szCs w:val="22"/>
          <w:color w:val="auto"/>
        </w:rPr>
      </w:pPr>
    </w:p>
    <w:p>
      <w:pPr>
        <w:jc w:val="both"/>
        <w:ind w:firstLine="1505"/>
        <w:spacing w:after="0" w:line="233" w:lineRule="auto"/>
        <w:tabs>
          <w:tab w:leader="none" w:pos="203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Voluntary Nature of Agreement</w:t>
      </w:r>
      <w:r>
        <w:rPr>
          <w:rFonts w:ascii="Times New Roman" w:cs="Times New Roman" w:eastAsia="Times New Roman" w:hAnsi="Times New Roman"/>
          <w:sz w:val="22"/>
          <w:szCs w:val="22"/>
          <w:color w:val="auto"/>
        </w:rPr>
        <w:t xml:space="preserve">. EXECUTIVE ACKNOWLEDGES AND AGREES THAT EXECUTIVE IS EXECUTING THIS AGREEMENT TO ARBITRATE VOLUNTARILY AND WITHOUT ANY DURESS OR UNDUE INFLUENCE BY THE COMPANY OR ANYONE ELSE. EXECUTIVE FURTHER ACKNOWLEDGES AND AGREES THAT EXECUTIVE HAS CAREFULLY READ THIS AGREEMENT AND THAT EXECUTIVE HAS ASKED ANY QUESTIONS NEEDED FOR EXECUTIVE TO UNDERSTAND THE TERMS, CONSEQUENCES, AND BINDING EFFECT OF THIS AGREEMENT TO ARBITRATE AND DOES FULLY UNDERSTAND IT, INCLUDING THAT </w:t>
      </w:r>
      <w:r>
        <w:rPr>
          <w:rFonts w:ascii="Times New Roman" w:cs="Times New Roman" w:eastAsia="Times New Roman" w:hAnsi="Times New Roman"/>
          <w:sz w:val="22"/>
          <w:szCs w:val="22"/>
          <w:b w:val="1"/>
          <w:bCs w:val="1"/>
          <w:i w:val="1"/>
          <w:iCs w:val="1"/>
          <w:color w:val="auto"/>
        </w:rPr>
        <w:t>EXECUTIVE IS WAIVING EXECUTIVE’S RIGHT TO A JURY TRIAL</w:t>
      </w:r>
      <w:r>
        <w:rPr>
          <w:rFonts w:ascii="Times New Roman" w:cs="Times New Roman" w:eastAsia="Times New Roman" w:hAnsi="Times New Roman"/>
          <w:sz w:val="22"/>
          <w:szCs w:val="22"/>
          <w:color w:val="auto"/>
        </w:rPr>
        <w:t>. EXECUTIVE AGREES THAT EXECUTIVE HAS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BEEN PROVIDED AN OPPORTUNITY TO SEEK THE ADVICE OF AN ATTORNEY OF EXECUTIVE’S CHOICE BEFORE SIGNING THIS AGREEMENT. THIS ARBITRATION AGREEMENT IS TO BE ENFORCED TO THE MAXIMUM EXTENT PERMITTED BY APPLICABLE LAW. ACCORDINGLY, EXECUTIVE AGREES THAT IF A COURT OR OTHER BODY OF COMPETENT JURISDICTION FINDS THAT ANY PROVISION OR PORTION OF THIS ARBITRATION AGREEMENT IS INVALID OR UNENFORCEABLE, SUCH PROVISION OR PORTION, AS APPLICABLE, SHALL BE ENFORCED TO THE MAXIMUM EXTENT PERMISSIBLE BY APPLICABLE LAW OR, IF NECESSARY, SEVERED, AND THE REMAINDER OF THE ARBITRATION AGREEMENT WILL CONTINUE WITH FULL FORCE AND EFFECT.</w:t>
      </w:r>
    </w:p>
    <w:p>
      <w:pPr>
        <w:spacing w:after="0" w:line="17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18.</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All captions and section headings used in this Agreement are for convenient reference only and do not form a part of this Agreement.</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19.</w:t>
      </w:r>
      <w:r>
        <w:rPr>
          <w:rFonts w:ascii="Times New Roman" w:cs="Times New Roman" w:eastAsia="Times New Roman" w:hAnsi="Times New Roman"/>
          <w:sz w:val="21"/>
          <w:szCs w:val="21"/>
          <w:u w:val="single" w:color="auto"/>
          <w:color w:val="auto"/>
        </w:rPr>
        <w:t>Tax Withholding</w:t>
      </w:r>
      <w:r>
        <w:rPr>
          <w:rFonts w:ascii="Times New Roman" w:cs="Times New Roman" w:eastAsia="Times New Roman" w:hAnsi="Times New Roman"/>
          <w:sz w:val="21"/>
          <w:szCs w:val="21"/>
          <w:color w:val="auto"/>
        </w:rPr>
        <w:t>. All payments made pursuant to this Agreement will be subject to withholding of applicable taxes.</w:t>
      </w:r>
    </w:p>
    <w:p>
      <w:pPr>
        <w:spacing w:after="0" w:line="218"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20.</w:t>
      </w:r>
      <w:r>
        <w:rPr>
          <w:rFonts w:ascii="Times New Roman" w:cs="Times New Roman" w:eastAsia="Times New Roman" w:hAnsi="Times New Roman"/>
          <w:sz w:val="22"/>
          <w:szCs w:val="22"/>
          <w:u w:val="single" w:color="auto"/>
          <w:color w:val="auto"/>
        </w:rPr>
        <w:t>Governing Law; Venue</w:t>
      </w:r>
      <w:r>
        <w:rPr>
          <w:rFonts w:ascii="Times New Roman" w:cs="Times New Roman" w:eastAsia="Times New Roman" w:hAnsi="Times New Roman"/>
          <w:sz w:val="22"/>
          <w:szCs w:val="22"/>
          <w:color w:val="auto"/>
        </w:rPr>
        <w:t>. This Agreement will be governed by the laws of the State of California (with the exception of its conflict of laws provisions that would otherwise apply the laws of another jurisdiction).</w:t>
      </w:r>
    </w:p>
    <w:p>
      <w:pPr>
        <w:spacing w:after="0" w:line="347"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8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21.</w:t>
      </w:r>
      <w:r>
        <w:rPr>
          <w:rFonts w:ascii="Times New Roman" w:cs="Times New Roman" w:eastAsia="Times New Roman" w:hAnsi="Times New Roman"/>
          <w:sz w:val="22"/>
          <w:szCs w:val="22"/>
          <w:u w:val="single" w:color="auto"/>
          <w:color w:val="auto"/>
        </w:rPr>
        <w:t>Acknowledgment</w:t>
      </w:r>
      <w:r>
        <w:rPr>
          <w:rFonts w:ascii="Times New Roman" w:cs="Times New Roman" w:eastAsia="Times New Roman" w:hAnsi="Times New Roman"/>
          <w:sz w:val="22"/>
          <w:szCs w:val="22"/>
          <w:color w:val="auto"/>
        </w:rPr>
        <w:t>. Executive acknowledges that Executive has had the opportunity to discuss this matter with and obtain advice from Executive’s private attorney, has had sufficient time to, and has carefully read and fully understands all the provisions of this Agreement.</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22.</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counterparts, and each counterpart will have the same force and effect as an original and will constitute an effective, binding agreement on the part of each of the undersigned.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[Remainder of Page Intentionally Left Blank]</w:t>
      </w:r>
    </w:p>
    <w:p>
      <w:pPr>
        <w:spacing w:after="0" w:line="200" w:lineRule="exact"/>
        <w:rPr>
          <w:sz w:val="20"/>
          <w:szCs w:val="20"/>
          <w:color w:val="auto"/>
        </w:rPr>
      </w:pPr>
    </w:p>
    <w:p>
      <w:pPr>
        <w:spacing w:after="0" w:line="201"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8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IN WITNESS WHEREOF, each of the Parties has executed this Agreement, in the case of the Company by their duly authorized officers, as of the day and year first above written.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SARCOS CORP.</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Benjamin Wolff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168783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4">
                      <a:extLst>
                        <a:ext uri="{28A0092B-C50C-407E-A947-70E740481C1C}"/>
                      </a:extLst>
                    </a:blip>
                    <a:srcRect/>
                    <a:stretch>
                      <a:fillRect/>
                    </a:stretch>
                  </pic:blipFill>
                  <pic:spPr bwMode="auto">
                    <a:xfrm>
                      <a:off x="0" y="0"/>
                      <a:ext cx="168783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Benjamin Wolff</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SARCOS TECHNOLOGY AND ROBOTICS CORPORATION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Benjamin Wolff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168783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5">
                      <a:extLst>
                        <a:ext uri="{28A0092B-C50C-407E-A947-70E740481C1C}"/>
                      </a:extLst>
                    </a:blip>
                    <a:srcRect/>
                    <a:stretch>
                      <a:fillRect/>
                    </a:stretch>
                  </pic:blipFill>
                  <pic:spPr bwMode="auto">
                    <a:xfrm>
                      <a:off x="0" y="0"/>
                      <a:ext cx="168783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Benjamin Wolff</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EXECUTIVE: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Kristi Martindale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219456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6">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Kristi Martindale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Benjamin G. Wolff, certify that:</w:t>
      </w:r>
    </w:p>
    <w:p>
      <w:pPr>
        <w:spacing w:after="0" w:line="225" w:lineRule="exact"/>
        <w:rPr>
          <w:sz w:val="20"/>
          <w:szCs w:val="20"/>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Palladyne AI Corp.;</w:t>
      </w:r>
    </w:p>
    <w:p>
      <w:pPr>
        <w:spacing w:after="0" w:line="225"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hanging="479"/>
        <w:spacing w:after="0" w:line="282" w:lineRule="auto"/>
        <w:tabs>
          <w:tab w:leader="none" w:pos="895"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hanging="479"/>
        <w:spacing w:after="0" w:line="282" w:lineRule="auto"/>
        <w:tabs>
          <w:tab w:leader="none" w:pos="895"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80" w:val="left"/>
        </w:tabs>
        <w:rPr>
          <w:sz w:val="20"/>
          <w:szCs w:val="20"/>
          <w:color w:val="auto"/>
        </w:rPr>
      </w:pPr>
      <w:r>
        <w:rPr>
          <w:rFonts w:ascii="Times New Roman" w:cs="Times New Roman" w:eastAsia="Times New Roman" w:hAnsi="Times New Roman"/>
          <w:sz w:val="18"/>
          <w:szCs w:val="18"/>
          <w:color w:val="auto"/>
        </w:rPr>
        <w:t>Date: May 7, 2025</w:t>
      </w:r>
      <w:r>
        <w:rPr>
          <w:sz w:val="20"/>
          <w:szCs w:val="20"/>
          <w:color w:val="auto"/>
        </w:rPr>
        <w:tab/>
      </w:r>
      <w:r>
        <w:rPr>
          <w:rFonts w:ascii="Times New Roman" w:cs="Times New Roman" w:eastAsia="Times New Roman" w:hAnsi="Times New Roman"/>
          <w:sz w:val="18"/>
          <w:szCs w:val="18"/>
          <w:color w:val="auto"/>
        </w:rPr>
        <w:t>By: /s/ Benjamin G. Wolff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8">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Benjamin G. Wolff</w:t>
      </w:r>
    </w:p>
    <w:p>
      <w:pPr>
        <w:spacing w:after="0" w:line="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Trevor Thatcher, certify that:</w:t>
      </w:r>
    </w:p>
    <w:p>
      <w:pPr>
        <w:spacing w:after="0" w:line="225" w:lineRule="exact"/>
        <w:rPr>
          <w:sz w:val="20"/>
          <w:szCs w:val="20"/>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Palladyne AI Corp.;</w:t>
      </w:r>
    </w:p>
    <w:p>
      <w:pPr>
        <w:spacing w:after="0" w:line="225"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hanging="479"/>
        <w:spacing w:after="0" w:line="282" w:lineRule="auto"/>
        <w:tabs>
          <w:tab w:leader="none" w:pos="895"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hanging="479"/>
        <w:spacing w:after="0" w:line="282" w:lineRule="auto"/>
        <w:tabs>
          <w:tab w:leader="none" w:pos="895"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80" w:val="left"/>
        </w:tabs>
        <w:rPr>
          <w:sz w:val="20"/>
          <w:szCs w:val="20"/>
          <w:color w:val="auto"/>
        </w:rPr>
      </w:pPr>
      <w:r>
        <w:rPr>
          <w:rFonts w:ascii="Times New Roman" w:cs="Times New Roman" w:eastAsia="Times New Roman" w:hAnsi="Times New Roman"/>
          <w:sz w:val="18"/>
          <w:szCs w:val="18"/>
          <w:color w:val="auto"/>
        </w:rPr>
        <w:t>Date: May 7, 2025</w:t>
      </w:r>
      <w:r>
        <w:rPr>
          <w:sz w:val="20"/>
          <w:szCs w:val="20"/>
          <w:color w:val="auto"/>
        </w:rPr>
        <w:tab/>
      </w:r>
      <w:r>
        <w:rPr>
          <w:rFonts w:ascii="Times New Roman" w:cs="Times New Roman" w:eastAsia="Times New Roman" w:hAnsi="Times New Roman"/>
          <w:sz w:val="18"/>
          <w:szCs w:val="18"/>
          <w:color w:val="auto"/>
        </w:rPr>
        <w:t>By: /s/ Trevor Thatcher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0">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Trevor Thatcher</w:t>
      </w:r>
    </w:p>
    <w:p>
      <w:pPr>
        <w:spacing w:after="0" w:line="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Palladyne AI Corp. (the “Company”) on Form 10-Q for the period ending March 31, 2025 as filed with the Securities and Exchange Commission on the date hereof (the “Report”), I certify, pursuant to 18 U.S.C. § 1350, as adopted pursuant to § 906 of the Sarbanes-Oxley Act of 2002, that, to my knowledge:</w:t>
      </w:r>
    </w:p>
    <w:p>
      <w:pPr>
        <w:spacing w:after="0" w:line="176" w:lineRule="exact"/>
        <w:rPr>
          <w:sz w:val="20"/>
          <w:szCs w:val="20"/>
          <w:color w:val="auto"/>
        </w:rPr>
      </w:pPr>
    </w:p>
    <w:p>
      <w:pPr>
        <w:ind w:left="900" w:hanging="359"/>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tabs>
          <w:tab w:leader="none" w:pos="5680" w:val="left"/>
        </w:tabs>
        <w:rPr>
          <w:sz w:val="20"/>
          <w:szCs w:val="20"/>
          <w:color w:val="auto"/>
        </w:rPr>
      </w:pPr>
      <w:r>
        <w:rPr>
          <w:rFonts w:ascii="Times New Roman" w:cs="Times New Roman" w:eastAsia="Times New Roman" w:hAnsi="Times New Roman"/>
          <w:sz w:val="18"/>
          <w:szCs w:val="18"/>
          <w:color w:val="auto"/>
        </w:rPr>
        <w:t>Date: May 7, 2025</w:t>
      </w:r>
      <w:r>
        <w:rPr>
          <w:sz w:val="20"/>
          <w:szCs w:val="20"/>
          <w:color w:val="auto"/>
        </w:rPr>
        <w:tab/>
      </w:r>
      <w:r>
        <w:rPr>
          <w:rFonts w:ascii="Times New Roman" w:cs="Times New Roman" w:eastAsia="Times New Roman" w:hAnsi="Times New Roman"/>
          <w:sz w:val="18"/>
          <w:szCs w:val="18"/>
          <w:color w:val="auto"/>
        </w:rPr>
        <w:t>By: /s/ Benjamin G. Wolff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Benjamin G. Wolff</w:t>
      </w:r>
    </w:p>
    <w:p>
      <w:pPr>
        <w:spacing w:after="0" w:line="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Palladyne AI Corp. (the “Company”) on Form 10-Q for the period ending March 31, 2025 as filed with the Securities and Exchange Commission on the date hereof (the “Report”), I certify, pursuant to 18 U.S.C. § 1350, as adopted pursuant to § 906 of the Sarbanes-Oxley Act of 2002, that, to my knowledge:</w:t>
      </w:r>
    </w:p>
    <w:p>
      <w:pPr>
        <w:spacing w:after="0" w:line="176" w:lineRule="exact"/>
        <w:rPr>
          <w:sz w:val="20"/>
          <w:szCs w:val="20"/>
          <w:color w:val="auto"/>
        </w:rPr>
      </w:pPr>
    </w:p>
    <w:p>
      <w:pPr>
        <w:ind w:left="900" w:hanging="359"/>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tabs>
          <w:tab w:leader="none" w:pos="5680" w:val="left"/>
        </w:tabs>
        <w:rPr>
          <w:sz w:val="20"/>
          <w:szCs w:val="20"/>
          <w:color w:val="auto"/>
        </w:rPr>
      </w:pPr>
      <w:r>
        <w:rPr>
          <w:rFonts w:ascii="Times New Roman" w:cs="Times New Roman" w:eastAsia="Times New Roman" w:hAnsi="Times New Roman"/>
          <w:sz w:val="18"/>
          <w:szCs w:val="18"/>
          <w:color w:val="auto"/>
        </w:rPr>
        <w:t>Date: May 7, 2025</w:t>
      </w:r>
      <w:r>
        <w:rPr>
          <w:sz w:val="20"/>
          <w:szCs w:val="20"/>
          <w:color w:val="auto"/>
        </w:rPr>
        <w:tab/>
      </w:r>
      <w:r>
        <w:rPr>
          <w:rFonts w:ascii="Times New Roman" w:cs="Times New Roman" w:eastAsia="Times New Roman" w:hAnsi="Times New Roman"/>
          <w:sz w:val="18"/>
          <w:szCs w:val="18"/>
          <w:color w:val="auto"/>
        </w:rPr>
        <w:t>By: /s/ Trevor Thatcher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Trevor Thatcher</w:t>
      </w:r>
    </w:p>
    <w:p>
      <w:pPr>
        <w:spacing w:after="0" w:line="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1" w:name="page82"/>
    <w:bookmarkEnd w:id="8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1."/>
      <w:numFmt w:val="decimal"/>
      <w:start w:val="1"/>
    </w:lvl>
  </w:abstractNum>
  <w:abstractNum w:abstractNumId="5">
    <w:nsid w:val="71F32454"/>
    <w:multiLevelType w:val="hybridMultilevel"/>
    <w:lvl w:ilvl="0">
      <w:lvlJc w:val="left"/>
      <w:lvlText w:val="(%1)"/>
      <w:numFmt w:val="decimal"/>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1."/>
      <w:numFmt w:val="decimal"/>
      <w:start w:val="7"/>
    </w:lvl>
  </w:abstractNum>
  <w:abstractNum w:abstractNumId="10">
    <w:nsid w:val="8138641"/>
    <w:multiLevelType w:val="hybridMultilevel"/>
    <w:lvl w:ilvl="0">
      <w:lvlJc w:val="left"/>
      <w:lvlText w:val="(%1)"/>
      <w:numFmt w:val="decimal"/>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1)"/>
      <w:numFmt w:val="lowerRoman"/>
      <w:start w:val="2"/>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lvl w:ilvl="1">
      <w:lvlJc w:val="left"/>
      <w:lvlText w:val="%2"/>
      <w:numFmt w:val="decimal"/>
      <w:start w:val="104"/>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1."/>
      <w:numFmt w:val="decimal"/>
      <w:start w:val="1"/>
    </w:lvl>
    <w:lvl w:ilvl="1">
      <w:lvlJc w:val="left"/>
      <w:lvlText w:val="(%2)"/>
      <w:numFmt w:val="lowerLetter"/>
      <w:start w:val="1"/>
    </w:lvl>
  </w:abstractNum>
  <w:abstractNum w:abstractNumId="24">
    <w:nsid w:val="77465F01"/>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25">
    <w:nsid w:val="7724C67E"/>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26">
    <w:nsid w:val="5C482A9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27">
    <w:nsid w:val="2463B9EA"/>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28">
    <w:nsid w:val="5E884ADC"/>
    <w:multiLevelType w:val="hybridMultilevel"/>
    <w:lvl w:ilvl="0">
      <w:lvlJc w:val="left"/>
      <w:lvlText w:val="(%1)"/>
      <w:numFmt w:val="lowerRoman"/>
      <w:start w:val="2"/>
    </w:lvl>
  </w:abstractNum>
  <w:abstractNum w:abstractNumId="29">
    <w:nsid w:val="51EAD36B"/>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30">
    <w:nsid w:val="2D517796"/>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31">
    <w:nsid w:val="580BD78F"/>
    <w:multiLevelType w:val="hybridMultilevel"/>
    <w:lvl w:ilvl="0">
      <w:lvlJc w:val="left"/>
      <w:lvlText w:val="%1"/>
      <w:numFmt w:val="lowerLetter"/>
      <w:start w:val="1"/>
    </w:lvl>
    <w:lvl w:ilvl="1">
      <w:lvlJc w:val="left"/>
      <w:lvlText w:val="(%2)"/>
      <w:numFmt w:val="lowerRoman"/>
      <w:start w:val="4"/>
    </w:lvl>
  </w:abstractNum>
  <w:abstractNum w:abstractNumId="32">
    <w:nsid w:val="153EA438"/>
    <w:multiLevelType w:val="hybridMultilevel"/>
    <w:lvl w:ilvl="0">
      <w:lvlJc w:val="left"/>
      <w:lvlText w:val="(%1)"/>
      <w:numFmt w:val="lowerLetter"/>
      <w:start w:val="3"/>
    </w:lvl>
    <w:lvl w:ilvl="1">
      <w:lvlJc w:val="left"/>
      <w:lvlText w:val="%2"/>
      <w:numFmt w:val="lowerRoman"/>
      <w:start w:val="1"/>
    </w:lvl>
  </w:abstractNum>
  <w:abstractNum w:abstractNumId="33">
    <w:nsid w:val="3855585C"/>
    <w:multiLevelType w:val="hybridMultilevel"/>
    <w:lvl w:ilvl="0">
      <w:lvlJc w:val="left"/>
      <w:lvlText w:val="%1"/>
      <w:numFmt w:val="decimal"/>
      <w:start w:val="1"/>
    </w:lvl>
    <w:lvl w:ilvl="1">
      <w:lvlJc w:val="left"/>
      <w:lvlText w:val="(%2)"/>
      <w:numFmt w:val="lowerLetter"/>
      <w:start w:val="7"/>
    </w:lvl>
    <w:lvl w:ilvl="2">
      <w:lvlJc w:val="left"/>
      <w:lvlText w:val="%3"/>
      <w:numFmt w:val="lowerLetter"/>
      <w:start w:val="1"/>
    </w:lvl>
  </w:abstractNum>
  <w:abstractNum w:abstractNumId="34">
    <w:nsid w:val="70A64E2A"/>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35">
    <w:nsid w:val="6A2342EC"/>
    <w:multiLevelType w:val="hybridMultilevel"/>
    <w:lvl w:ilvl="0">
      <w:lvlJc w:val="left"/>
      <w:lvlText w:val="(%1)"/>
      <w:numFmt w:val="lowerRoman"/>
      <w:start w:val="2"/>
    </w:lvl>
  </w:abstractNum>
  <w:abstractNum w:abstractNumId="36">
    <w:nsid w:val="2A487CB0"/>
    <w:multiLevelType w:val="hybridMultilevel"/>
    <w:lvl w:ilvl="0">
      <w:lvlJc w:val="left"/>
      <w:lvlText w:val="%1"/>
      <w:numFmt w:val="decimal"/>
      <w:start w:val="1"/>
    </w:lvl>
    <w:lvl w:ilvl="1">
      <w:lvlJc w:val="left"/>
      <w:lvlText w:val="(%2)"/>
      <w:numFmt w:val="lowerLetter"/>
      <w:start w:val="3"/>
    </w:lvl>
  </w:abstractNum>
  <w:abstractNum w:abstractNumId="37">
    <w:nsid w:val="1D4ED43B"/>
    <w:multiLevelType w:val="hybridMultilevel"/>
    <w:lvl w:ilvl="0">
      <w:lvlJc w:val="left"/>
      <w:lvlText w:val="%1."/>
      <w:numFmt w:val="decimal"/>
      <w:start w:val="8"/>
    </w:lvl>
    <w:lvl w:ilvl="1">
      <w:lvlJc w:val="left"/>
      <w:lvlText w:val="(%2)"/>
      <w:numFmt w:val="lowerLetter"/>
      <w:start w:val="1"/>
    </w:lvl>
  </w:abstractNum>
  <w:abstractNum w:abstractNumId="38">
    <w:nsid w:val="725A06FB"/>
    <w:multiLevelType w:val="hybridMultilevel"/>
    <w:lvl w:ilvl="0">
      <w:lvlJc w:val="left"/>
      <w:lvlText w:val="%1"/>
      <w:numFmt w:val="lowerRoman"/>
      <w:start w:val="1"/>
    </w:lvl>
    <w:lvl w:ilvl="1">
      <w:lvlJc w:val="left"/>
      <w:lvlText w:val="%2."/>
      <w:numFmt w:val="decimal"/>
      <w:start w:val="9"/>
    </w:lvl>
    <w:lvl w:ilvl="2">
      <w:lvlJc w:val="left"/>
      <w:lvlText w:val="(%3)"/>
      <w:numFmt w:val="lowerLetter"/>
      <w:start w:val="1"/>
    </w:lvl>
  </w:abstractNum>
  <w:abstractNum w:abstractNumId="39">
    <w:nsid w:val="2CD89A32"/>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4"/>
    </w:lvl>
  </w:abstractNum>
  <w:abstractNum w:abstractNumId="40">
    <w:nsid w:val="57E4CCAF"/>
    <w:multiLevelType w:val="hybridMultilevel"/>
    <w:lvl w:ilvl="0">
      <w:lvlJc w:val="left"/>
      <w:lvlText w:val="(%1)"/>
      <w:numFmt w:val="lowerLetter"/>
      <w:start w:val="8"/>
    </w:lvl>
  </w:abstractNum>
  <w:abstractNum w:abstractNumId="41">
    <w:nsid w:val="7A6D8D3C"/>
    <w:multiLevelType w:val="hybridMultilevel"/>
    <w:lvl w:ilvl="0">
      <w:lvlJc w:val="left"/>
      <w:lvlText w:val="(%1)"/>
      <w:numFmt w:val="lowerLetter"/>
      <w:start w:val="1"/>
    </w:lvl>
  </w:abstractNum>
  <w:abstractNum w:abstractNumId="42">
    <w:nsid w:val="4B588F54"/>
    <w:multiLevelType w:val="hybridMultilevel"/>
    <w:lvl w:ilvl="0">
      <w:lvlJc w:val="left"/>
      <w:lvlText w:val="(%1)"/>
      <w:numFmt w:val="lowerLetter"/>
      <w:start w:val="1"/>
    </w:lvl>
  </w:abstractNum>
  <w:abstractNum w:abstractNumId="43">
    <w:nsid w:val="542289EC"/>
    <w:multiLevelType w:val="hybridMultilevel"/>
    <w:lvl w:ilvl="0">
      <w:lvlJc w:val="left"/>
      <w:lvlText w:val="(%1)"/>
      <w:numFmt w:val="lowerLetter"/>
      <w:start w:val="2"/>
    </w:lvl>
  </w:abstractNum>
  <w:abstractNum w:abstractNumId="44">
    <w:nsid w:val="6DE91B18"/>
    <w:multiLevelType w:val="hybridMultilevel"/>
    <w:lvl w:ilvl="0">
      <w:lvlJc w:val="left"/>
      <w:lvlText w:val="(%1)"/>
      <w:numFmt w:val="lowerLetter"/>
      <w:start w:val="4"/>
    </w:lvl>
  </w:abstractNum>
  <w:abstractNum w:abstractNumId="45">
    <w:nsid w:val="38437FD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23" Type="http://schemas.openxmlformats.org/officeDocument/2006/relationships/image" Target="media/image212.png"/><Relationship Id="rId224" Type="http://schemas.openxmlformats.org/officeDocument/2006/relationships/image" Target="media/image213.png"/><Relationship Id="rId225" Type="http://schemas.openxmlformats.org/officeDocument/2006/relationships/image" Target="media/image214.png"/><Relationship Id="rId226" Type="http://schemas.openxmlformats.org/officeDocument/2006/relationships/image" Target="media/image215.png"/><Relationship Id="rId227" Type="http://schemas.openxmlformats.org/officeDocument/2006/relationships/image" Target="media/image216.png"/><Relationship Id="rId228" Type="http://schemas.openxmlformats.org/officeDocument/2006/relationships/image" Target="media/image217.png"/><Relationship Id="rId229" Type="http://schemas.openxmlformats.org/officeDocument/2006/relationships/image" Target="media/image218.png"/><Relationship Id="rId230" Type="http://schemas.openxmlformats.org/officeDocument/2006/relationships/image" Target="media/image219.png"/><Relationship Id="rId231" Type="http://schemas.openxmlformats.org/officeDocument/2006/relationships/image" Target="media/image220.png"/><Relationship Id="rId232" Type="http://schemas.openxmlformats.org/officeDocument/2006/relationships/image" Target="media/image221.png"/><Relationship Id="rId233" Type="http://schemas.openxmlformats.org/officeDocument/2006/relationships/image" Target="media/image222.png"/><Relationship Id="rId234" Type="http://schemas.openxmlformats.org/officeDocument/2006/relationships/image" Target="media/image223.png"/><Relationship Id="rId235" Type="http://schemas.openxmlformats.org/officeDocument/2006/relationships/image" Target="media/image224.png"/><Relationship Id="rId236" Type="http://schemas.openxmlformats.org/officeDocument/2006/relationships/image" Target="media/image225.png"/><Relationship Id="rId237" Type="http://schemas.openxmlformats.org/officeDocument/2006/relationships/image" Target="media/image226.png"/><Relationship Id="rId238" Type="http://schemas.openxmlformats.org/officeDocument/2006/relationships/image" Target="media/image227.png"/><Relationship Id="rId239" Type="http://schemas.openxmlformats.org/officeDocument/2006/relationships/image" Target="media/image228.png"/><Relationship Id="rId240" Type="http://schemas.openxmlformats.org/officeDocument/2006/relationships/image" Target="media/image229.png"/><Relationship Id="rId241" Type="http://schemas.openxmlformats.org/officeDocument/2006/relationships/image" Target="media/image230.png"/><Relationship Id="rId242" Type="http://schemas.openxmlformats.org/officeDocument/2006/relationships/image" Target="media/image231.png"/><Relationship Id="rId243" Type="http://schemas.openxmlformats.org/officeDocument/2006/relationships/image" Target="media/image232.png"/><Relationship Id="rId244" Type="http://schemas.openxmlformats.org/officeDocument/2006/relationships/image" Target="media/image233.png"/><Relationship Id="rId245" Type="http://schemas.openxmlformats.org/officeDocument/2006/relationships/image" Target="media/image234.png"/><Relationship Id="rId246" Type="http://schemas.openxmlformats.org/officeDocument/2006/relationships/image" Target="media/image235.png"/><Relationship Id="rId247" Type="http://schemas.openxmlformats.org/officeDocument/2006/relationships/image" Target="media/image236.png"/><Relationship Id="rId248" Type="http://schemas.openxmlformats.org/officeDocument/2006/relationships/image" Target="media/image237.png"/><Relationship Id="rId249" Type="http://schemas.openxmlformats.org/officeDocument/2006/relationships/image" Target="media/image238.png"/><Relationship Id="rId250" Type="http://schemas.openxmlformats.org/officeDocument/2006/relationships/image" Target="media/image239.png"/><Relationship Id="rId251" Type="http://schemas.openxmlformats.org/officeDocument/2006/relationships/image" Target="media/image240.png"/><Relationship Id="rId252" Type="http://schemas.openxmlformats.org/officeDocument/2006/relationships/image" Target="media/image241.png"/><Relationship Id="rId253" Type="http://schemas.openxmlformats.org/officeDocument/2006/relationships/image" Target="media/image242.png"/><Relationship Id="rId254" Type="http://schemas.openxmlformats.org/officeDocument/2006/relationships/image" Target="media/image243.png"/><Relationship Id="rId255" Type="http://schemas.openxmlformats.org/officeDocument/2006/relationships/image" Target="media/image244.png"/><Relationship Id="rId219" Type="http://schemas.openxmlformats.org/officeDocument/2006/relationships/hyperlink" Target="https://www.sec.gov/Archives/edgar/data/1826681/000156459021049662/strc-ex31_83.htm" TargetMode="External"/><Relationship Id="rId220" Type="http://schemas.openxmlformats.org/officeDocument/2006/relationships/hyperlink" Target="https://www.sec.gov/Archives/edgar/data/1826681/000095017023028943/strc-ex3_1.htm" TargetMode="External"/><Relationship Id="rId221" Type="http://schemas.openxmlformats.org/officeDocument/2006/relationships/hyperlink" Target="https://www.sec.gov/Archives/edgar/data/1826681/000095017024032876/strc-ex3_1.htm" TargetMode="External"/><Relationship Id="rId222" Type="http://schemas.openxmlformats.org/officeDocument/2006/relationships/hyperlink" Target="https://www.sec.gov/Archives/edgar/data/1826681/000095017024032876/strc-ex3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2025-05-07T15:43:23Z</dcterms:created>
  <dcterms:modified xsi:type="dcterms:W3CDTF">2025-05-07T15:43:23Z</dcterms:modified>
</cp:coreProperties>
</file>