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trc-20230930.htm"/>
      <w:bookmarkStart w:id="1" w:name="ksstrc202309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4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40"/>
        <w:jc w:val="center"/>
        <w:rPr/>
      </w:pPr>
      <w:r>
        <w:rPr/>
        <w:t> </w:t>
      </w:r>
    </w:p>
    <w:p>
      <w:pPr>
        <w:pStyle w:val="TextBody"/>
        <w:bidi w:val="0"/>
        <w:spacing w:before="9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 to 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001-39897</w:t>
      </w:r>
    </w:p>
    <w:p>
      <w:pPr>
        <w:pStyle w:val="TextBody"/>
        <w:pBdr>
          <w:bottom w:val="single" w:sz="4" w:space="1" w:color="000000"/>
        </w:pBdr>
        <w:bidi w:val="0"/>
        <w:spacing w:before="40" w:after="4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SARCOS TECHNOLOGY AND ROBOTICS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902" w:type="dxa"/>
        <w:jc w:val="left"/>
        <w:tblInd w:w="0" w:type="dxa"/>
        <w:tblLayout w:type="fixed"/>
        <w:tblCellMar>
          <w:top w:w="28" w:type="dxa"/>
          <w:left w:w="28" w:type="dxa"/>
          <w:bottom w:w="28" w:type="dxa"/>
          <w:right w:w="28" w:type="dxa"/>
        </w:tblCellMar>
      </w:tblPr>
      <w:tblGrid>
        <w:gridCol w:w="2656"/>
        <w:gridCol w:w="1246"/>
      </w:tblGrid>
      <w:tr>
        <w:trPr/>
        <w:tc>
          <w:tcPr>
            <w:tcW w:w="26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85-2838301</w:t>
            </w:r>
          </w:p>
        </w:tc>
      </w:tr>
      <w:tr>
        <w:trPr/>
        <w:tc>
          <w:tcPr>
            <w:tcW w:w="26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5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650 South 500 West, Suite 150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Salt Lake City, Utah</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84101</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(888) 927-7296</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b w:val="false"/>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vAlign w:val="center"/>
          </w:tcPr>
          <w:p>
            <w:pPr>
              <w:pStyle w:val="TableContents"/>
              <w:bidi w:val="0"/>
              <w:jc w:val="center"/>
              <w:rPr>
                <w:rFonts w:ascii="Times New Roman" w:hAnsi="Times New Roman"/>
                <w:b w:val="false"/>
                <w:color w:val="000000"/>
                <w:sz w:val="18"/>
              </w:rPr>
            </w:pPr>
            <w:r>
              <w:rPr>
                <w:rFonts w:ascii="Times New Roman" w:hAnsi="Times New Roman"/>
                <w:b w:val="false"/>
                <w:color w:val="000000"/>
                <w:sz w:val="18"/>
              </w:rPr>
              <w:t>Common Stock, $0.0001 par value per share</w:t>
            </w:r>
          </w:p>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Warrants to purchase Common Stock</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jc w:val="center"/>
              <w:rPr>
                <w:rFonts w:ascii="Times New Roman" w:hAnsi="Times New Roman"/>
                <w:b w:val="false"/>
                <w:color w:val="000000"/>
                <w:sz w:val="18"/>
              </w:rPr>
            </w:pPr>
            <w:r>
              <w:rPr>
                <w:rFonts w:ascii="Times New Roman" w:hAnsi="Times New Roman"/>
                <w:b w:val="false"/>
                <w:color w:val="000000"/>
                <w:sz w:val="18"/>
              </w:rPr>
              <w:t>STRC</w:t>
            </w:r>
          </w:p>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STRCW</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jc w:val="center"/>
              <w:rPr>
                <w:rFonts w:ascii="Times New Roman" w:hAnsi="Times New Roman"/>
                <w:b w:val="false"/>
                <w:color w:val="000000"/>
                <w:sz w:val="18"/>
              </w:rPr>
            </w:pPr>
            <w:r>
              <w:rPr>
                <w:rFonts w:ascii="Times New Roman" w:hAnsi="Times New Roman"/>
                <w:b w:val="false"/>
                <w:color w:val="000000"/>
                <w:sz w:val="18"/>
              </w:rPr>
              <w:t>The Nasdaq Global Market</w:t>
            </w:r>
          </w:p>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The Nasdaq Global Market</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spacing w:before="80" w:after="283"/>
        <w:jc w:val="left"/>
        <w:rPr>
          <w:rFonts w:ascii="Times New Roman" w:hAnsi="Times New Roman"/>
          <w:sz w:val="20"/>
        </w:rPr>
      </w:pPr>
      <w:r>
        <w:rPr>
          <w:rFonts w:ascii="Times New Roman" w:hAnsi="Times New Roman"/>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spacing w:before="80" w:after="283"/>
        <w:jc w:val="left"/>
        <w:rPr>
          <w:rFonts w:ascii="Times New Roman" w:hAnsi="Times New Roman"/>
          <w:b w:val="false"/>
          <w:color w:val="000000"/>
          <w:sz w:val="18"/>
        </w:rPr>
      </w:pPr>
      <w:r>
        <w:rPr>
          <w:rFonts w:ascii="Times New Roman" w:hAnsi="Times New Roman"/>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18"/>
        </w:rPr>
        <w:t>As of October 26, 2023, the registrant had 25.9</w:t>
      </w:r>
      <w:r>
        <w:rPr>
          <w:rFonts w:ascii="Times New Roman" w:hAnsi="Times New Roman"/>
          <w:color w:val="000000"/>
          <w:sz w:val="20"/>
        </w:rPr>
        <w:t xml:space="preserve"> </w:t>
      </w:r>
      <w:r>
        <w:rPr>
          <w:rFonts w:ascii="Times New Roman" w:hAnsi="Times New Roman"/>
          <w:b w:val="false"/>
          <w:color w:val="000000"/>
          <w:sz w:val="18"/>
        </w:rPr>
        <w:t>million shares of Common Stock, $0.0001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137"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val="false"/>
                  <w:color w:val="0000FF"/>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b w:val="false"/>
                  <w:color w:val="0000FF"/>
                  <w:sz w:val="20"/>
                  <w:u w:val="single"/>
                </w:rPr>
                <w:t>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b w:val="false"/>
                  <w:color w:val="0000FF"/>
                  <w:sz w:val="20"/>
                  <w:u w:val="single"/>
                </w:rPr>
                <w:t>Condensed Consolidated Balance Sheets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b w:val="false"/>
                  <w:color w:val="0000FF"/>
                  <w:sz w:val="20"/>
                  <w:u w:val="single"/>
                </w:rPr>
                <w:t>Condensed Consolidated Statements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f_oci">
              <w:r>
                <w:rPr>
                  <w:rStyle w:val="InternetLink"/>
                  <w:rFonts w:ascii="Times New Roman" w:hAnsi="Times New Roman"/>
                  <w:b w:val="false"/>
                  <w:color w:val="0000FF"/>
                  <w:sz w:val="20"/>
                  <w:u w:val="single"/>
                </w:rPr>
                <w:t>Condensed Consolidated Statements of Comprehensive Loss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stockholders">
              <w:r>
                <w:rPr>
                  <w:rStyle w:val="InternetLink"/>
                  <w:rFonts w:ascii="Times New Roman" w:hAnsi="Times New Roman"/>
                  <w:b w:val="false"/>
                  <w:color w:val="0000FF"/>
                  <w:sz w:val="20"/>
                  <w:u w:val="single"/>
                </w:rPr>
                <w:t>Condensed Consolidated Statements of Stockholders' Equity</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b w:val="false"/>
                  <w:color w:val="0000FF"/>
                  <w:sz w:val="20"/>
                  <w:u w:val="single"/>
                </w:rPr>
                <w:t>Condensed Consolidated Statements of Cash Flows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1_basis_of_presentation">
              <w:r>
                <w:rPr>
                  <w:rStyle w:val="InternetLink"/>
                  <w:rFonts w:ascii="Times New Roman" w:hAnsi="Times New Roman"/>
                  <w:b w:val="false"/>
                  <w:color w:val="0000FF"/>
                  <w:sz w:val="20"/>
                  <w:u w:val="single"/>
                </w:rPr>
                <w:t>Notes to Unaudited Condensed Consolidated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b w:val="false"/>
                  <w:color w:val="0000FF"/>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b w:val="false"/>
                  <w:color w:val="0000FF"/>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b w:val="false"/>
                  <w:color w:val="0000FF"/>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val="false"/>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b w:val="false"/>
                  <w:color w:val="0000FF"/>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
              <w:r>
                <w:rPr>
                  <w:rStyle w:val="InternetLink"/>
                  <w:rFonts w:ascii="Times New Roman" w:hAnsi="Times New Roman"/>
                  <w:b w:val="false"/>
                  <w:color w:val="0000FF"/>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b w:val="false"/>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r>
    </w:tbl>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All share and per share amounts, including the exercise or conversion price of any of our securities, as applicable, shown in this report have been adjusted to reflect the occurrence of a 1-for-6 reverse split of our common stock that occurred on July 5, 2023 (the “Reverse Stock Split”).</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Summary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business is subject to numerous risks and uncertainties, including those highlighted in Part II, Item 1A Risk Factors of this Report. The following is a summary of the principal risks we face:</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b w:val="false"/>
          <w:color w:val="000000"/>
          <w:sz w:val="20"/>
        </w:rPr>
      </w:pPr>
      <w:r>
        <w:rPr>
          <w:rFonts w:ascii="Times New Roman" w:hAnsi="Times New Roman"/>
          <w:b w:val="false"/>
          <w:color w:val="000000"/>
          <w:sz w:val="20"/>
        </w:rPr>
        <w:t>We are an early stage company with a history of losses, and expect to incur significant expenses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Due to our limited resources and access to capital, we must make decisions on the allocation of resources and have discontinued development and commercialization of certain products; these decisions may prove to be wrong and may adversely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operating and financial projections rely on management assumptions and analyses. If these assumptions or analyses prove to be incorrect, our actual operating results may be materially different from our forecasted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yet to achieve positive operating cash flow, and our ability to generate positive cash flow is uncertain.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no previous history or experience with commercializing software products and may not be able to do so efficiently or effectively.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Commercialization of our AI/ML software platform may be delayed beyond our current expectations and therefore initial availability to customers and receipt of anticipated revenue could be delayed.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revenue will be concentrated in our AI/ML software platform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With our AI/ML software platform still under development, customer trials and discussions may not result in binding subscriptions.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If our target markets do not continue to develop as we anticipate or if potential customers do not adopt our AI/ML software platform, our sales will not grow as quickly as expected, or at all, and our business, operating results and financial condition would be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fail to attract or retain customers at sufficient rates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do not have any history with our SaaS sales model.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Important assumptions about market demand, pricing, adoption rates and sales cycles for our AI/ML software platform may be inaccurate.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val="false"/>
          <w:color w:val="000000"/>
          <w:sz w:val="20"/>
        </w:rPr>
        <w:t>We operate in a competitive industry that is subject to rapid technological change, and we expect competition to increase.</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not be able to complete or enhance our AI/ML software platform through our research and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Real or perceived design flaws, errors, defects, glitches, bugs or malfunctions in our AI/ML software platform, failure of our AI/ML software platform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We may use "open source" software, which could negatively affect our ability to offer our AI/ML software platform and subject us to possible litigation.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business and prospects depend significantly on our ability to build our brand. We may not succeed in continuing to establish, maintain and strengthen our brand, and our brand and reputation could be harmed by negative publicity regarding us or our AI/ML software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Our management team has broad discretion in making strategic decisions to execute our growth plans, and our management’s decisions may not be successful in achieving our business objectives or may have unintended consequences that negatively impact our growth prospects.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If we fail to effectively manage our business, we may not be able to design, develop, market and commercialize our AI/ML software platform successfully.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be unable to adequately control the costs associated with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expect to incur substantial research and development costs and devote significant resources to developing and commercializing our AI/ML software platform, and we may never reach profitability and or achieve significant or any revenues.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business plans require a significant amount of capital. Our future capital needs may require us to sell additional equity or debt securities that may dilute our stockholders or introduce covenants that may restrict our operations or our ability to pay dividends.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recent initiatives to improve our cost structure, including significant workforce reductions, may not result in the anticipated savings, could result in total costs and expenses that are greater than expected and could disrupt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financial results may vary significantly from period to period due to fluctuations in our operating costs, product demand and other factors.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highly dependent on the services of our senior management and other key employees and, if we are unable to attract and retain a sufficient number of qualified employees, our ability to design and commercialize our AI/ML software platform, operate our business and compete could be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Our management as a group has limited experience in operating a publicly-traded company.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Adverse events or perceptions affecting the financial services industry could adversely affect our operating results, liquidity, financial condition and prospects.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or may be subject to risks associated with strategic alliances or acquisitions and may not be able to identify adequate strategic relationship opportunities, or form strategic relationships,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become subject to new or changing governmental regulations relating to the design, marketing, sale, distribution, servicing or use of our AI/ML software platform, and a failure to comply with such regulations could lead to withdrawal of our platform from the market, delay our projected revenue, increase costs or make our business unviable if we are unable to modify our software products to comply.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Issues in the development and use of artificial intelligence, combined with an uncertain regulatory environment, may result in reputational harm, liability or other adverse consequences to our business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success depends in part on our ability to obtain and maintain protection for the intellectual property relating to our software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not be able to protect our intellectual property rights in all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Common Stock may be delisted from The Nasdaq Global Market if we cannot satisfy Nasdaq’s continued listing requirements.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_financial_information"/>
      <w:bookmarkEnd w:id="2"/>
      <w:r>
        <w:rPr>
          <w:rFonts w:ascii="Times New Roman" w:hAnsi="Times New Roman"/>
          <w:b/>
          <w:color w:val="000000"/>
          <w:sz w:val="20"/>
        </w:rPr>
        <w:t>PART I—FINANCIAL</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SARCOS TECHNOLOGY AND ROBOTICS CORPORATION</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jc w:val="center"/>
        <w:rPr>
          <w:rFonts w:ascii="Times New Roman" w:hAnsi="Times New Roman"/>
          <w:sz w:val="20"/>
        </w:rPr>
      </w:pPr>
      <w:r>
        <w:rPr>
          <w:rFonts w:ascii="Times New Roman" w:hAnsi="Times New Roman"/>
          <w:b w:val="false"/>
          <w:color w:val="000000"/>
          <w:sz w:val="20"/>
        </w:rPr>
        <w:t>(</w:t>
      </w:r>
      <w:r>
        <w:rPr>
          <w:rFonts w:ascii="Times New Roman" w:hAnsi="Times New Roman"/>
          <w:b w:val="false"/>
          <w:i/>
          <w:color w:val="000000"/>
          <w:sz w:val="20"/>
        </w:rPr>
        <w:t>in thousands, except share data</w:t>
      </w:r>
      <w:r>
        <w:rPr>
          <w:rFonts w:ascii="Times New Roman" w:hAnsi="Times New Roman"/>
          <w:b w:val="false"/>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0"/>
        <w:gridCol w:w="146"/>
        <w:gridCol w:w="253"/>
        <w:gridCol w:w="935"/>
        <w:gridCol w:w="166"/>
        <w:gridCol w:w="146"/>
        <w:gridCol w:w="239"/>
        <w:gridCol w:w="918"/>
        <w:gridCol w:w="392"/>
      </w:tblGrid>
      <w:tr>
        <w:trPr/>
        <w:tc>
          <w:tcPr>
            <w:tcW w:w="7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01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8"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shd w:fill="FFFFFF" w:val="clear"/>
            <w:vAlign w:val="center"/>
          </w:tcPr>
          <w:p>
            <w:pPr>
              <w:pStyle w:val="TableContents"/>
              <w:bidi w:val="0"/>
              <w:spacing w:before="0" w:after="283"/>
              <w:jc w:val="center"/>
              <w:rPr/>
            </w:pPr>
            <w:r>
              <w:rPr/>
              <w:t> </w:t>
            </w:r>
          </w:p>
        </w:tc>
        <w:tc>
          <w:tcPr>
            <w:tcW w:w="392" w:type="dxa"/>
            <w:tcBorders/>
            <w:shd w:fill="FFFFFF" w:val="clear"/>
            <w:vAlign w:val="center"/>
          </w:tcPr>
          <w:p>
            <w:pPr>
              <w:pStyle w:val="TableContents"/>
              <w:bidi w:val="0"/>
              <w:spacing w:before="0" w:after="283"/>
              <w:jc w:val="center"/>
              <w:rPr/>
            </w:pPr>
            <w:r>
              <w:rPr/>
              <w:t> </w:t>
            </w:r>
          </w:p>
        </w:tc>
      </w:tr>
      <w:tr>
        <w:trPr/>
        <w:tc>
          <w:tcPr>
            <w:tcW w:w="7010"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18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7"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jc w:val="right"/>
              <w:rPr/>
            </w:pPr>
            <w:r>
              <w:rPr/>
              <w:t> </w:t>
            </w:r>
          </w:p>
        </w:tc>
      </w:tr>
      <w:tr>
        <w:trPr/>
        <w:tc>
          <w:tcPr>
            <w:tcW w:w="701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18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ind w:left="0" w:right="0" w:firstLine="200"/>
              <w:jc w:val="right"/>
              <w:rPr/>
            </w:pPr>
            <w:r>
              <w:rPr/>
              <w:t> </w:t>
            </w:r>
          </w:p>
        </w:tc>
      </w:tr>
      <w:tr>
        <w:trPr/>
        <w:tc>
          <w:tcPr>
            <w:tcW w:w="701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3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35,310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35,159</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701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Marketable securities</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19,811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79,337</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701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Accounts receivable</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1,866</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701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Unbilled receivables</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4,160</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701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Inventories, net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3,562</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701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5,015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current assets</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61,390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129,099</w:t>
            </w:r>
          </w:p>
        </w:tc>
        <w:tc>
          <w:tcPr>
            <w:tcW w:w="392" w:type="dxa"/>
            <w:tcBorders/>
            <w:shd w:fill="CFF0FC"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Property and equipment, net</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6,693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7,640</w:t>
            </w:r>
          </w:p>
        </w:tc>
        <w:tc>
          <w:tcPr>
            <w:tcW w:w="392" w:type="dxa"/>
            <w:tcBorders/>
            <w:shd w:fill="FFFFFF" w:val="clear"/>
            <w:vAlign w:val="center"/>
          </w:tcPr>
          <w:p>
            <w:pPr>
              <w:pStyle w:val="TableContents"/>
              <w:bidi w:val="0"/>
              <w:spacing w:before="0" w:after="283"/>
              <w:jc w:val="left"/>
              <w:rPr/>
            </w:pPr>
            <w:r>
              <w:rPr/>
              <w:t> </w:t>
            </w:r>
          </w:p>
        </w:tc>
      </w:tr>
      <w:tr>
        <w:trPr/>
        <w:tc>
          <w:tcPr>
            <w:tcW w:w="701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Intangible assets, net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16,660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19,116</w:t>
            </w:r>
          </w:p>
        </w:tc>
        <w:tc>
          <w:tcPr>
            <w:tcW w:w="392" w:type="dxa"/>
            <w:tcBorders/>
            <w:shd w:fill="CFF0FC"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lease assets</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10,394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11,283</w:t>
            </w:r>
          </w:p>
        </w:tc>
        <w:tc>
          <w:tcPr>
            <w:tcW w:w="392" w:type="dxa"/>
            <w:tcBorders/>
            <w:shd w:fill="FFFFFF" w:val="clear"/>
            <w:vAlign w:val="center"/>
          </w:tcPr>
          <w:p>
            <w:pPr>
              <w:pStyle w:val="TableContents"/>
              <w:bidi w:val="0"/>
              <w:spacing w:before="0" w:after="283"/>
              <w:jc w:val="left"/>
              <w:rPr/>
            </w:pPr>
            <w:r>
              <w:rPr/>
              <w:t> </w:t>
            </w:r>
          </w:p>
        </w:tc>
      </w:tr>
      <w:tr>
        <w:trPr/>
        <w:tc>
          <w:tcPr>
            <w:tcW w:w="701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non-current assets</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487</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assets</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95,583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167,625</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0"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18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7"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jc w:val="right"/>
              <w:rPr/>
            </w:pPr>
            <w:r>
              <w:rPr/>
              <w:t> </w:t>
            </w:r>
          </w:p>
        </w:tc>
      </w:tr>
      <w:tr>
        <w:trPr/>
        <w:tc>
          <w:tcPr>
            <w:tcW w:w="701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Current liabilities:</w:t>
            </w:r>
          </w:p>
        </w:tc>
        <w:tc>
          <w:tcPr>
            <w:tcW w:w="146" w:type="dxa"/>
            <w:tcBorders/>
            <w:shd w:fill="FFFFFF" w:val="clear"/>
            <w:vAlign w:val="center"/>
          </w:tcPr>
          <w:p>
            <w:pPr>
              <w:pStyle w:val="TableContents"/>
              <w:bidi w:val="0"/>
              <w:spacing w:before="0" w:after="283"/>
              <w:jc w:val="left"/>
              <w:rPr/>
            </w:pPr>
            <w:r>
              <w:rPr/>
              <w:t> </w:t>
            </w:r>
          </w:p>
        </w:tc>
        <w:tc>
          <w:tcPr>
            <w:tcW w:w="118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ind w:left="0" w:right="0" w:firstLine="200"/>
              <w:jc w:val="right"/>
              <w:rPr/>
            </w:pPr>
            <w:r>
              <w:rPr/>
              <w:t> </w:t>
            </w:r>
          </w:p>
        </w:tc>
      </w:tr>
      <w:tr>
        <w:trPr/>
        <w:tc>
          <w:tcPr>
            <w:tcW w:w="701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3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3,620</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701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Accrued liabilities</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6,025</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701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Current operating lease liabilities</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887</w:t>
            </w:r>
          </w:p>
        </w:tc>
        <w:tc>
          <w:tcPr>
            <w:tcW w:w="392" w:type="dxa"/>
            <w:tcBorders/>
            <w:shd w:fill="CFF0FC"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current liabilities</w:t>
            </w:r>
          </w:p>
        </w:tc>
        <w:tc>
          <w:tcPr>
            <w:tcW w:w="146" w:type="dxa"/>
            <w:tcBorders/>
            <w:shd w:fill="FFFFFF" w:val="clear"/>
            <w:vAlign w:val="center"/>
          </w:tcPr>
          <w:p>
            <w:pPr>
              <w:pStyle w:val="TableContents"/>
              <w:bidi w:val="0"/>
              <w:spacing w:before="0" w:after="283"/>
              <w:jc w:val="left"/>
              <w:rPr/>
            </w:pPr>
            <w:r>
              <w:rPr/>
              <w:t> </w:t>
            </w:r>
          </w:p>
        </w:tc>
        <w:tc>
          <w:tcPr>
            <w:tcW w:w="25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7,947</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1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10,532</w:t>
            </w:r>
          </w:p>
        </w:tc>
        <w:tc>
          <w:tcPr>
            <w:tcW w:w="392" w:type="dxa"/>
            <w:tcBorders>
              <w:top w:val="single" w:sz="4" w:space="0" w:color="000000"/>
            </w:tcBorders>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11,389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12,387</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701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23,175</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Commitments and contingencies (Note 11)</w:t>
            </w:r>
          </w:p>
        </w:tc>
        <w:tc>
          <w:tcPr>
            <w:tcW w:w="146" w:type="dxa"/>
            <w:tcBorders/>
            <w:shd w:fill="FFFFFF" w:val="clear"/>
            <w:vAlign w:val="center"/>
          </w:tcPr>
          <w:p>
            <w:pPr>
              <w:pStyle w:val="TableContents"/>
              <w:bidi w:val="0"/>
              <w:spacing w:before="0" w:after="283"/>
              <w:jc w:val="left"/>
              <w:rPr/>
            </w:pPr>
            <w:r>
              <w:rPr/>
              <w:t> </w:t>
            </w:r>
          </w:p>
        </w:tc>
        <w:tc>
          <w:tcPr>
            <w:tcW w:w="118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right"/>
              <w:rPr/>
            </w:pPr>
            <w:r>
              <w:rPr/>
              <w:t> </w:t>
            </w:r>
          </w:p>
        </w:tc>
      </w:tr>
      <w:tr>
        <w:trPr/>
        <w:tc>
          <w:tcPr>
            <w:tcW w:w="701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Stockholders’ equity:</w:t>
            </w:r>
          </w:p>
        </w:tc>
        <w:tc>
          <w:tcPr>
            <w:tcW w:w="146" w:type="dxa"/>
            <w:tcBorders/>
            <w:shd w:fill="CFF0FC" w:val="clear"/>
            <w:vAlign w:val="center"/>
          </w:tcPr>
          <w:p>
            <w:pPr>
              <w:pStyle w:val="TableContents"/>
              <w:bidi w:val="0"/>
              <w:spacing w:before="0" w:after="283"/>
              <w:jc w:val="left"/>
              <w:rPr/>
            </w:pPr>
            <w:r>
              <w:rPr/>
              <w:t> </w:t>
            </w:r>
          </w:p>
        </w:tc>
        <w:tc>
          <w:tcPr>
            <w:tcW w:w="118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7"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jc w:val="right"/>
              <w:rPr/>
            </w:pPr>
            <w:r>
              <w:rPr/>
              <w:t> </w:t>
            </w:r>
          </w:p>
        </w:tc>
      </w:tr>
      <w:tr>
        <w:trPr/>
        <w:tc>
          <w:tcPr>
            <w:tcW w:w="701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8"/>
              </w:rPr>
              <w:t>Common stock, $0.0001</w:t>
            </w:r>
            <w:r>
              <w:rPr>
                <w:rFonts w:ascii="Times New Roman" w:hAnsi="Times New Roman"/>
                <w:color w:val="000000"/>
                <w:sz w:val="20"/>
              </w:rPr>
              <w:t> </w:t>
            </w:r>
            <w:r>
              <w:rPr>
                <w:rFonts w:ascii="Times New Roman" w:hAnsi="Times New Roman"/>
                <w:b w:val="false"/>
                <w:color w:val="000000"/>
                <w:sz w:val="18"/>
              </w:rPr>
              <w:t>par value, 165,000,000</w:t>
            </w:r>
            <w:r>
              <w:rPr>
                <w:rFonts w:ascii="Times New Roman" w:hAnsi="Times New Roman"/>
                <w:color w:val="000000"/>
                <w:sz w:val="20"/>
              </w:rPr>
              <w:t> </w:t>
            </w:r>
            <w:r>
              <w:rPr>
                <w:rFonts w:ascii="Times New Roman" w:hAnsi="Times New Roman"/>
                <w:b w:val="false"/>
                <w:color w:val="000000"/>
                <w:sz w:val="18"/>
              </w:rPr>
              <w:t>shares authorized as of September 30, 2023, and December 31, 2022; 25,850,832</w:t>
            </w:r>
            <w:r>
              <w:rPr>
                <w:rFonts w:ascii="Times New Roman" w:hAnsi="Times New Roman"/>
                <w:color w:val="000000"/>
                <w:sz w:val="20"/>
              </w:rPr>
              <w:t> </w:t>
            </w:r>
            <w:r>
              <w:rPr>
                <w:rFonts w:ascii="Times New Roman" w:hAnsi="Times New Roman"/>
                <w:b w:val="false"/>
                <w:color w:val="000000"/>
                <w:sz w:val="18"/>
              </w:rPr>
              <w:t>and 25,708,519</w:t>
            </w:r>
            <w:r>
              <w:rPr>
                <w:rFonts w:ascii="Times New Roman" w:hAnsi="Times New Roman"/>
                <w:color w:val="000000"/>
                <w:sz w:val="20"/>
              </w:rPr>
              <w:t> </w:t>
            </w:r>
            <w:r>
              <w:rPr>
                <w:rFonts w:ascii="Times New Roman" w:hAnsi="Times New Roman"/>
                <w:b w:val="false"/>
                <w:color w:val="000000"/>
                <w:sz w:val="18"/>
              </w:rPr>
              <w:t>shares issued and outstanding as of September 30,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392" w:type="dxa"/>
            <w:tcBorders/>
            <w:shd w:fill="FFFFFF" w:val="clear"/>
            <w:vAlign w:val="center"/>
          </w:tcPr>
          <w:p>
            <w:pPr>
              <w:pStyle w:val="TableContents"/>
              <w:bidi w:val="0"/>
              <w:spacing w:before="0" w:after="283"/>
              <w:jc w:val="left"/>
              <w:rPr/>
            </w:pPr>
            <w:r>
              <w:rPr/>
              <w:t> </w:t>
            </w:r>
          </w:p>
        </w:tc>
      </w:tr>
      <w:tr>
        <w:trPr/>
        <w:tc>
          <w:tcPr>
            <w:tcW w:w="701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Additional paid-in capital</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457,888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447,085</w:t>
            </w:r>
          </w:p>
        </w:tc>
        <w:tc>
          <w:tcPr>
            <w:tcW w:w="392" w:type="dxa"/>
            <w:tcBorders/>
            <w:shd w:fill="CFF0FC"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Accumulated other comprehensive income (loss)</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w:t>
            </w:r>
          </w:p>
        </w:tc>
        <w:tc>
          <w:tcPr>
            <w:tcW w:w="39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701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Accumulated deficit</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(381,738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(302,621</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701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stockholders’ equity</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144,450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95,583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167,625</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See accompanying notes to the condensed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SARCOS TECHNOLOGY AND ROBOTICS CORPORATION</w:t>
      </w:r>
    </w:p>
    <w:p>
      <w:pPr>
        <w:pStyle w:val="TextBody"/>
        <w:bidi w:val="0"/>
        <w:jc w:val="center"/>
        <w:rPr>
          <w:rFonts w:ascii="Times New Roman" w:hAnsi="Times New Roman"/>
          <w:sz w:val="20"/>
        </w:rPr>
      </w:pPr>
      <w:bookmarkStart w:id="5" w:name="consolidated_statements_of_operations"/>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val="false"/>
          <w:color w:val="000000"/>
          <w:sz w:val="20"/>
        </w:rPr>
        <w:t>(</w:t>
      </w:r>
      <w:r>
        <w:rPr>
          <w:rFonts w:ascii="Times New Roman" w:hAnsi="Times New Roman"/>
          <w:b w:val="false"/>
          <w:i/>
          <w:color w:val="000000"/>
          <w:sz w:val="20"/>
        </w:rPr>
        <w:t>in thousands, except share and per share data</w:t>
      </w:r>
      <w:r>
        <w:rPr>
          <w:rFonts w:ascii="Times New Roman" w:hAnsi="Times New Roman"/>
          <w:b w:val="false"/>
          <w:color w:val="000000"/>
          <w:sz w:val="20"/>
        </w:rPr>
        <w:t>)</w:t>
      </w:r>
    </w:p>
    <w:p>
      <w:pPr>
        <w:pStyle w:val="TextBody"/>
        <w:bidi w:val="0"/>
        <w:jc w:val="left"/>
        <w:rPr>
          <w:color w:val="000000"/>
        </w:rPr>
      </w:pPr>
      <w:r>
        <w:rPr>
          <w:color w:val="000000"/>
        </w:rPr>
        <w:t>​</w:t>
      </w:r>
    </w:p>
    <w:tbl>
      <w:tblPr>
        <w:tblW w:w="10205" w:type="dxa"/>
        <w:jc w:val="left"/>
        <w:tblInd w:w="0" w:type="dxa"/>
        <w:tblLayout w:type="fixed"/>
        <w:tblCellMar>
          <w:top w:w="28" w:type="dxa"/>
          <w:left w:w="28" w:type="dxa"/>
          <w:bottom w:w="28" w:type="dxa"/>
          <w:right w:w="28" w:type="dxa"/>
        </w:tblCellMar>
      </w:tblPr>
      <w:tblGrid>
        <w:gridCol w:w="3651"/>
        <w:gridCol w:w="146"/>
        <w:gridCol w:w="214"/>
        <w:gridCol w:w="1006"/>
        <w:gridCol w:w="181"/>
        <w:gridCol w:w="159"/>
        <w:gridCol w:w="214"/>
        <w:gridCol w:w="1006"/>
        <w:gridCol w:w="166"/>
        <w:gridCol w:w="146"/>
        <w:gridCol w:w="209"/>
        <w:gridCol w:w="983"/>
        <w:gridCol w:w="177"/>
        <w:gridCol w:w="156"/>
        <w:gridCol w:w="209"/>
        <w:gridCol w:w="983"/>
        <w:gridCol w:w="599"/>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center"/>
              <w:rPr>
                <w:rFonts w:cs="Times New Roman"/>
                <w:bCs/>
                <w:color w:val="000000"/>
                <w:szCs w:val="18"/>
              </w:rPr>
            </w:pPr>
            <w:r>
              <w:rPr>
                <w:rFonts w:cs="Times New Roman"/>
                <w:bCs/>
                <w:color w:val="000000"/>
                <w:szCs w:val="18"/>
              </w:rPr>
              <w:t>﻿</w:t>
            </w:r>
          </w:p>
        </w:tc>
        <w:tc>
          <w:tcPr>
            <w:tcW w:w="146" w:type="dxa"/>
            <w:tcBorders/>
            <w:shd w:fill="FFFFFF" w:val="clear"/>
            <w:vAlign w:val="center"/>
          </w:tcPr>
          <w:p>
            <w:pPr>
              <w:pStyle w:val="TableContents"/>
              <w:bidi w:val="0"/>
              <w:spacing w:before="0" w:after="283"/>
              <w:jc w:val="center"/>
              <w:rPr/>
            </w:pPr>
            <w:r>
              <w:rPr/>
              <w:t> </w:t>
            </w:r>
          </w:p>
        </w:tc>
        <w:tc>
          <w:tcPr>
            <w:tcW w:w="27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color w:val="000000"/>
              </w:rPr>
            </w:pPr>
            <w:r>
              <w:rPr>
                <w:color w:val="000000"/>
              </w:rPr>
              <w:t>​</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center"/>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center"/>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Revenue, net</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1,827</w:t>
            </w:r>
          </w:p>
        </w:tc>
        <w:tc>
          <w:tcPr>
            <w:tcW w:w="18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8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5,400</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8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8,448</w:t>
            </w:r>
          </w:p>
        </w:tc>
        <w:tc>
          <w:tcPr>
            <w:tcW w:w="599"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expenses:​</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220" w:type="dxa"/>
            <w:gridSpan w:val="2"/>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2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92" w:type="dxa"/>
            <w:gridSpan w:val="2"/>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1192" w:type="dxa"/>
            <w:gridSpan w:val="2"/>
            <w:tcBorders/>
            <w:shd w:fill="FFFFFF" w:val="clear"/>
            <w:vAlign w:val="center"/>
          </w:tcPr>
          <w:p>
            <w:pPr>
              <w:pStyle w:val="TableContents"/>
              <w:bidi w:val="0"/>
              <w:spacing w:before="0" w:after="283"/>
              <w:jc w:val="right"/>
              <w:rPr/>
            </w:pPr>
            <w:r>
              <w:rPr/>
              <w:t> </w:t>
            </w:r>
          </w:p>
        </w:tc>
        <w:tc>
          <w:tcPr>
            <w:tcW w:w="599" w:type="dxa"/>
            <w:tcBorders/>
            <w:shd w:fill="FFFFFF" w:val="clear"/>
            <w:vAlign w:val="center"/>
          </w:tcPr>
          <w:p>
            <w:pPr>
              <w:pStyle w:val="TableContents"/>
              <w:bidi w:val="0"/>
              <w:spacing w:before="0" w:after="283"/>
              <w:ind w:left="0" w:right="0" w:firstLine="200"/>
              <w:jc w:val="righ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Cost of revenue (exclusive of items shown separately below)</w:t>
            </w:r>
          </w:p>
        </w:tc>
        <w:tc>
          <w:tcPr>
            <w:tcW w:w="146" w:type="dxa"/>
            <w:tcBorders/>
            <w:shd w:fill="CFF0FC" w:val="clear"/>
            <w:vAlign w:val="center"/>
          </w:tcPr>
          <w:p>
            <w:pPr>
              <w:pStyle w:val="TableContents"/>
              <w:bidi w:val="0"/>
              <w:spacing w:before="0" w:after="283"/>
              <w:jc w:val="right"/>
              <w:rPr>
                <w:rFonts w:cs="Times New Roman"/>
                <w:bCs w:val="false"/>
                <w:color w:val="000000"/>
                <w:szCs w:val="18"/>
              </w:rPr>
            </w:pPr>
            <w:r>
              <w:rPr>
                <w:rFonts w:cs="Times New Roman"/>
                <w:bCs w:val="false"/>
                <w:color w:val="000000"/>
                <w:szCs w:val="18"/>
              </w:rPr>
              <w:t>﻿</w:t>
            </w:r>
          </w:p>
        </w:tc>
        <w:tc>
          <w:tcPr>
            <w:tcW w:w="214"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1,222</w:t>
            </w:r>
          </w:p>
        </w:tc>
        <w:tc>
          <w:tcPr>
            <w:tcW w:w="18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3,951</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7,212</w:t>
            </w:r>
          </w:p>
        </w:tc>
        <w:tc>
          <w:tcPr>
            <w:tcW w:w="599" w:type="dxa"/>
            <w:tcBorders/>
            <w:shd w:fill="CFF0FC"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Research and development</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10,011</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31,120</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23,947</w:t>
            </w:r>
          </w:p>
        </w:tc>
        <w:tc>
          <w:tcPr>
            <w:tcW w:w="599" w:type="dxa"/>
            <w:tcBorders/>
            <w:shd w:fill="FFFFFF" w:val="cle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General and administrative</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7,557</w:t>
            </w:r>
          </w:p>
        </w:tc>
        <w:tc>
          <w:tcPr>
            <w:tcW w:w="18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14,646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25,544</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50,584</w:t>
            </w:r>
          </w:p>
        </w:tc>
        <w:tc>
          <w:tcPr>
            <w:tcW w:w="599" w:type="dxa"/>
            <w:tcBorders/>
            <w:shd w:fill="CFF0FC"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Sales and marketing</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1,750</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9,901</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7,202</w:t>
            </w:r>
          </w:p>
        </w:tc>
        <w:tc>
          <w:tcPr>
            <w:tcW w:w="599" w:type="dxa"/>
            <w:tcBorders/>
            <w:shd w:fill="FFFFFF" w:val="cle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Intangible amortization expense</w:t>
            </w:r>
          </w:p>
        </w:tc>
        <w:tc>
          <w:tcPr>
            <w:tcW w:w="146" w:type="dxa"/>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819</w:t>
            </w:r>
          </w:p>
        </w:tc>
        <w:tc>
          <w:tcPr>
            <w:tcW w:w="18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2,457</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1,365</w:t>
            </w:r>
          </w:p>
        </w:tc>
        <w:tc>
          <w:tcPr>
            <w:tcW w:w="599" w:type="dxa"/>
            <w:tcBorders/>
            <w:shd w:fill="CFF0FC"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Asset write-down and restructuring</w:t>
            </w:r>
          </w:p>
        </w:tc>
        <w:tc>
          <w:tcPr>
            <w:tcW w:w="146" w:type="dxa"/>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11,222</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16,328</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color w:val="000000"/>
              </w:rPr>
            </w:pPr>
            <w:r>
              <w:rPr>
                <w:color w:val="000000"/>
              </w:rPr>
              <w:t>—</w:t>
            </w:r>
          </w:p>
        </w:tc>
        <w:tc>
          <w:tcPr>
            <w:tcW w:w="599" w:type="dxa"/>
            <w:tcBorders/>
            <w:shd w:fill="FFFFFF" w:val="clear"/>
            <w:vAlign w:val="center"/>
          </w:tcPr>
          <w:p>
            <w:pPr>
              <w:pStyle w:val="TableContents"/>
              <w:bidi w:val="0"/>
              <w:spacing w:before="0" w:after="283"/>
              <w:ind w:left="0" w:right="0" w:firstLine="400"/>
              <w:jc w:val="left"/>
              <w:rPr/>
            </w:pPr>
            <w:r>
              <w:rPr/>
              <w:t> </w:t>
            </w:r>
          </w:p>
        </w:tc>
      </w:tr>
      <w:tr>
        <w:trPr/>
        <w:tc>
          <w:tcPr>
            <w:tcW w:w="365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Total operating expenses</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32,581</w:t>
            </w:r>
          </w:p>
        </w:tc>
        <w:tc>
          <w:tcPr>
            <w:tcW w:w="18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1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31,917</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8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89,301</w:t>
            </w:r>
          </w:p>
        </w:tc>
        <w:tc>
          <w:tcPr>
            <w:tcW w:w="177"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0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8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90,310</w:t>
            </w:r>
          </w:p>
        </w:tc>
        <w:tc>
          <w:tcPr>
            <w:tcW w:w="599"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Loss from operations</w:t>
            </w:r>
          </w:p>
        </w:tc>
        <w:tc>
          <w:tcPr>
            <w:tcW w:w="146" w:type="dxa"/>
            <w:tcBorders/>
            <w:shd w:fill="FFFFFF" w:val="clear"/>
            <w:vAlign w:val="center"/>
          </w:tcPr>
          <w:p>
            <w:pPr>
              <w:pStyle w:val="TableContents"/>
              <w:bidi w:val="0"/>
              <w:spacing w:before="0" w:after="283"/>
              <w:jc w:val="right"/>
              <w:rPr>
                <w:rFonts w:cs="Times New Roman"/>
                <w:bCs w:val="false"/>
                <w:color w:val="000000"/>
                <w:szCs w:val="18"/>
              </w:rPr>
            </w:pPr>
            <w:r>
              <w:rPr>
                <w:rFonts w:cs="Times New Roman"/>
                <w:bCs w:val="false"/>
                <w:color w:val="000000"/>
                <w:szCs w:val="18"/>
              </w:rPr>
              <w:t>﻿</w:t>
            </w:r>
          </w:p>
        </w:tc>
        <w:tc>
          <w:tcPr>
            <w:tcW w:w="21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(30,754</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(27,250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(83,901</w:t>
            </w:r>
          </w:p>
        </w:tc>
        <w:tc>
          <w:tcPr>
            <w:tcW w:w="17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(81,862</w:t>
            </w:r>
          </w:p>
        </w:tc>
        <w:tc>
          <w:tcPr>
            <w:tcW w:w="59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Interest income, net</w:t>
            </w:r>
          </w:p>
        </w:tc>
        <w:tc>
          <w:tcPr>
            <w:tcW w:w="146" w:type="dxa"/>
            <w:tcBorders/>
            <w:shd w:fill="CFF0FC" w:val="clear"/>
            <w:vAlign w:val="center"/>
          </w:tcPr>
          <w:p>
            <w:pPr>
              <w:pStyle w:val="TableContents"/>
              <w:bidi w:val="0"/>
              <w:spacing w:before="0" w:after="283"/>
              <w:jc w:val="right"/>
              <w:rPr>
                <w:rFonts w:cs="Times New Roman"/>
                <w:bCs w:val="false"/>
                <w:color w:val="000000"/>
                <w:szCs w:val="18"/>
              </w:rPr>
            </w:pPr>
            <w:r>
              <w:rPr>
                <w:rFonts w:cs="Times New Roman"/>
                <w:bCs w:val="false"/>
                <w:color w:val="000000"/>
                <w:szCs w:val="18"/>
              </w:rPr>
              <w:t>﻿</w:t>
            </w:r>
          </w:p>
        </w:tc>
        <w:tc>
          <w:tcPr>
            <w:tcW w:w="214"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806</w:t>
            </w:r>
          </w:p>
        </w:tc>
        <w:tc>
          <w:tcPr>
            <w:tcW w:w="18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2,779</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965</w:t>
            </w:r>
          </w:p>
        </w:tc>
        <w:tc>
          <w:tcPr>
            <w:tcW w:w="599"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Gain on warrant liability</w:t>
            </w:r>
          </w:p>
        </w:tc>
        <w:tc>
          <w:tcPr>
            <w:tcW w:w="146" w:type="dxa"/>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96</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99</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12,011</w:t>
            </w:r>
          </w:p>
        </w:tc>
        <w:tc>
          <w:tcPr>
            <w:tcW w:w="599"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income (loss), net</w:t>
            </w:r>
          </w:p>
        </w:tc>
        <w:tc>
          <w:tcPr>
            <w:tcW w:w="146" w:type="dxa"/>
            <w:tcBorders/>
            <w:shd w:fill="CFF0FC" w:val="clear"/>
            <w:vAlign w:val="center"/>
          </w:tcPr>
          <w:p>
            <w:pPr>
              <w:pStyle w:val="TableContents"/>
              <w:bidi w:val="0"/>
              <w:spacing w:before="0" w:after="283"/>
              <w:jc w:val="right"/>
              <w:rPr>
                <w:rFonts w:cs="Times New Roman"/>
                <w:bCs w:val="false"/>
                <w:color w:val="000000"/>
                <w:szCs w:val="18"/>
              </w:rPr>
            </w:pPr>
            <w:r>
              <w:rPr>
                <w:rFonts w:cs="Times New Roman"/>
                <w:bCs w:val="false"/>
                <w:color w:val="000000"/>
                <w:szCs w:val="18"/>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871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1,909</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Loss before income tax benefit (expense)</w:t>
            </w:r>
          </w:p>
        </w:tc>
        <w:tc>
          <w:tcPr>
            <w:tcW w:w="146" w:type="dxa"/>
            <w:tcBorders/>
            <w:shd w:fill="FFFFFF" w:val="clear"/>
            <w:vAlign w:val="center"/>
          </w:tcPr>
          <w:p>
            <w:pPr>
              <w:pStyle w:val="TableContents"/>
              <w:bidi w:val="0"/>
              <w:spacing w:before="0" w:after="283"/>
              <w:jc w:val="right"/>
              <w:rPr>
                <w:rFonts w:cs="Times New Roman"/>
                <w:bCs w:val="false"/>
                <w:color w:val="000000"/>
                <w:szCs w:val="18"/>
              </w:rPr>
            </w:pPr>
            <w:r>
              <w:rPr>
                <w:rFonts w:cs="Times New Roman"/>
                <w:bCs w:val="false"/>
                <w:color w:val="000000"/>
                <w:szCs w:val="18"/>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(28,981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9"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(79,114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6" w:type="dxa"/>
            <w:tcBorders/>
            <w:shd w:fill="FFFFFF" w:val="cle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(68,890</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Income tax benefit (expense)</w:t>
            </w:r>
          </w:p>
        </w:tc>
        <w:tc>
          <w:tcPr>
            <w:tcW w:w="146" w:type="dxa"/>
            <w:tcBorders/>
            <w:shd w:fill="CFF0FC" w:val="clear"/>
            <w:vAlign w:val="center"/>
          </w:tcPr>
          <w:p>
            <w:pPr>
              <w:pStyle w:val="TableContents"/>
              <w:bidi w:val="0"/>
              <w:spacing w:before="0" w:after="283"/>
              <w:jc w:val="right"/>
              <w:rPr>
                <w:rFonts w:cs="Times New Roman"/>
                <w:bCs w:val="false"/>
                <w:color w:val="000000"/>
                <w:szCs w:val="18"/>
              </w:rPr>
            </w:pPr>
            <w:r>
              <w:rPr>
                <w:rFonts w:cs="Times New Roman"/>
                <w:bCs w:val="false"/>
                <w:color w:val="000000"/>
                <w:szCs w:val="18"/>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6" w:type="dxa"/>
            <w:tcBorders/>
            <w:shd w:fill="CFF0FC" w:val="cle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4,071</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right"/>
              <w:rPr>
                <w:rFonts w:cs="Times New Roman"/>
                <w:bCs w:val="false"/>
                <w:color w:val="000000"/>
                <w:szCs w:val="18"/>
              </w:rPr>
            </w:pPr>
            <w:r>
              <w:rPr>
                <w:rFonts w:cs="Times New Roman"/>
                <w:bCs w:val="false"/>
                <w:color w:val="000000"/>
                <w:szCs w:val="18"/>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(28,981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9"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(22,499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(79,117</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(64,819</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 per share</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2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2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11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Basic and diluted</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9"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(3.09</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(2.68</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Weighted-average shares used in computing net loss per share</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2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2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11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Basic and diluted</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25,706,023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25,156,756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25,563,895</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24,180,445</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See accompanying notes to the condensed consolidated financial statements.</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SARCOS TECHNOLOGY AND ROBOTICS CORPORATION</w:t>
      </w:r>
    </w:p>
    <w:p>
      <w:pPr>
        <w:pStyle w:val="TextBody"/>
        <w:bidi w:val="0"/>
        <w:jc w:val="center"/>
        <w:rPr>
          <w:rFonts w:ascii="Times New Roman" w:hAnsi="Times New Roman"/>
          <w:sz w:val="20"/>
        </w:rPr>
      </w:pPr>
      <w:bookmarkStart w:id="6" w:name="condensed_consolidated_statements_of_oci"/>
      <w:bookmarkEnd w:id="6"/>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val="false"/>
          <w:color w:val="000000"/>
          <w:sz w:val="20"/>
        </w:rPr>
        <w:t>(</w:t>
      </w:r>
      <w:r>
        <w:rPr>
          <w:rFonts w:ascii="Times New Roman" w:hAnsi="Times New Roman"/>
          <w:b w:val="false"/>
          <w:i/>
          <w:color w:val="000000"/>
          <w:sz w:val="20"/>
        </w:rPr>
        <w:t>in thousands</w:t>
      </w:r>
      <w:r>
        <w:rPr>
          <w:rFonts w:ascii="Times New Roman" w:hAnsi="Times New Roman"/>
          <w:b w:val="false"/>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67"/>
        <w:gridCol w:w="146"/>
        <w:gridCol w:w="253"/>
        <w:gridCol w:w="853"/>
        <w:gridCol w:w="214"/>
        <w:gridCol w:w="188"/>
        <w:gridCol w:w="253"/>
        <w:gridCol w:w="853"/>
        <w:gridCol w:w="166"/>
        <w:gridCol w:w="146"/>
        <w:gridCol w:w="246"/>
        <w:gridCol w:w="833"/>
        <w:gridCol w:w="208"/>
        <w:gridCol w:w="184"/>
        <w:gridCol w:w="246"/>
        <w:gridCol w:w="833"/>
        <w:gridCol w:w="616"/>
      </w:tblGrid>
      <w:tr>
        <w:trPr/>
        <w:tc>
          <w:tcPr>
            <w:tcW w:w="3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967" w:type="dxa"/>
            <w:tcBorders/>
            <w:shd w:fill="FFFFFF" w:val="clear"/>
            <w:vAlign w:val="center"/>
          </w:tcPr>
          <w:p>
            <w:pPr>
              <w:pStyle w:val="TableContents"/>
              <w:bidi w:val="0"/>
              <w:spacing w:before="0" w:after="283"/>
              <w:jc w:val="center"/>
              <w:rPr>
                <w:rFonts w:cs="Times New Roman"/>
                <w:bCs/>
                <w:color w:val="000000"/>
                <w:szCs w:val="18"/>
              </w:rPr>
            </w:pPr>
            <w:r>
              <w:rPr>
                <w:rFonts w:cs="Times New Roman"/>
                <w:bCs/>
                <w:color w:val="000000"/>
                <w:szCs w:val="18"/>
              </w:rPr>
              <w:t>﻿</w:t>
            </w:r>
          </w:p>
        </w:tc>
        <w:tc>
          <w:tcPr>
            <w:tcW w:w="146" w:type="dxa"/>
            <w:tcBorders/>
            <w:shd w:fill="FFFFFF" w:val="clear"/>
            <w:vAlign w:val="center"/>
          </w:tcPr>
          <w:p>
            <w:pPr>
              <w:pStyle w:val="TableContents"/>
              <w:bidi w:val="0"/>
              <w:spacing w:before="0" w:after="283"/>
              <w:jc w:val="center"/>
              <w:rPr>
                <w:rFonts w:cs="Times New Roman"/>
                <w:bCs/>
                <w:color w:val="000000"/>
                <w:szCs w:val="18"/>
              </w:rPr>
            </w:pPr>
            <w:r>
              <w:rPr>
                <w:rFonts w:cs="Times New Roman"/>
                <w:bCs/>
                <w:color w:val="000000"/>
                <w:szCs w:val="18"/>
              </w:rPr>
              <w:t>﻿</w:t>
            </w:r>
          </w:p>
        </w:tc>
        <w:tc>
          <w:tcPr>
            <w:tcW w:w="26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color w:val="000000"/>
              </w:rPr>
            </w:pPr>
            <w:r>
              <w:rPr>
                <w:color w:val="000000"/>
              </w:rPr>
              <w:t>​</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vAlign w:val="center"/>
          </w:tcPr>
          <w:p>
            <w:pPr>
              <w:pStyle w:val="TableContents"/>
              <w:bidi w:val="0"/>
              <w:spacing w:before="0" w:after="283"/>
              <w:jc w:val="center"/>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vAlign w:val="center"/>
          </w:tcPr>
          <w:p>
            <w:pPr>
              <w:pStyle w:val="TableContents"/>
              <w:bidi w:val="0"/>
              <w:spacing w:before="0" w:after="283"/>
              <w:jc w:val="center"/>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5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(28,981</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8"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(22,499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(79,117</w:t>
            </w:r>
          </w:p>
        </w:tc>
        <w:tc>
          <w:tcPr>
            <w:tcW w:w="20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4"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(64,819</w:t>
            </w:r>
          </w:p>
        </w:tc>
        <w:tc>
          <w:tcPr>
            <w:tcW w:w="6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96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comprehensive (loss) income:</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106"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left"/>
              <w:rPr/>
            </w:pPr>
            <w:r>
              <w:rPr/>
              <w:t> </w:t>
            </w:r>
          </w:p>
        </w:tc>
        <w:tc>
          <w:tcPr>
            <w:tcW w:w="11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9" w:type="dxa"/>
            <w:gridSpan w:val="2"/>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1079" w:type="dxa"/>
            <w:gridSpan w:val="2"/>
            <w:tcBorders/>
            <w:shd w:fill="FFFFFF" w:val="clear"/>
            <w:vAlign w:val="center"/>
          </w:tcPr>
          <w:p>
            <w:pPr>
              <w:pStyle w:val="TableContents"/>
              <w:bidi w:val="0"/>
              <w:spacing w:before="0" w:after="283"/>
              <w:jc w:val="right"/>
              <w:rPr/>
            </w:pPr>
            <w:r>
              <w:rPr/>
              <w:t> </w:t>
            </w:r>
          </w:p>
        </w:tc>
        <w:tc>
          <w:tcPr>
            <w:tcW w:w="616" w:type="dxa"/>
            <w:tcBorders/>
            <w:shd w:fill="FFFFFF" w:val="clear"/>
            <w:vAlign w:val="center"/>
          </w:tcPr>
          <w:p>
            <w:pPr>
              <w:pStyle w:val="TableContents"/>
              <w:bidi w:val="0"/>
              <w:spacing w:before="0" w:after="283"/>
              <w:ind w:left="0" w:right="0" w:firstLine="300"/>
              <w:jc w:val="right"/>
              <w:rPr/>
            </w:pPr>
            <w:r>
              <w:rPr/>
              <w:t> </w:t>
            </w:r>
          </w:p>
        </w:tc>
      </w:tr>
      <w:tr>
        <w:trPr/>
        <w:tc>
          <w:tcPr>
            <w:tcW w:w="3967"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18"/>
              </w:rPr>
            </w:pPr>
            <w:r>
              <w:rPr>
                <w:rFonts w:ascii="Times New Roman" w:hAnsi="Times New Roman"/>
                <w:b w:val="false"/>
                <w:color w:val="000000"/>
                <w:sz w:val="18"/>
              </w:rPr>
              <w:t>Change in unrealized gain (loss) on available-for-sale investments</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253"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w:t>
            </w:r>
          </w:p>
        </w:tc>
        <w:tc>
          <w:tcPr>
            <w:tcW w:w="214"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w:t>
            </w:r>
          </w:p>
        </w:tc>
        <w:tc>
          <w:tcPr>
            <w:tcW w:w="208"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(134</w:t>
            </w:r>
          </w:p>
        </w:tc>
        <w:tc>
          <w:tcPr>
            <w:tcW w:w="61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396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Total other comprehensive (loss) income</w:t>
            </w:r>
          </w:p>
        </w:tc>
        <w:tc>
          <w:tcPr>
            <w:tcW w:w="146" w:type="dxa"/>
            <w:tcBorders/>
            <w:shd w:fill="FFFFFF" w:val="clear"/>
            <w:vAlign w:val="center"/>
          </w:tcPr>
          <w:p>
            <w:pPr>
              <w:pStyle w:val="TableContents"/>
              <w:bidi w:val="0"/>
              <w:spacing w:before="0" w:after="283"/>
              <w:jc w:val="right"/>
              <w:rPr/>
            </w:pPr>
            <w:r>
              <w:rPr/>
              <w:t> </w:t>
            </w:r>
          </w:p>
        </w:tc>
        <w:tc>
          <w:tcPr>
            <w:tcW w:w="25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w:t>
            </w:r>
          </w:p>
        </w:tc>
        <w:tc>
          <w:tcPr>
            <w:tcW w:w="21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25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(134</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w:t>
            </w:r>
          </w:p>
        </w:tc>
        <w:tc>
          <w:tcPr>
            <w:tcW w:w="20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(134</w:t>
            </w:r>
          </w:p>
        </w:tc>
        <w:tc>
          <w:tcPr>
            <w:tcW w:w="61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96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Comprehensive loss</w:t>
            </w:r>
          </w:p>
        </w:tc>
        <w:tc>
          <w:tcPr>
            <w:tcW w:w="146" w:type="dxa"/>
            <w:tcBorders/>
            <w:shd w:fill="CFF0FC" w:val="clear"/>
            <w:vAlign w:val="center"/>
          </w:tcPr>
          <w:p>
            <w:pPr>
              <w:pStyle w:val="TableContents"/>
              <w:bidi w:val="0"/>
              <w:spacing w:before="0" w:after="283"/>
              <w:jc w:val="righ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(28,967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8"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(22,633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(79,098</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4"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(64,953</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bl>
    <w:p>
      <w:pPr>
        <w:pStyle w:val="TextBody"/>
        <w:bidi w:val="0"/>
        <w:jc w:val="center"/>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See accompanying notes to the condensed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SARCOS TECHNOLOGY AND ROBOTICS CORPORATION</w:t>
      </w:r>
    </w:p>
    <w:p>
      <w:pPr>
        <w:pStyle w:val="TextBody"/>
        <w:bidi w:val="0"/>
        <w:jc w:val="center"/>
        <w:rPr>
          <w:rFonts w:ascii="Times New Roman" w:hAnsi="Times New Roman"/>
          <w:b/>
          <w:color w:val="000000"/>
          <w:sz w:val="20"/>
        </w:rPr>
      </w:pPr>
      <w:bookmarkStart w:id="7" w:name="consolidated_statements_of_stockholders"/>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694"/>
        <w:gridCol w:w="146"/>
        <w:gridCol w:w="916"/>
        <w:gridCol w:w="166"/>
        <w:gridCol w:w="271"/>
        <w:gridCol w:w="480"/>
        <w:gridCol w:w="146"/>
        <w:gridCol w:w="205"/>
        <w:gridCol w:w="726"/>
        <w:gridCol w:w="166"/>
        <w:gridCol w:w="502"/>
        <w:gridCol w:w="890"/>
        <w:gridCol w:w="166"/>
        <w:gridCol w:w="233"/>
        <w:gridCol w:w="893"/>
        <w:gridCol w:w="166"/>
        <w:gridCol w:w="248"/>
        <w:gridCol w:w="878"/>
        <w:gridCol w:w="313"/>
      </w:tblGrid>
      <w:tr>
        <w:trPr/>
        <w:tc>
          <w:tcPr>
            <w:tcW w:w="2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694"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3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right"/>
              <w:rPr/>
            </w:pPr>
            <w:r>
              <w:rPr/>
              <w:t> </w:t>
            </w:r>
          </w:p>
        </w:tc>
      </w:tr>
      <w:tr>
        <w:trPr/>
        <w:tc>
          <w:tcPr>
            <w:tcW w:w="2694" w:type="dxa"/>
            <w:tcBorders/>
            <w:shd w:fill="FFFFFF" w:val="clear"/>
            <w:vAlign w:val="center"/>
          </w:tcPr>
          <w:p>
            <w:pPr>
              <w:pStyle w:val="TableContents"/>
              <w:bidi w:val="0"/>
              <w:spacing w:before="0" w:after="283"/>
              <w:jc w:val="left"/>
              <w:rPr>
                <w:sz w:val="4"/>
                <w:szCs w:val="4"/>
              </w:rPr>
            </w:pPr>
            <w:r>
              <w:rPr>
                <w:sz w:val="4"/>
                <w:szCs w:val="4"/>
              </w:rPr>
            </w:r>
          </w:p>
        </w:tc>
        <w:tc>
          <w:tcPr>
            <w:tcW w:w="197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vAlign w:val="center"/>
          </w:tcPr>
          <w:p>
            <w:pPr>
              <w:pStyle w:val="TableContents"/>
              <w:bidi w:val="0"/>
              <w:spacing w:before="0" w:after="283"/>
              <w:jc w:val="center"/>
              <w:rPr/>
            </w:pPr>
            <w:r>
              <w:rPr/>
              <w:t> </w:t>
            </w:r>
          </w:p>
        </w:tc>
        <w:tc>
          <w:tcPr>
            <w:tcW w:w="139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13" w:type="dxa"/>
            <w:tcBorders/>
            <w:shd w:fill="FFFFFF" w:val="clear"/>
            <w:vAlign w:val="center"/>
          </w:tcPr>
          <w:p>
            <w:pPr>
              <w:pStyle w:val="TableContents"/>
              <w:bidi w:val="0"/>
              <w:spacing w:before="0" w:after="283"/>
              <w:jc w:val="center"/>
              <w:rPr/>
            </w:pPr>
            <w:r>
              <w:rPr/>
              <w:t> </w:t>
            </w:r>
          </w:p>
        </w:tc>
      </w:tr>
      <w:tr>
        <w:trPr/>
        <w:tc>
          <w:tcPr>
            <w:tcW w:w="2694" w:type="dxa"/>
            <w:tcBorders/>
            <w:shd w:fill="FFFFFF" w:val="clear"/>
            <w:vAlign w:val="center"/>
          </w:tcPr>
          <w:p>
            <w:pPr>
              <w:pStyle w:val="TableContents"/>
              <w:bidi w:val="0"/>
              <w:spacing w:before="0" w:after="283"/>
              <w:jc w:val="left"/>
              <w:rPr>
                <w:sz w:val="4"/>
                <w:szCs w:val="4"/>
              </w:rPr>
            </w:pPr>
            <w:r>
              <w:rPr>
                <w:sz w:val="4"/>
                <w:szCs w:val="4"/>
              </w:rPr>
            </w:r>
          </w:p>
        </w:tc>
        <w:tc>
          <w:tcPr>
            <w:tcW w:w="197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vAlign w:val="center"/>
          </w:tcPr>
          <w:p>
            <w:pPr>
              <w:pStyle w:val="TableContents"/>
              <w:bidi w:val="0"/>
              <w:spacing w:before="0" w:after="283"/>
              <w:jc w:val="center"/>
              <w:rPr/>
            </w:pPr>
            <w:r>
              <w:rPr/>
              <w:t> </w:t>
            </w:r>
          </w:p>
        </w:tc>
        <w:tc>
          <w:tcPr>
            <w:tcW w:w="139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313" w:type="dxa"/>
            <w:tcBorders/>
            <w:shd w:fill="FFFFFF" w:val="clear"/>
            <w:vAlign w:val="center"/>
          </w:tcPr>
          <w:p>
            <w:pPr>
              <w:pStyle w:val="TableContents"/>
              <w:bidi w:val="0"/>
              <w:spacing w:before="0" w:after="283"/>
              <w:jc w:val="center"/>
              <w:rPr/>
            </w:pPr>
            <w:r>
              <w:rPr/>
              <w:t> </w:t>
            </w:r>
          </w:p>
        </w:tc>
      </w:tr>
      <w:tr>
        <w:trPr/>
        <w:tc>
          <w:tcPr>
            <w:tcW w:w="2694" w:type="dxa"/>
            <w:tcBorders/>
            <w:shd w:fill="FFFFFF" w:val="clear"/>
            <w:vAlign w:val="center"/>
          </w:tcPr>
          <w:p>
            <w:pPr>
              <w:pStyle w:val="TableContents"/>
              <w:bidi w:val="0"/>
              <w:spacing w:before="0" w:after="283"/>
              <w:jc w:val="left"/>
              <w:rPr>
                <w:sz w:val="4"/>
                <w:szCs w:val="4"/>
              </w:rPr>
            </w:pPr>
            <w:r>
              <w:rPr>
                <w:sz w:val="4"/>
                <w:szCs w:val="4"/>
              </w:rPr>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December 31, 2021</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22,953,510</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359,451</w:t>
            </w:r>
          </w:p>
        </w:tc>
        <w:tc>
          <w:tcPr>
            <w:tcW w:w="166"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(145,491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213,962</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69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10,850</w:t>
            </w:r>
          </w:p>
        </w:tc>
        <w:tc>
          <w:tcPr>
            <w:tcW w:w="166"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10,850</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6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Common stock issued upon vesting of restricted stock awards and restricted stock units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335,649</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69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Shares repurchased for payment of tax withholdings and other</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(132,315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(5,250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0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(5,250</w:t>
            </w:r>
          </w:p>
        </w:tc>
        <w:tc>
          <w:tcPr>
            <w:tcW w:w="313"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8"/>
              </w:rPr>
            </w:pPr>
            <w:r>
              <w:rPr>
                <w:rFonts w:ascii="Times New Roman" w:hAnsi="Times New Roman"/>
                <w:b w:val="false"/>
                <w:color w:val="000000"/>
                <w:sz w:val="18"/>
              </w:rPr>
              <w:t>)</w:t>
            </w:r>
          </w:p>
        </w:tc>
      </w:tr>
      <w:tr>
        <w:trPr/>
        <w:tc>
          <w:tcPr>
            <w:tcW w:w="26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Exercise of stock options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13,930</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w:t>
            </w:r>
          </w:p>
        </w:tc>
        <w:tc>
          <w:tcPr>
            <w:tcW w:w="166"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69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(19,202</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9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March 31, 2022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23,170,774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365,116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(164,693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200,425</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9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10,270</w:t>
            </w:r>
          </w:p>
        </w:tc>
        <w:tc>
          <w:tcPr>
            <w:tcW w:w="166"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10,270</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6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Common stock issued upon vesting of restricted stock awards and restricted stock units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233,811</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69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Shares repurchased for payment of tax withholdings and other</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(77,397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(1,342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0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(1,342</w:t>
            </w:r>
          </w:p>
        </w:tc>
        <w:tc>
          <w:tcPr>
            <w:tcW w:w="313"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8"/>
              </w:rPr>
            </w:pPr>
            <w:r>
              <w:rPr>
                <w:rFonts w:ascii="Times New Roman" w:hAnsi="Times New Roman"/>
                <w:b w:val="false"/>
                <w:color w:val="000000"/>
                <w:sz w:val="18"/>
              </w:rPr>
              <w:t>)</w:t>
            </w:r>
          </w:p>
        </w:tc>
      </w:tr>
      <w:tr>
        <w:trPr/>
        <w:tc>
          <w:tcPr>
            <w:tcW w:w="26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Exercise of stock options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248,734</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486</w:t>
            </w:r>
          </w:p>
        </w:tc>
        <w:tc>
          <w:tcPr>
            <w:tcW w:w="166"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486</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69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Common stock and assumed equity awards in connection with a business acquisition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1,795,446</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59,556</w:t>
            </w:r>
          </w:p>
        </w:tc>
        <w:tc>
          <w:tcPr>
            <w:tcW w:w="166"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59,556</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6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(23,118</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9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June 30, 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25,371,368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434,086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(187,811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246,277</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8,466</w:t>
            </w:r>
          </w:p>
        </w:tc>
        <w:tc>
          <w:tcPr>
            <w:tcW w:w="166"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8,466</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69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Common stock issued upon vesting of restricted stock awards and restricted stock units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428,682</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0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6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Shares repurchased for payment of tax withholdings and other</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(74,110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0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(1,082</w:t>
            </w:r>
          </w:p>
        </w:tc>
        <w:tc>
          <w:tcPr>
            <w:tcW w:w="313"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8"/>
              </w:rPr>
            </w:pPr>
            <w:r>
              <w:rPr>
                <w:rFonts w:ascii="Times New Roman" w:hAnsi="Times New Roman"/>
                <w:b w:val="false"/>
                <w:color w:val="000000"/>
                <w:sz w:val="18"/>
              </w:rPr>
              <w:t>)</w:t>
            </w:r>
          </w:p>
        </w:tc>
      </w:tr>
      <w:tr>
        <w:trPr/>
        <w:tc>
          <w:tcPr>
            <w:tcW w:w="269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Exercise of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47,030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112</w:t>
            </w:r>
          </w:p>
        </w:tc>
        <w:tc>
          <w:tcPr>
            <w:tcW w:w="166"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112</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6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Common stock and assumed equity awards in connection with a business acquisition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0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(146</w:t>
            </w:r>
          </w:p>
        </w:tc>
        <w:tc>
          <w:tcPr>
            <w:tcW w:w="313"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8"/>
              </w:rPr>
            </w:pPr>
            <w:r>
              <w:rPr>
                <w:rFonts w:ascii="Times New Roman" w:hAnsi="Times New Roman"/>
                <w:b w:val="false"/>
                <w:color w:val="000000"/>
                <w:sz w:val="18"/>
              </w:rPr>
              <w:t>)</w:t>
            </w:r>
          </w:p>
        </w:tc>
      </w:tr>
      <w:tr>
        <w:trPr/>
        <w:tc>
          <w:tcPr>
            <w:tcW w:w="269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Other comprehensive loss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(134</w:t>
            </w:r>
          </w:p>
        </w:tc>
        <w:tc>
          <w:tcPr>
            <w:tcW w:w="313"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8"/>
              </w:rPr>
            </w:pPr>
            <w:r>
              <w:rPr>
                <w:rFonts w:ascii="Times New Roman" w:hAnsi="Times New Roman"/>
                <w:b w:val="false"/>
                <w:color w:val="000000"/>
                <w:sz w:val="18"/>
              </w:rPr>
              <w:t>)</w:t>
            </w:r>
          </w:p>
        </w:tc>
      </w:tr>
      <w:tr>
        <w:trPr/>
        <w:tc>
          <w:tcPr>
            <w:tcW w:w="26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(22,499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(22,499</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9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September 30, 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25,772,970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441,435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(210,310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230,994</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94"/>
        <w:gridCol w:w="146"/>
        <w:gridCol w:w="916"/>
        <w:gridCol w:w="166"/>
        <w:gridCol w:w="271"/>
        <w:gridCol w:w="480"/>
        <w:gridCol w:w="146"/>
        <w:gridCol w:w="205"/>
        <w:gridCol w:w="726"/>
        <w:gridCol w:w="166"/>
        <w:gridCol w:w="585"/>
        <w:gridCol w:w="807"/>
        <w:gridCol w:w="166"/>
        <w:gridCol w:w="233"/>
        <w:gridCol w:w="893"/>
        <w:gridCol w:w="166"/>
        <w:gridCol w:w="248"/>
        <w:gridCol w:w="878"/>
        <w:gridCol w:w="313"/>
      </w:tblGrid>
      <w:tr>
        <w:trPr/>
        <w:tc>
          <w:tcPr>
            <w:tcW w:w="2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694"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3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313" w:type="dxa"/>
            <w:tcBorders/>
            <w:shd w:fill="FFFFFF" w:val="clear"/>
            <w:vAlign w:val="center"/>
          </w:tcPr>
          <w:p>
            <w:pPr>
              <w:pStyle w:val="TableContents"/>
              <w:bidi w:val="0"/>
              <w:spacing w:before="0" w:after="283"/>
              <w:jc w:val="right"/>
              <w:rPr/>
            </w:pPr>
            <w:r>
              <w:rPr/>
              <w:t> </w:t>
            </w:r>
          </w:p>
        </w:tc>
      </w:tr>
      <w:tr>
        <w:trPr/>
        <w:tc>
          <w:tcPr>
            <w:tcW w:w="2694" w:type="dxa"/>
            <w:tcBorders/>
            <w:shd w:fill="FFFFFF" w:val="clear"/>
            <w:vAlign w:val="center"/>
          </w:tcPr>
          <w:p>
            <w:pPr>
              <w:pStyle w:val="TableContents"/>
              <w:bidi w:val="0"/>
              <w:spacing w:before="0" w:after="283"/>
              <w:jc w:val="left"/>
              <w:rPr>
                <w:sz w:val="4"/>
                <w:szCs w:val="4"/>
              </w:rPr>
            </w:pPr>
            <w:r>
              <w:rPr>
                <w:sz w:val="4"/>
                <w:szCs w:val="4"/>
              </w:rPr>
            </w:r>
          </w:p>
        </w:tc>
        <w:tc>
          <w:tcPr>
            <w:tcW w:w="197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vAlign w:val="center"/>
          </w:tcPr>
          <w:p>
            <w:pPr>
              <w:pStyle w:val="TableContents"/>
              <w:bidi w:val="0"/>
              <w:spacing w:before="0" w:after="283"/>
              <w:jc w:val="center"/>
              <w:rPr/>
            </w:pPr>
            <w:r>
              <w:rPr/>
              <w:t> </w:t>
            </w:r>
          </w:p>
        </w:tc>
        <w:tc>
          <w:tcPr>
            <w:tcW w:w="139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13" w:type="dxa"/>
            <w:tcBorders/>
            <w:shd w:fill="FFFFFF" w:val="clear"/>
            <w:vAlign w:val="center"/>
          </w:tcPr>
          <w:p>
            <w:pPr>
              <w:pStyle w:val="TableContents"/>
              <w:bidi w:val="0"/>
              <w:spacing w:before="0" w:after="283"/>
              <w:jc w:val="center"/>
              <w:rPr/>
            </w:pPr>
            <w:r>
              <w:rPr/>
              <w:t> </w:t>
            </w:r>
          </w:p>
        </w:tc>
      </w:tr>
      <w:tr>
        <w:trPr/>
        <w:tc>
          <w:tcPr>
            <w:tcW w:w="2694" w:type="dxa"/>
            <w:tcBorders/>
            <w:shd w:fill="FFFFFF" w:val="clear"/>
            <w:vAlign w:val="center"/>
          </w:tcPr>
          <w:p>
            <w:pPr>
              <w:pStyle w:val="TableContents"/>
              <w:bidi w:val="0"/>
              <w:spacing w:before="0" w:after="283"/>
              <w:jc w:val="left"/>
              <w:rPr>
                <w:sz w:val="4"/>
                <w:szCs w:val="4"/>
              </w:rPr>
            </w:pPr>
            <w:r>
              <w:rPr>
                <w:sz w:val="4"/>
                <w:szCs w:val="4"/>
              </w:rPr>
            </w:r>
          </w:p>
        </w:tc>
        <w:tc>
          <w:tcPr>
            <w:tcW w:w="197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vAlign w:val="center"/>
          </w:tcPr>
          <w:p>
            <w:pPr>
              <w:pStyle w:val="TableContents"/>
              <w:bidi w:val="0"/>
              <w:spacing w:before="0" w:after="283"/>
              <w:jc w:val="center"/>
              <w:rPr/>
            </w:pPr>
            <w:r>
              <w:rPr/>
              <w:t> </w:t>
            </w:r>
          </w:p>
        </w:tc>
        <w:tc>
          <w:tcPr>
            <w:tcW w:w="139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313" w:type="dxa"/>
            <w:tcBorders/>
            <w:shd w:fill="FFFFFF" w:val="clear"/>
            <w:vAlign w:val="center"/>
          </w:tcPr>
          <w:p>
            <w:pPr>
              <w:pStyle w:val="TableContents"/>
              <w:bidi w:val="0"/>
              <w:spacing w:before="0" w:after="283"/>
              <w:jc w:val="center"/>
              <w:rPr/>
            </w:pPr>
            <w:r>
              <w:rPr/>
              <w:t> </w:t>
            </w:r>
          </w:p>
        </w:tc>
      </w:tr>
      <w:tr>
        <w:trPr/>
        <w:tc>
          <w:tcPr>
            <w:tcW w:w="2694" w:type="dxa"/>
            <w:tcBorders/>
            <w:shd w:fill="FFFFFF" w:val="clear"/>
            <w:vAlign w:val="center"/>
          </w:tcPr>
          <w:p>
            <w:pPr>
              <w:pStyle w:val="TableContents"/>
              <w:bidi w:val="0"/>
              <w:spacing w:before="0" w:after="283"/>
              <w:jc w:val="left"/>
              <w:rPr>
                <w:sz w:val="4"/>
                <w:szCs w:val="4"/>
              </w:rPr>
            </w:pPr>
            <w:r>
              <w:rPr>
                <w:sz w:val="4"/>
                <w:szCs w:val="4"/>
              </w:rPr>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December 31, 2022</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25,708,519</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447,085</w:t>
            </w:r>
          </w:p>
        </w:tc>
        <w:tc>
          <w:tcPr>
            <w:tcW w:w="166"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3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(302,621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144,450</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6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2,664</w:t>
            </w:r>
          </w:p>
        </w:tc>
        <w:tc>
          <w:tcPr>
            <w:tcW w:w="166" w:type="dxa"/>
            <w:tcBorders/>
            <w:shd w:fill="CFF0FC" w:val="clear"/>
            <w:vAlign w:val="center"/>
          </w:tcPr>
          <w:p>
            <w:pPr>
              <w:pStyle w:val="TableContents"/>
              <w:bidi w:val="0"/>
              <w:spacing w:before="0" w:after="283"/>
              <w:jc w:val="left"/>
              <w:rPr/>
            </w:pPr>
            <w:r>
              <w:rPr/>
              <w:t> </w:t>
            </w:r>
          </w:p>
        </w:tc>
        <w:tc>
          <w:tcPr>
            <w:tcW w:w="585" w:type="dxa"/>
            <w:tcBorders/>
            <w:shd w:fill="CFF0FC" w:val="clear"/>
            <w:vAlign w:val="center"/>
          </w:tcPr>
          <w:p>
            <w:pPr>
              <w:pStyle w:val="TableContents"/>
              <w:bidi w:val="0"/>
              <w:spacing w:before="0" w:after="283"/>
              <w:jc w:val="left"/>
              <w:rPr/>
            </w:pPr>
            <w:r>
              <w:rPr/>
              <w:t> </w:t>
            </w:r>
          </w:p>
        </w:tc>
        <w:tc>
          <w:tcPr>
            <w:tcW w:w="80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2,664</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69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Common stock issued upon vesting of restricted stock awards and restricted stock units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7,204</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6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Shares repurchased for payment of tax withholdings and other</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(2,170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w:t>
            </w:r>
          </w:p>
        </w:tc>
        <w:tc>
          <w:tcPr>
            <w:tcW w:w="166" w:type="dxa"/>
            <w:tcBorders/>
            <w:shd w:fill="CFF0FC" w:val="clear"/>
            <w:vAlign w:val="center"/>
          </w:tcPr>
          <w:p>
            <w:pPr>
              <w:pStyle w:val="TableContents"/>
              <w:bidi w:val="0"/>
              <w:spacing w:before="0" w:after="283"/>
              <w:jc w:val="left"/>
              <w:rPr/>
            </w:pPr>
            <w:r>
              <w:rPr/>
              <w:t> </w:t>
            </w:r>
          </w:p>
        </w:tc>
        <w:tc>
          <w:tcPr>
            <w:tcW w:w="585" w:type="dxa"/>
            <w:tcBorders/>
            <w:shd w:fill="CFF0FC" w:val="clear"/>
            <w:vAlign w:val="center"/>
          </w:tcPr>
          <w:p>
            <w:pPr>
              <w:pStyle w:val="TableContents"/>
              <w:bidi w:val="0"/>
              <w:spacing w:before="0" w:after="283"/>
              <w:jc w:val="left"/>
              <w:rPr/>
            </w:pPr>
            <w:r>
              <w:rPr/>
              <w:t> </w:t>
            </w:r>
          </w:p>
        </w:tc>
        <w:tc>
          <w:tcPr>
            <w:tcW w:w="80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69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Other comprehensive gain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6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(21,476</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9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March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25,713,553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449,784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(324,097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125,732</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2,070</w:t>
            </w:r>
          </w:p>
        </w:tc>
        <w:tc>
          <w:tcPr>
            <w:tcW w:w="166" w:type="dxa"/>
            <w:tcBorders/>
            <w:shd w:fill="CFF0FC" w:val="clear"/>
            <w:vAlign w:val="center"/>
          </w:tcPr>
          <w:p>
            <w:pPr>
              <w:pStyle w:val="TableContents"/>
              <w:bidi w:val="0"/>
              <w:spacing w:before="0" w:after="283"/>
              <w:jc w:val="left"/>
              <w:rPr/>
            </w:pPr>
            <w:r>
              <w:rPr/>
              <w:t> </w:t>
            </w:r>
          </w:p>
        </w:tc>
        <w:tc>
          <w:tcPr>
            <w:tcW w:w="585" w:type="dxa"/>
            <w:tcBorders/>
            <w:shd w:fill="CFF0FC" w:val="clear"/>
            <w:vAlign w:val="center"/>
          </w:tcPr>
          <w:p>
            <w:pPr>
              <w:pStyle w:val="TableContents"/>
              <w:bidi w:val="0"/>
              <w:spacing w:before="0" w:after="283"/>
              <w:jc w:val="left"/>
              <w:rPr/>
            </w:pPr>
            <w:r>
              <w:rPr/>
              <w:t> </w:t>
            </w:r>
          </w:p>
        </w:tc>
        <w:tc>
          <w:tcPr>
            <w:tcW w:w="80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2,070</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69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Common stock issued upon vesting of restricted stock awards and restricted stock units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151,327</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6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Shares repurchased for payment of tax withholdings and other</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(22,991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85" w:type="dxa"/>
            <w:tcBorders/>
            <w:shd w:fill="CFF0FC" w:val="clear"/>
            <w:vAlign w:val="center"/>
          </w:tcPr>
          <w:p>
            <w:pPr>
              <w:pStyle w:val="TableContents"/>
              <w:bidi w:val="0"/>
              <w:spacing w:before="0" w:after="283"/>
              <w:jc w:val="left"/>
              <w:rPr/>
            </w:pPr>
            <w:r>
              <w:rPr/>
              <w:t> </w:t>
            </w:r>
          </w:p>
        </w:tc>
        <w:tc>
          <w:tcPr>
            <w:tcW w:w="80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w:t>
            </w:r>
          </w:p>
        </w:tc>
        <w:tc>
          <w:tcPr>
            <w:tcW w:w="313"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8"/>
              </w:rPr>
            </w:pPr>
            <w:r>
              <w:rPr>
                <w:rFonts w:ascii="Times New Roman" w:hAnsi="Times New Roman"/>
                <w:b w:val="false"/>
                <w:color w:val="000000"/>
                <w:sz w:val="18"/>
              </w:rPr>
              <w:t>)</w:t>
            </w:r>
          </w:p>
        </w:tc>
      </w:tr>
      <w:tr>
        <w:trPr/>
        <w:tc>
          <w:tcPr>
            <w:tcW w:w="269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Other comprehensive loss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w:t>
            </w:r>
          </w:p>
        </w:tc>
        <w:tc>
          <w:tcPr>
            <w:tcW w:w="313"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8"/>
              </w:rPr>
            </w:pPr>
            <w:r>
              <w:rPr>
                <w:rFonts w:ascii="Times New Roman" w:hAnsi="Times New Roman"/>
                <w:b w:val="false"/>
                <w:color w:val="000000"/>
                <w:sz w:val="18"/>
              </w:rPr>
              <w:t>)</w:t>
            </w:r>
          </w:p>
        </w:tc>
      </w:tr>
      <w:tr>
        <w:trPr/>
        <w:tc>
          <w:tcPr>
            <w:tcW w:w="26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(28,660</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9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June 30,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25,841,889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451,815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(352,757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99,049</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6,074</w:t>
            </w:r>
          </w:p>
        </w:tc>
        <w:tc>
          <w:tcPr>
            <w:tcW w:w="166" w:type="dxa"/>
            <w:tcBorders/>
            <w:shd w:fill="CFF0FC" w:val="clear"/>
            <w:vAlign w:val="center"/>
          </w:tcPr>
          <w:p>
            <w:pPr>
              <w:pStyle w:val="TableContents"/>
              <w:bidi w:val="0"/>
              <w:spacing w:before="0" w:after="283"/>
              <w:jc w:val="left"/>
              <w:rPr/>
            </w:pPr>
            <w:r>
              <w:rPr/>
              <w:t> </w:t>
            </w:r>
          </w:p>
        </w:tc>
        <w:tc>
          <w:tcPr>
            <w:tcW w:w="585" w:type="dxa"/>
            <w:tcBorders/>
            <w:shd w:fill="CFF0FC" w:val="clear"/>
            <w:vAlign w:val="center"/>
          </w:tcPr>
          <w:p>
            <w:pPr>
              <w:pStyle w:val="TableContents"/>
              <w:bidi w:val="0"/>
              <w:spacing w:before="0" w:after="283"/>
              <w:jc w:val="left"/>
              <w:rPr/>
            </w:pPr>
            <w:r>
              <w:rPr/>
              <w:t> </w:t>
            </w:r>
          </w:p>
        </w:tc>
        <w:tc>
          <w:tcPr>
            <w:tcW w:w="80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6,074</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269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Common stock issued upon vesting of restricted stock awards and restricted stock units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19,751</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6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Shares repurchased for payment of tax withholdings and other</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(10,808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85" w:type="dxa"/>
            <w:tcBorders/>
            <w:shd w:fill="CFF0FC" w:val="clear"/>
            <w:vAlign w:val="center"/>
          </w:tcPr>
          <w:p>
            <w:pPr>
              <w:pStyle w:val="TableContents"/>
              <w:bidi w:val="0"/>
              <w:spacing w:before="0" w:after="283"/>
              <w:jc w:val="left"/>
              <w:rPr/>
            </w:pPr>
            <w:r>
              <w:rPr/>
              <w:t> </w:t>
            </w:r>
          </w:p>
        </w:tc>
        <w:tc>
          <w:tcPr>
            <w:tcW w:w="80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313"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8"/>
              </w:rPr>
            </w:pPr>
            <w:r>
              <w:rPr>
                <w:rFonts w:ascii="Times New Roman" w:hAnsi="Times New Roman"/>
                <w:b w:val="false"/>
                <w:color w:val="000000"/>
                <w:sz w:val="18"/>
              </w:rPr>
              <w:t>)</w:t>
            </w:r>
          </w:p>
        </w:tc>
      </w:tr>
      <w:tr>
        <w:trPr/>
        <w:tc>
          <w:tcPr>
            <w:tcW w:w="269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Other comprehensive gain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26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(28,981</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69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September 30,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25,850,832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457,888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(381,738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76,155</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See accompanying notes to the condensed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SARCOS TECHNOLOGY AND ROBOTICS CORPORATION</w:t>
      </w:r>
    </w:p>
    <w:p>
      <w:pPr>
        <w:pStyle w:val="TextBody"/>
        <w:bidi w:val="0"/>
        <w:jc w:val="center"/>
        <w:rPr>
          <w:rFonts w:ascii="Times New Roman" w:hAnsi="Times New Roman"/>
          <w:b/>
          <w:color w:val="000000"/>
          <w:sz w:val="18"/>
        </w:rPr>
      </w:pPr>
      <w:bookmarkStart w:id="8" w:name="consolidated_statements_of_cash_flows"/>
      <w:bookmarkEnd w:id="8"/>
      <w:r>
        <w:rPr>
          <w:rFonts w:ascii="Times New Roman" w:hAnsi="Times New Roman"/>
          <w:b/>
          <w:color w:val="000000"/>
          <w:sz w:val="18"/>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(in thousands)</w:t>
      </w:r>
    </w:p>
    <w:p>
      <w:pPr>
        <w:pStyle w:val="TextBody"/>
        <w:bidi w:val="0"/>
        <w:jc w:val="left"/>
        <w:rPr/>
      </w:pPr>
      <w:r>
        <w:rPr/>
        <w:t> </w:t>
      </w:r>
    </w:p>
    <w:tbl>
      <w:tblPr>
        <w:tblW w:w="9496" w:type="dxa"/>
        <w:jc w:val="left"/>
        <w:tblInd w:w="0" w:type="dxa"/>
        <w:tblLayout w:type="fixed"/>
        <w:tblCellMar>
          <w:top w:w="28" w:type="dxa"/>
          <w:left w:w="28" w:type="dxa"/>
          <w:bottom w:w="28" w:type="dxa"/>
          <w:right w:w="28" w:type="dxa"/>
        </w:tblCellMar>
      </w:tblPr>
      <w:tblGrid>
        <w:gridCol w:w="6136"/>
        <w:gridCol w:w="146"/>
        <w:gridCol w:w="256"/>
        <w:gridCol w:w="903"/>
        <w:gridCol w:w="217"/>
        <w:gridCol w:w="190"/>
        <w:gridCol w:w="256"/>
        <w:gridCol w:w="981"/>
        <w:gridCol w:w="411"/>
      </w:tblGrid>
      <w:tr>
        <w:trPr/>
        <w:tc>
          <w:tcPr>
            <w:tcW w:w="6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1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8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center"/>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(79,117</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(64,819</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613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159" w:type="dxa"/>
            <w:gridSpan w:val="2"/>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10,808</w:t>
            </w:r>
          </w:p>
        </w:tc>
        <w:tc>
          <w:tcPr>
            <w:tcW w:w="217"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29,586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Depreciation of property and equipment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1,261</w:t>
            </w:r>
          </w:p>
        </w:tc>
        <w:tc>
          <w:tcPr>
            <w:tcW w:w="217"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954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Amortization of intangible assets</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2,457</w:t>
            </w:r>
          </w:p>
        </w:tc>
        <w:tc>
          <w:tcPr>
            <w:tcW w:w="217"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Change in fair value of warrant liability</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(99</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0"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(12,011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Amortization of investment discount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(1,833</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(690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Asset write-down</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10,827</w:t>
            </w:r>
          </w:p>
        </w:tc>
        <w:tc>
          <w:tcPr>
            <w:tcW w:w="217"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Accounts receivable</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465</w:t>
            </w:r>
          </w:p>
        </w:tc>
        <w:tc>
          <w:tcPr>
            <w:tcW w:w="217"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(991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Unbilled receivable</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2,547</w:t>
            </w:r>
          </w:p>
        </w:tc>
        <w:tc>
          <w:tcPr>
            <w:tcW w:w="217"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Inventories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(7,169</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0"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(1,747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2,343</w:t>
            </w:r>
          </w:p>
        </w:tc>
        <w:tc>
          <w:tcPr>
            <w:tcW w:w="217"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6,407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non-current assets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930</w:t>
            </w:r>
          </w:p>
        </w:tc>
        <w:tc>
          <w:tcPr>
            <w:tcW w:w="217"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(1,525</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Accrued liabilities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(1,021</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0"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(997</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(4,415</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613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5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0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(60,123</w:t>
            </w:r>
          </w:p>
        </w:tc>
        <w:tc>
          <w:tcPr>
            <w:tcW w:w="217"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0" w:type="dxa"/>
            <w:tcBorders/>
            <w:shd w:fill="CFF0FC" w:val="clear"/>
            <w:vAlign w:val="center"/>
          </w:tcPr>
          <w:p>
            <w:pPr>
              <w:pStyle w:val="TableContents"/>
              <w:bidi w:val="0"/>
              <w:spacing w:before="0" w:after="283"/>
              <w:jc w:val="left"/>
              <w:rPr/>
            </w:pPr>
            <w:r>
              <w:rPr/>
              <w:t> </w:t>
            </w:r>
          </w:p>
        </w:tc>
        <w:tc>
          <w:tcPr>
            <w:tcW w:w="25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(44,448</w:t>
            </w:r>
          </w:p>
        </w:tc>
        <w:tc>
          <w:tcPr>
            <w:tcW w:w="41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613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(1,033</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0"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Acquisition of a business, net of cash acquired</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217"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(29,687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Purchases of marketable securities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(58,622</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0"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(138,696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Maturities of marketable securities</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120,000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20,000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cash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60,345</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(149,429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613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Proceeds from exercise of stock options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217"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663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Shares repurchased for payment of tax withholdings</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(7,677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Payment of obligations under capital leases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0"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(94</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613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cash used in financing activities</w:t>
            </w:r>
          </w:p>
        </w:tc>
        <w:tc>
          <w:tcPr>
            <w:tcW w:w="146" w:type="dxa"/>
            <w:tcBorders/>
            <w:shd w:fill="FFFFFF" w:val="clear"/>
            <w:vAlign w:val="center"/>
          </w:tcPr>
          <w:p>
            <w:pPr>
              <w:pStyle w:val="TableContents"/>
              <w:bidi w:val="0"/>
              <w:spacing w:before="0" w:after="283"/>
              <w:jc w:val="left"/>
              <w:rPr/>
            </w:pPr>
            <w:r>
              <w:rPr/>
              <w:t> </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w:t>
            </w:r>
          </w:p>
        </w:tc>
        <w:tc>
          <w:tcPr>
            <w:tcW w:w="217"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0" w:type="dxa"/>
            <w:tcBorders/>
            <w:shd w:fill="FFFFFF" w:val="clear"/>
            <w:vAlign w:val="center"/>
          </w:tcPr>
          <w:p>
            <w:pPr>
              <w:pStyle w:val="TableContents"/>
              <w:bidi w:val="0"/>
              <w:spacing w:before="0" w:after="283"/>
              <w:jc w:val="left"/>
              <w:rPr/>
            </w:pPr>
            <w:r>
              <w:rPr/>
              <w:t> </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(7,108</w:t>
            </w:r>
          </w:p>
        </w:tc>
        <w:tc>
          <w:tcPr>
            <w:tcW w:w="41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613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increase (decrease) in cash, cash equivalents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151</w:t>
            </w:r>
          </w:p>
        </w:tc>
        <w:tc>
          <w:tcPr>
            <w:tcW w:w="217"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(200,985</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613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Cash and cash equivalents at beginning of period</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35,159</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217,114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Cash and cash equivalents at end of period</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35,310</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16,129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Cash paid for income taxes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c>
          <w:tcPr>
            <w:tcW w:w="217"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8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activities:</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Common stock and assumed equity awards in connection with a business acquisition</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217"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59,410</w:t>
            </w:r>
          </w:p>
        </w:tc>
        <w:tc>
          <w:tcPr>
            <w:tcW w:w="411" w:type="dxa"/>
            <w:tcBorders/>
            <w:shd w:fill="CFF0FC" w:val="cle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Purchases of property and equipment included in accounts payable at period-end</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217"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w:t>
            </w:r>
          </w:p>
        </w:tc>
        <w:tc>
          <w:tcPr>
            <w:tcW w:w="4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See accompanying notes to the condensed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SARCOS TECHNOLOGY AND ROBOTICS CORPORTATION</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60" w:after="283"/>
        <w:jc w:val="left"/>
        <w:rPr>
          <w:rFonts w:ascii="Times New Roman" w:hAnsi="Times New Roman"/>
          <w:b/>
          <w:color w:val="000000"/>
          <w:sz w:val="20"/>
        </w:rPr>
      </w:pPr>
      <w:bookmarkStart w:id="9" w:name="note_1_basis_of_presentation"/>
      <w:bookmarkEnd w:id="9"/>
      <w:r>
        <w:rPr>
          <w:rFonts w:ascii="Times New Roman" w:hAnsi="Times New Roman"/>
          <w:b/>
          <w:color w:val="000000"/>
          <w:sz w:val="20"/>
        </w:rPr>
        <w:t>1. Basis of Presentation and Summary of Significant Accounting Policies</w:t>
      </w:r>
    </w:p>
    <w:p>
      <w:pPr>
        <w:pStyle w:val="TextBody"/>
        <w:bidi w:val="0"/>
        <w:jc w:val="left"/>
        <w:rPr>
          <w:color w:val="000000"/>
        </w:rPr>
      </w:pPr>
      <w:r>
        <w:rPr>
          <w:color w:val="000000"/>
        </w:rPr>
        <w:t>​</w:t>
      </w:r>
    </w:p>
    <w:p>
      <w:pPr>
        <w:pStyle w:val="TextBody"/>
        <w:bidi w:val="0"/>
        <w:jc w:val="left"/>
        <w:rPr>
          <w:rFonts w:ascii="Times New Roman" w:hAnsi="Times New Roman"/>
          <w:b/>
          <w:color w:val="000000"/>
          <w:sz w:val="20"/>
        </w:rPr>
      </w:pPr>
      <w:r>
        <w:rPr>
          <w:rFonts w:ascii="Times New Roman" w:hAnsi="Times New Roman"/>
          <w:b/>
          <w:color w:val="000000"/>
          <w:sz w:val="20"/>
        </w:rPr>
        <w:t>Description of the Business</w:t>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Sarcos Technology and Robotics Corporation (the “Company” or “Sarcos”) is a leader in advanced robotic technology designed to increase the intelligence, efficiency, capability and productivity of advanced robotic systems. Sarcos robotic artificial intelligence and machine learning (“AI/ML”) software enables generalizable autonomy to address challenging, dynamic, environments for industries that require a high degree of adaptability and efficiency.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of Presentation and Consolidation</w:t>
      </w:r>
    </w:p>
    <w:p>
      <w:pPr>
        <w:pStyle w:val="TextBody"/>
        <w:bidi w:val="0"/>
        <w:jc w:val="left"/>
        <w:rPr>
          <w:color w:val="000000"/>
        </w:rPr>
      </w:pPr>
      <w:r>
        <w:rPr>
          <w:color w:val="000000"/>
        </w:rPr>
        <w:t>​</w:t>
      </w:r>
    </w:p>
    <w:p>
      <w:pPr>
        <w:pStyle w:val="TextBody"/>
        <w:bidi w:val="0"/>
        <w:jc w:val="both"/>
        <w:rPr>
          <w:rFonts w:ascii="Times New Roman" w:hAnsi="Times New Roman"/>
          <w:sz w:val="20"/>
        </w:rPr>
      </w:pPr>
      <w:r>
        <w:rPr>
          <w:rFonts w:ascii="Times New Roman" w:hAnsi="Times New Roman"/>
          <w:b w:val="false"/>
          <w:color w:val="000000"/>
          <w:sz w:val="20"/>
        </w:rPr>
        <w:t>The accompanying interim unaudited condensed consolidated financial statements have been prepared in accordance with accounting principles generally accepted in the United States (“GAAP”).</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condensed consolidated financial statements as of September 30, 2023, are unaudited. The condensed consolidated balance sheet as of December 31, 2022, included herein was derived from the audited consolidated financial statements as of that date. Certain information and note disclosures normally included in annual financial statements prepared in accordance with GAAP have been condensed or omitted. As such, the information included herein should be read in conjunction with the consolidated financial statements and accompanying notes as of and for the year ended December 31, 2022, included in the Company’s Annual Report on Form 10-K, filed with the SEC on March 16, 2023.</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condensed consolidated financial statements include the accounts of the Company and its wholly owned subsidiaries. All intercompany accounts and transactions have been eliminated in consolidation. Certain prior year amounts have been reclassified to conform to current year presentation. The Company’s fiscal year begins on January 1 and ends on December 31.</w:t>
      </w:r>
    </w:p>
    <w:p>
      <w:pPr>
        <w:pStyle w:val="TextBody"/>
        <w:bidi w:val="0"/>
        <w:jc w:val="both"/>
        <w:rPr>
          <w:rFonts w:ascii="Times New Roman" w:hAnsi="Times New Roman"/>
          <w:sz w:val="20"/>
        </w:rPr>
      </w:pPr>
      <w:r>
        <w:rPr>
          <w:rFonts w:ascii="Times New Roman" w:hAnsi="Times New Roman"/>
          <w:b w:val="false"/>
          <w:color w:val="000000"/>
          <w:sz w:val="20"/>
        </w:rPr>
        <w:t>In the opinion of the Company’s management, the unaudited condensed consolidated financial statements include all adjustments necessary for fair financial statement presentation. All adjustments are of a normal recurring nature. Interim results are not necessarily indicative of the results to be expected for any subsequent quarter or for the fiscal year ending December 31, 2023.</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Business Combination</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On September 24, 2021 (the “Closing Date”), the Company consummated the business combination (the “Business Combination”) pursuant to the terms of the Agreement and Plan of Merger, dated as of April 5, 2021, by and among Rotor Acquisition Corp.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Rotor, Merger Sub and Old Sarcos. Pursuant to the terms of the Merger Agreement, the Business Combination between Rotor and Old Sarcos was effected through the merger of Merger Sub with and into Old Sarcos, with Old Sarcos continuing as the surviving corporation (the “Merger”) and a wholly-owned subsidiary of Rotor. On the Closing Date, Rotor changed its name from Rotor Acquisition Corp. to Sarcos Technology and Robotics Corporation.</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Immediately prior to the effective time of the Merger (the “Effective Time”), all issued and outstanding warrants to purchase shares of Class A common stock of Old Sarcos were net exercised and all issued and outstanding shares of preferred stock of Old Sarcos were converted into common stock of Old Sarcos (collectively, the “Old Sarcos Common Stock”). Pursuant to the terms of the Merger Agreement, at the Effective Time:</w:t>
      </w:r>
      <w:r>
        <w:rPr>
          <w:rFonts w:ascii="Times New Roman" w:hAnsi="Times New Roman"/>
          <w:color w:val="000000"/>
          <w:sz w:val="20"/>
        </w:rPr>
        <w:t xml:space="preserve">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each outstanding share of Old Sarcos Common Stock, after giving effect to the conversion described above, was cancelled and converted into and became</w:t>
      </w:r>
      <w:r>
        <w:rPr>
          <w:rFonts w:ascii="Times New Roman" w:hAnsi="Times New Roman"/>
          <w:color w:val="000000"/>
          <w:sz w:val="20"/>
        </w:rPr>
        <w:t xml:space="preserve"> </w:t>
      </w:r>
      <w:r>
        <w:rPr>
          <w:rFonts w:ascii="Times New Roman" w:hAnsi="Times New Roman"/>
          <w:b w:val="false"/>
          <w:color w:val="000000"/>
          <w:sz w:val="20"/>
        </w:rPr>
        <w:t>(i) the right to receive approximately 0.854870404</w:t>
      </w:r>
      <w:r>
        <w:rPr>
          <w:rFonts w:ascii="Times New Roman" w:hAnsi="Times New Roman"/>
          <w:color w:val="000000"/>
          <w:sz w:val="20"/>
        </w:rPr>
        <w:t xml:space="preserve"> </w:t>
      </w:r>
      <w:r>
        <w:rPr>
          <w:rFonts w:ascii="Times New Roman" w:hAnsi="Times New Roman"/>
          <w:b w:val="false"/>
          <w:color w:val="000000"/>
          <w:sz w:val="20"/>
        </w:rPr>
        <w:t>shares (the “Exchange Ratio”) of Common Stock of the Company, par value $0.0001</w:t>
      </w:r>
      <w:r>
        <w:rPr>
          <w:rFonts w:ascii="Times New Roman" w:hAnsi="Times New Roman"/>
          <w:color w:val="000000"/>
          <w:sz w:val="20"/>
        </w:rPr>
        <w:t xml:space="preserve"> </w:t>
      </w:r>
      <w:r>
        <w:rPr>
          <w:rFonts w:ascii="Times New Roman" w:hAnsi="Times New Roman"/>
          <w:b w:val="false"/>
          <w:color w:val="000000"/>
          <w:sz w:val="20"/>
        </w:rPr>
        <w:t>per share (the “Common Stock”), rounded down to the nearest whole share plus (ii) the contingent right to receive a portion of additional shares of Common Stock upon achievement of certain milestones (the “Contingent Merger Consideration”), as described below;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outstanding options, restricted stock units (“RSUs”) and a restricted stock award (“RSA”) of Old Sarcos, whether vested or unvested, were assumed by the Company and converted into options, RSUs and an RSA of the Company;</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In addition, each holder of Old Sarcos capital stock (including the Old Sarcos RSA) was entitled to a right to Contingent Merger Consideration at the Closing Date in the form of earn-outs, up to an aggregate of 4.7</w:t>
      </w:r>
      <w:r>
        <w:rPr>
          <w:rFonts w:ascii="Times New Roman" w:hAnsi="Times New Roman"/>
          <w:color w:val="000000"/>
          <w:sz w:val="20"/>
        </w:rPr>
        <w:t xml:space="preserve"> </w:t>
      </w:r>
      <w:r>
        <w:rPr>
          <w:rFonts w:ascii="Times New Roman" w:hAnsi="Times New Roman"/>
          <w:b w:val="false"/>
          <w:color w:val="000000"/>
          <w:sz w:val="20"/>
        </w:rPr>
        <w:t>million shares of Common Stock.</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On the Closing Date, certain investors (the “PIPE Investors”) purchased from the Company approximately 3.7</w:t>
      </w:r>
      <w:r>
        <w:rPr>
          <w:rFonts w:ascii="Times New Roman" w:hAnsi="Times New Roman"/>
          <w:color w:val="000000"/>
          <w:sz w:val="20"/>
        </w:rPr>
        <w:t xml:space="preserve"> </w:t>
      </w:r>
      <w:r>
        <w:rPr>
          <w:rFonts w:ascii="Times New Roman" w:hAnsi="Times New Roman"/>
          <w:b w:val="false"/>
          <w:color w:val="000000"/>
          <w:sz w:val="20"/>
        </w:rPr>
        <w:t>million shares (the “PIPE Shares”) of Common Stock at a price of $60.00</w:t>
      </w:r>
      <w:r>
        <w:rPr>
          <w:rFonts w:ascii="Times New Roman" w:hAnsi="Times New Roman"/>
          <w:color w:val="000000"/>
          <w:sz w:val="20"/>
        </w:rPr>
        <w:t xml:space="preserve"> </w:t>
      </w:r>
      <w:r>
        <w:rPr>
          <w:rFonts w:ascii="Times New Roman" w:hAnsi="Times New Roman"/>
          <w:b w:val="false"/>
          <w:color w:val="000000"/>
          <w:sz w:val="20"/>
        </w:rPr>
        <w:t>per share, for an aggregate purchase price of $220.0</w:t>
      </w:r>
      <w:r>
        <w:rPr>
          <w:rFonts w:ascii="Times New Roman" w:hAnsi="Times New Roman"/>
          <w:color w:val="000000"/>
          <w:sz w:val="20"/>
        </w:rPr>
        <w:t xml:space="preserve"> </w:t>
      </w:r>
      <w:r>
        <w:rPr>
          <w:rFonts w:ascii="Times New Roman" w:hAnsi="Times New Roman"/>
          <w:b w:val="false"/>
          <w:color w:val="000000"/>
          <w:sz w:val="20"/>
        </w:rPr>
        <w:t>million (the “PIPE Financing”), in a private placement pursuant to separate subscription agreements (each, a “Subscription Agreement”) entered into effective as of April 5, 2021.</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On September 27, 2021, the Common Stock and warrants of Sarcos Technology and Robotics Corporation (formerly those of Rotor Acquisition Corp.), ceased trading on the New York Stock Exchange and began trading on The Nasdaq Global Market (“Nasdaq”) as “STRC” and “STRCW”, respectively.</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On April 25, 2022, the Company acquired RE2, Inc., (“RE2”) a Pittsburgh, PA based developer of autonomous and teleoperated mobile robotic systems. The results presented herein include the activity of RE2 from the acquisition date through September 30, 2023. The Company's results do not include RE2’s financial information prior to the acquisition. For further detail see Note 4.</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Reverse Stock Split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On July 5, 2023, the Company effected a 1-for-6</w:t>
      </w:r>
      <w:r>
        <w:rPr>
          <w:rFonts w:ascii="Times New Roman" w:hAnsi="Times New Roman"/>
          <w:color w:val="000000"/>
          <w:sz w:val="20"/>
        </w:rPr>
        <w:t xml:space="preserve"> </w:t>
      </w:r>
      <w:r>
        <w:rPr>
          <w:rFonts w:ascii="Times New Roman" w:hAnsi="Times New Roman"/>
          <w:b w:val="false"/>
          <w:color w:val="000000"/>
          <w:sz w:val="20"/>
        </w:rPr>
        <w:t>reverse stock split ("Reverse Stock Split") of the Company's outstanding shares of common stock, as approved by the Company's stockholders at the Company’s Annual Meeting of Stockholders held on June 14, 2023. All share and per share amounts of common stock, options, warrants, restricted stock and restricted stock units in the accompanying condensed consolidated financial statements and notes thereto have been retroactively adjusted for all periods presented to reflect the reverse stock split.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Asset Write-Down and Restructuring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On July 12, 2023, the Company announced that it had refined its sales strategy to focus on products that have the most potential for near-term revenue growth and strategic opportunities. At the time, these products included our Guardian Sea Class system, certain aviation (baggage handling and exterior aircraft maintenance), solar (solar field panel installation) solutions, and our commercial AI/ML software platform to enable generalizable autonomy. In connection with the restructuring efforts announced in July, the Company incurred charges of $5.5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during the three months ended September 30, 2023, $1.1</w:t>
      </w:r>
      <w:r>
        <w:rPr>
          <w:rFonts w:ascii="Times New Roman" w:hAnsi="Times New Roman"/>
          <w:color w:val="000000"/>
          <w:sz w:val="20"/>
        </w:rPr>
        <w:t xml:space="preserve"> </w:t>
      </w:r>
      <w:r>
        <w:rPr>
          <w:rFonts w:ascii="Times New Roman" w:hAnsi="Times New Roman"/>
          <w:b w:val="false"/>
          <w:color w:val="000000"/>
          <w:sz w:val="20"/>
        </w:rPr>
        <w:t>million in severance and benefit payments, and $4.4</w:t>
      </w:r>
      <w:r>
        <w:rPr>
          <w:rFonts w:ascii="Times New Roman" w:hAnsi="Times New Roman"/>
          <w:color w:val="000000"/>
          <w:sz w:val="20"/>
        </w:rPr>
        <w:t xml:space="preserve"> </w:t>
      </w:r>
      <w:r>
        <w:rPr>
          <w:rFonts w:ascii="Times New Roman" w:hAnsi="Times New Roman"/>
          <w:b w:val="false"/>
          <w:color w:val="000000"/>
          <w:sz w:val="20"/>
        </w:rPr>
        <w:t>million due to the acceleration of stock-based compensation expense resulting from the early termination of the Company's redemption right over certain shares held by the Company's former Chief Operating Officer in connection with the termination of his employment. In connection with the restructuring effort announced in July, during the nine months ended September 30, 2023, the Company incurred total charges of $10.6</w:t>
      </w:r>
      <w:r>
        <w:rPr>
          <w:rFonts w:ascii="Times New Roman" w:hAnsi="Times New Roman"/>
          <w:color w:val="000000"/>
          <w:sz w:val="20"/>
        </w:rPr>
        <w:t xml:space="preserve"> </w:t>
      </w:r>
      <w:r>
        <w:rPr>
          <w:rFonts w:ascii="Times New Roman" w:hAnsi="Times New Roman"/>
          <w:b w:val="false"/>
          <w:color w:val="000000"/>
          <w:sz w:val="20"/>
        </w:rPr>
        <w:t>million, which includes a write-down of inventory of $4.4</w:t>
      </w:r>
      <w:r>
        <w:rPr>
          <w:rFonts w:ascii="Times New Roman" w:hAnsi="Times New Roman"/>
          <w:color w:val="000000"/>
          <w:sz w:val="20"/>
        </w:rPr>
        <w:t xml:space="preserve"> </w:t>
      </w:r>
      <w:r>
        <w:rPr>
          <w:rFonts w:ascii="Times New Roman" w:hAnsi="Times New Roman"/>
          <w:b w:val="false"/>
          <w:color w:val="000000"/>
          <w:sz w:val="20"/>
        </w:rPr>
        <w:t>million, a $0.7</w:t>
      </w:r>
      <w:r>
        <w:rPr>
          <w:rFonts w:ascii="Times New Roman" w:hAnsi="Times New Roman"/>
          <w:color w:val="000000"/>
          <w:sz w:val="20"/>
        </w:rPr>
        <w:t xml:space="preserve"> </w:t>
      </w:r>
      <w:r>
        <w:rPr>
          <w:rFonts w:ascii="Times New Roman" w:hAnsi="Times New Roman"/>
          <w:b w:val="false"/>
          <w:color w:val="000000"/>
          <w:sz w:val="20"/>
        </w:rPr>
        <w:t>million impairment charge for certain assets as a result our product development reprioritization, $1.1</w:t>
      </w:r>
      <w:r>
        <w:rPr>
          <w:rFonts w:ascii="Times New Roman" w:hAnsi="Times New Roman"/>
          <w:color w:val="000000"/>
          <w:sz w:val="20"/>
        </w:rPr>
        <w:t xml:space="preserve"> </w:t>
      </w:r>
      <w:r>
        <w:rPr>
          <w:rFonts w:ascii="Times New Roman" w:hAnsi="Times New Roman"/>
          <w:b w:val="false"/>
          <w:color w:val="000000"/>
          <w:sz w:val="20"/>
        </w:rPr>
        <w:t>million in severance and benefit payments, and $4.4</w:t>
      </w:r>
      <w:r>
        <w:rPr>
          <w:rFonts w:ascii="Times New Roman" w:hAnsi="Times New Roman"/>
          <w:color w:val="000000"/>
          <w:sz w:val="20"/>
        </w:rPr>
        <w:t xml:space="preserve"> </w:t>
      </w:r>
      <w:r>
        <w:rPr>
          <w:rFonts w:ascii="Times New Roman" w:hAnsi="Times New Roman"/>
          <w:b w:val="false"/>
          <w:color w:val="000000"/>
          <w:sz w:val="20"/>
        </w:rPr>
        <w:t>million due to the acceleration of stock-based compensation noted above.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Subsequent to September 30, 2023, on November 14, 2023, the Company announced its decision to suspend for the foreseeable future commercialization efforts on its subsea, aviation and solar robotics hardware programs and focus on the development of its commercial AI/ML software platform. The Company will continue some hardware system research and development efforts on a substantially reduced scale, in part to support its software platform development efforts. As a result of the Company's refined strategy it is optimizing its organization in pursuit of this product opportunity and will reduce costs, including reducing headcount and shifting all operations to its Salt Lake City, Utah location and will shut down its facilities in Pittsburgh, Pennsylvania.</w:t>
      </w:r>
      <w:r>
        <w:rPr>
          <w:rFonts w:ascii="Times New Roman" w:hAnsi="Times New Roman"/>
          <w:color w:val="000000"/>
          <w:sz w:val="20"/>
        </w:rPr>
        <w:t xml:space="preserve"> </w:t>
      </w:r>
      <w:r>
        <w:rPr>
          <w:rFonts w:ascii="Times New Roman" w:hAnsi="Times New Roman"/>
          <w:b w:val="false"/>
          <w:color w:val="000000"/>
          <w:sz w:val="20"/>
        </w:rPr>
        <w:t>In connection with the restructuring efforts announced in November 2023, the Company incurred charges of 5.7</w:t>
      </w:r>
      <w:r>
        <w:rPr>
          <w:rFonts w:ascii="Times New Roman" w:hAnsi="Times New Roman"/>
          <w:color w:val="000000"/>
          <w:sz w:val="20"/>
        </w:rPr>
        <w:t xml:space="preserve"> </w:t>
      </w:r>
      <w:r>
        <w:rPr>
          <w:rFonts w:ascii="Times New Roman" w:hAnsi="Times New Roman"/>
          <w:b w:val="false"/>
          <w:color w:val="000000"/>
          <w:sz w:val="20"/>
        </w:rPr>
        <w:t>million during the three and nine months ended September 30, 2023, which includes a write-down of inventory of $5.2</w:t>
      </w:r>
      <w:r>
        <w:rPr>
          <w:rFonts w:ascii="Times New Roman" w:hAnsi="Times New Roman"/>
          <w:color w:val="000000"/>
          <w:sz w:val="20"/>
        </w:rPr>
        <w:t xml:space="preserve"> </w:t>
      </w:r>
      <w:r>
        <w:rPr>
          <w:rFonts w:ascii="Times New Roman" w:hAnsi="Times New Roman"/>
          <w:b w:val="false"/>
          <w:color w:val="000000"/>
          <w:sz w:val="20"/>
        </w:rPr>
        <w:t>million, and an impairment charge of $0.5</w:t>
      </w:r>
      <w:r>
        <w:rPr>
          <w:rFonts w:ascii="Times New Roman" w:hAnsi="Times New Roman"/>
          <w:color w:val="000000"/>
          <w:sz w:val="20"/>
        </w:rPr>
        <w:t xml:space="preserve"> </w:t>
      </w:r>
      <w:r>
        <w:rPr>
          <w:rFonts w:ascii="Times New Roman" w:hAnsi="Times New Roman"/>
          <w:b w:val="false"/>
          <w:color w:val="000000"/>
          <w:sz w:val="20"/>
        </w:rPr>
        <w:t>million for certain assets as a result our product development reprioritization.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The Company anticipates incurring additional restructuring expenses related to the November 14, 2023 restructuring actions in the range of $22</w:t>
      </w:r>
      <w:r>
        <w:rPr>
          <w:rFonts w:ascii="Times New Roman" w:hAnsi="Times New Roman"/>
          <w:color w:val="000000"/>
          <w:sz w:val="20"/>
        </w:rPr>
        <w:t xml:space="preserve"> </w:t>
      </w:r>
      <w:r>
        <w:rPr>
          <w:rFonts w:ascii="Times New Roman" w:hAnsi="Times New Roman"/>
          <w:b w:val="false"/>
          <w:color w:val="000000"/>
          <w:sz w:val="20"/>
        </w:rPr>
        <w:t>million to $24</w:t>
      </w:r>
      <w:r>
        <w:rPr>
          <w:rFonts w:ascii="Times New Roman" w:hAnsi="Times New Roman"/>
          <w:color w:val="000000"/>
          <w:sz w:val="20"/>
        </w:rPr>
        <w:t xml:space="preserve"> </w:t>
      </w:r>
      <w:r>
        <w:rPr>
          <w:rFonts w:ascii="Times New Roman" w:hAnsi="Times New Roman"/>
          <w:b w:val="false"/>
          <w:color w:val="000000"/>
          <w:sz w:val="20"/>
        </w:rPr>
        <w:t>million during the fourth quarter of 2023 and the first quarter of 2024. These expenses include approximately $4</w:t>
      </w:r>
      <w:r>
        <w:rPr>
          <w:rFonts w:ascii="Times New Roman" w:hAnsi="Times New Roman"/>
          <w:color w:val="000000"/>
          <w:sz w:val="20"/>
        </w:rPr>
        <w:t xml:space="preserve"> </w:t>
      </w:r>
      <w:r>
        <w:rPr>
          <w:rFonts w:ascii="Times New Roman" w:hAnsi="Times New Roman"/>
          <w:b w:val="false"/>
          <w:color w:val="000000"/>
          <w:sz w:val="20"/>
        </w:rPr>
        <w:t>million dollars in personnel expenses such as salaries, wages, benefits and severance related to the eliminated headcount. The remainder will be non-cash expenses related to expected accelerated amortization of intangible and other assets due to the strategic shift initiated during the fourth quarter.</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There have been no changes to the Company’s significant accounting policies described in the annual consolidated financial statements for the year ended December 31, 2022 that have had a material impact on the Company’s condensed consolidated financial statements and related notes.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Cash, cash equivalents and marketable securities were $55.1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as of September 30, 2023, compared to $114.5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as of December 31, 2022. The Company has historically incurred losses and negative cash flows from operations. As of September 30, 2023, the Company also had an accumulated deficit of approximately $381.7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working capital of $53.4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20"/>
        </w:rPr>
        <w:t>These financial statements have been prepared in accordance with GAAP and on the basis that the Company will continue as a going concern, which contemplates the realization of assets and the satisfaction of liabilities and commitments in the normal course of business. The Company’s main source of liquidity has been cash generated by equity offerings. The Company’s primary use of cash is for operations and administrative activities including employee-related expenses, and general, operating and overhead expenses. Future capital requirements will depend on many factors, including the Company’s timing and extent of development efforts, the expansion and success of sales and marketing activities, customer growth rate, customer retention, the introduction of new and enhanced product offerings and market acceptance of the Company’s products. The Company believes it has sufficient financial resources for at least the next 12 months from the date of this Report.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0"/>
        </w:rPr>
        <w:t>Revenue Recognition</w:t>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Company recognizes revenue from the sale of its products and from the delivery of goods and services arising out of its contractual arrangements to provide product development contract services that are funded by the customer. The Company recognizes revenue when promised goods or services are transferred to customers in an amount that reflects the consideration to which the Company expects to be entitled in exchange for those goods or services by following a five-step process:</w:t>
      </w:r>
    </w:p>
    <w:p>
      <w:pPr>
        <w:pStyle w:val="TextBody"/>
        <w:bidi w:val="0"/>
        <w:spacing w:before="0" w:after="0"/>
        <w:jc w:val="both"/>
        <w:rPr>
          <w:rFonts w:ascii="Times New Roman" w:hAnsi="Times New Roman"/>
          <w:b w:val="false"/>
          <w:i/>
          <w:color w:val="000000"/>
          <w:sz w:val="20"/>
        </w:rPr>
      </w:pPr>
      <w:r>
        <w:rPr>
          <w:rFonts w:ascii="Times New Roman" w:hAnsi="Times New Roman"/>
          <w:b w:val="false"/>
          <w:i/>
          <w:color w:val="000000"/>
          <w:sz w:val="20"/>
        </w:rPr>
        <w:t>(1)</w:t>
      </w:r>
    </w:p>
    <w:p>
      <w:pPr>
        <w:pStyle w:val="TextBody"/>
        <w:bidi w:val="0"/>
        <w:jc w:val="both"/>
        <w:rPr>
          <w:rFonts w:ascii="Times New Roman" w:hAnsi="Times New Roman"/>
          <w:sz w:val="24"/>
        </w:rPr>
      </w:pPr>
      <w:r>
        <w:rPr>
          <w:rFonts w:ascii="Times New Roman" w:hAnsi="Times New Roman"/>
          <w:b w:val="false"/>
          <w:i/>
          <w:color w:val="000000"/>
          <w:sz w:val="20"/>
        </w:rPr>
        <w:t>Identify the contract with a customer:</w:t>
      </w:r>
      <w:r>
        <w:rPr>
          <w:rFonts w:ascii="Times New Roman" w:hAnsi="Times New Roman"/>
          <w:color w:val="000000"/>
          <w:sz w:val="24"/>
        </w:rPr>
        <w:t xml:space="preserve"> </w:t>
      </w:r>
      <w:r>
        <w:rPr>
          <w:rFonts w:ascii="Times New Roman" w:hAnsi="Times New Roman"/>
          <w:b w:val="false"/>
          <w:color w:val="000000"/>
          <w:sz w:val="20"/>
        </w:rPr>
        <w:t>A contract with a customer exists when (i) the Company enters into an enforceable contract with a customer that defines each party’s rights and obligations regarding the products and services to be transferred and identifies the payment terms related to these products and services, (ii) the contract has commercial substance and (iii) the Company determines that collection of substantially all consideration for products and services that are transferred is probable based on the customer’s intent and ability to pay the promised consideration. Contract modifications may include changes in scope of work, and/or the period of completion of the project. The Company analyzes contract modifications to determine if they should be accounted for as a modification to an existing contract or a new stand-alone contract.</w:t>
      </w:r>
    </w:p>
    <w:p>
      <w:pPr>
        <w:pStyle w:val="TextBody"/>
        <w:bidi w:val="0"/>
        <w:jc w:val="both"/>
        <w:rPr/>
      </w:pPr>
      <w:r>
        <w:rPr/>
        <w:t> </w:t>
      </w:r>
    </w:p>
    <w:p>
      <w:pPr>
        <w:pStyle w:val="TextBody"/>
        <w:bidi w:val="0"/>
        <w:spacing w:before="0" w:after="0"/>
        <w:jc w:val="both"/>
        <w:rPr>
          <w:rFonts w:ascii="Times New Roman" w:hAnsi="Times New Roman"/>
          <w:b w:val="false"/>
          <w:i/>
          <w:color w:val="000000"/>
          <w:sz w:val="20"/>
        </w:rPr>
      </w:pPr>
      <w:r>
        <w:rPr>
          <w:rFonts w:ascii="Times New Roman" w:hAnsi="Times New Roman"/>
          <w:b w:val="false"/>
          <w:i/>
          <w:color w:val="000000"/>
          <w:sz w:val="20"/>
        </w:rPr>
        <w:t>(2)</w:t>
      </w:r>
    </w:p>
    <w:p>
      <w:pPr>
        <w:pStyle w:val="TextBody"/>
        <w:bidi w:val="0"/>
        <w:jc w:val="both"/>
        <w:rPr>
          <w:rFonts w:ascii="Times New Roman" w:hAnsi="Times New Roman"/>
          <w:sz w:val="24"/>
        </w:rPr>
      </w:pPr>
      <w:r>
        <w:rPr>
          <w:rFonts w:ascii="Times New Roman" w:hAnsi="Times New Roman"/>
          <w:b w:val="false"/>
          <w:i/>
          <w:color w:val="000000"/>
          <w:sz w:val="20"/>
        </w:rPr>
        <w:t>Identify the performance obligations in the contract:</w:t>
      </w:r>
      <w:r>
        <w:rPr>
          <w:rFonts w:ascii="Times New Roman" w:hAnsi="Times New Roman"/>
          <w:color w:val="000000"/>
          <w:sz w:val="24"/>
        </w:rPr>
        <w:t xml:space="preserve"> </w:t>
      </w:r>
      <w:r>
        <w:rPr>
          <w:rFonts w:ascii="Times New Roman" w:hAnsi="Times New Roman"/>
          <w:b w:val="false"/>
          <w:color w:val="000000"/>
          <w:sz w:val="20"/>
        </w:rPr>
        <w:t>The Company enters into contracts that can include combinations of products and services, which are either capable of being distinct and accounted for as separate performance obligations or as one performance obligation if the majority of tasks and services form a single project or capability. Determining whether products or services are considered distinct performance obligations that should be accounted for separately may require significant judgment.</w:t>
      </w:r>
    </w:p>
    <w:p>
      <w:pPr>
        <w:pStyle w:val="TextBody"/>
        <w:bidi w:val="0"/>
        <w:jc w:val="both"/>
        <w:rPr/>
      </w:pPr>
      <w:r>
        <w:rPr/>
        <w:t> </w:t>
      </w:r>
    </w:p>
    <w:p>
      <w:pPr>
        <w:pStyle w:val="TextBody"/>
        <w:bidi w:val="0"/>
        <w:spacing w:before="0" w:after="0"/>
        <w:jc w:val="both"/>
        <w:rPr>
          <w:rFonts w:ascii="Times New Roman" w:hAnsi="Times New Roman"/>
          <w:b w:val="false"/>
          <w:i/>
          <w:color w:val="000000"/>
          <w:sz w:val="20"/>
        </w:rPr>
      </w:pPr>
      <w:r>
        <w:rPr>
          <w:rFonts w:ascii="Times New Roman" w:hAnsi="Times New Roman"/>
          <w:b w:val="false"/>
          <w:i/>
          <w:color w:val="000000"/>
          <w:sz w:val="20"/>
        </w:rPr>
        <w:t>(3)</w:t>
      </w:r>
    </w:p>
    <w:p>
      <w:pPr>
        <w:pStyle w:val="TextBody"/>
        <w:bidi w:val="0"/>
        <w:jc w:val="both"/>
        <w:rPr>
          <w:rFonts w:ascii="Times New Roman" w:hAnsi="Times New Roman"/>
          <w:sz w:val="24"/>
        </w:rPr>
      </w:pPr>
      <w:r>
        <w:rPr>
          <w:rFonts w:ascii="Times New Roman" w:hAnsi="Times New Roman"/>
          <w:b w:val="false"/>
          <w:i/>
          <w:color w:val="000000"/>
          <w:sz w:val="20"/>
        </w:rPr>
        <w:t>Determine the transaction price:</w:t>
      </w:r>
      <w:r>
        <w:rPr>
          <w:rFonts w:ascii="Times New Roman" w:hAnsi="Times New Roman"/>
          <w:color w:val="000000"/>
          <w:sz w:val="24"/>
        </w:rPr>
        <w:t xml:space="preserve"> </w:t>
      </w:r>
      <w:r>
        <w:rPr>
          <w:rFonts w:ascii="Times New Roman" w:hAnsi="Times New Roman"/>
          <w:b w:val="false"/>
          <w:color w:val="000000"/>
          <w:sz w:val="20"/>
        </w:rPr>
        <w:t xml:space="preserve">The transaction price is determined based on the consideration to which the Company will be entitled in exchange for transferring goods or services to the customer. Such amounts are typically stated in the customer contract. However, to the extent that the Company identifies variable consideration, the Company will estimate the variable consideration at the onset of the arrangement as long as it is probable that a significant reversal in the amount of cumulative revenue recognized will not occur when the uncertainty associated with the variable consideration is subsequently resolved. The Company’s current contracts do not include any significant financing components because the timing of the transfer of the underlying products and services under contract are at the customer's discretion. Additionally, the Company does not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Taxes collected from customers and remitted to governmental authorities are not included in revenue. </w:t>
      </w:r>
    </w:p>
    <w:p>
      <w:pPr>
        <w:pStyle w:val="TextBody"/>
        <w:bidi w:val="0"/>
        <w:jc w:val="both"/>
        <w:rPr/>
      </w:pPr>
      <w:r>
        <w:rPr/>
        <w:t> </w:t>
      </w:r>
    </w:p>
    <w:p>
      <w:pPr>
        <w:pStyle w:val="TextBody"/>
        <w:bidi w:val="0"/>
        <w:spacing w:before="0" w:after="0"/>
        <w:jc w:val="both"/>
        <w:rPr>
          <w:rFonts w:ascii="Times New Roman" w:hAnsi="Times New Roman"/>
          <w:b w:val="false"/>
          <w:i/>
          <w:color w:val="000000"/>
          <w:sz w:val="20"/>
        </w:rPr>
      </w:pPr>
      <w:r>
        <w:rPr>
          <w:rFonts w:ascii="Times New Roman" w:hAnsi="Times New Roman"/>
          <w:b w:val="false"/>
          <w:i/>
          <w:color w:val="000000"/>
          <w:sz w:val="20"/>
        </w:rPr>
        <w:t>(4)</w:t>
      </w:r>
    </w:p>
    <w:p>
      <w:pPr>
        <w:pStyle w:val="TextBody"/>
        <w:bidi w:val="0"/>
        <w:jc w:val="both"/>
        <w:rPr>
          <w:rFonts w:ascii="Times New Roman" w:hAnsi="Times New Roman"/>
          <w:sz w:val="24"/>
        </w:rPr>
      </w:pPr>
      <w:r>
        <w:rPr>
          <w:rFonts w:ascii="Times New Roman" w:hAnsi="Times New Roman"/>
          <w:b w:val="false"/>
          <w:i/>
          <w:color w:val="000000"/>
          <w:sz w:val="20"/>
        </w:rPr>
        <w:t>Allocate the transaction price to performance obligations in the contract:</w:t>
      </w:r>
      <w:r>
        <w:rPr>
          <w:rFonts w:ascii="Times New Roman" w:hAnsi="Times New Roman"/>
          <w:color w:val="000000"/>
          <w:sz w:val="24"/>
        </w:rPr>
        <w:t xml:space="preserve"> </w:t>
      </w:r>
      <w:r>
        <w:rPr>
          <w:rFonts w:ascii="Times New Roman" w:hAnsi="Times New Roman"/>
          <w:b w:val="false"/>
          <w:color w:val="000000"/>
          <w:sz w:val="20"/>
        </w:rPr>
        <w:t>Once the Company has determined the transaction price, the total transaction price is allocated to each performance obligation in a manner depicting the amount of consideration to which the Company expects to be entitled in exchange for transferring the good(s) or service(s) to the customer. If applicable, the Company allocates the transaction price to each performance obligation identified in the contract on a relative standalone selling price basis. The standalone selling price represents the amount the Company would sell the good(s) or service(s) to a customer on a standalone basis. For government contracts, the Company uses expected cost plus a margin as the standalone selling price. Because the Company's contract pricing with government customers is generally based on expected cost plus a margin, the standalone selling price of the good(s) or service(s) in the Company's contracts with government customers are typically equal to the selling price stated in the contract. When we sell standard good(s) or service(s) with observable standalone sale transactions, the observable standalone sales transactions are used to determine the standalone selling price.</w:t>
      </w:r>
    </w:p>
    <w:p>
      <w:pPr>
        <w:pStyle w:val="TextBody"/>
        <w:bidi w:val="0"/>
        <w:jc w:val="both"/>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0"/>
        <w:jc w:val="both"/>
        <w:rPr>
          <w:rFonts w:ascii="Times New Roman" w:hAnsi="Times New Roman"/>
          <w:b w:val="false"/>
          <w:i/>
          <w:color w:val="000000"/>
          <w:sz w:val="20"/>
        </w:rPr>
      </w:pPr>
      <w:r>
        <w:rPr>
          <w:rFonts w:ascii="Times New Roman" w:hAnsi="Times New Roman"/>
          <w:b w:val="false"/>
          <w:i/>
          <w:color w:val="000000"/>
          <w:sz w:val="20"/>
        </w:rPr>
        <w:t>(5)</w:t>
      </w:r>
    </w:p>
    <w:p>
      <w:pPr>
        <w:pStyle w:val="TextBody"/>
        <w:bidi w:val="0"/>
        <w:jc w:val="both"/>
        <w:rPr>
          <w:rFonts w:ascii="Times New Roman" w:hAnsi="Times New Roman"/>
          <w:sz w:val="24"/>
        </w:rPr>
      </w:pPr>
      <w:r>
        <w:rPr>
          <w:rFonts w:ascii="Times New Roman" w:hAnsi="Times New Roman"/>
          <w:b w:val="false"/>
          <w:i/>
          <w:color w:val="000000"/>
          <w:sz w:val="20"/>
        </w:rPr>
        <w:t>Recognize revenue when or as the Company satisfies a performance obligation</w:t>
      </w:r>
      <w:r>
        <w:rPr>
          <w:rFonts w:ascii="Times New Roman" w:hAnsi="Times New Roman"/>
          <w:b w:val="false"/>
          <w:color w:val="000000"/>
          <w:sz w:val="20"/>
        </w:rPr>
        <w:t>: For each performance obligation identified, the Company determines at contract inception whether it satisfies the performance obligation over time or at a point in time. For performance obligations satisfied over time, revenue is recognized as work progresses when the Company is entitled to the reimbursement of costs plus a reasonable profit for work performed for which the Company has no alternate use. For these performance obligations, the Company generally recognizes revenue using an input method with revenue amounts being recognized proportionately as costs are incurred relative to the total expected costs to satisfy the performance obligation. The Company believes that costs incurred as a portion of total estimated costs is an appropriate measure of progress towards satisfaction of the performance obligation since this measure reasonably depicts the progress of the work effort. Revenue for performance obligations that are not recognized over time are recognized at the point in time when control transfers to the customer (which is generally upon delivery). For performance obligations that are satisfied at a point in time, the Company evaluates the point in time when the customer can direct the use of, and obtain the benefits from, the products and services. Shipping and handling costs are recorded at the time of product shipment to the customer and are included within revenue.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 from Contracts with Customers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Company derives its revenue from two sources. First, the Company enters into research and development agreements primarily relating to the commercialization of the Company’s products. Second, the Company sells its products and related parts and repair services. Product development contract revenue includes revenue arising from different types of contractual arrangements, including cost-type contracts and fixed-price contracts. Product revenue primarily consists of sales of the Company’s products.</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Product Development Contract Revenue</w:t>
      </w:r>
    </w:p>
    <w:p>
      <w:pPr>
        <w:pStyle w:val="TextBody"/>
        <w:bidi w:val="0"/>
        <w:jc w:val="both"/>
        <w:rPr>
          <w:rFonts w:ascii="Times New Roman" w:hAnsi="Times New Roman"/>
          <w:sz w:val="20"/>
        </w:rPr>
      </w:pPr>
      <w:r>
        <w:rPr>
          <w:rFonts w:ascii="Times New Roman" w:hAnsi="Times New Roman"/>
          <w:b w:val="false"/>
          <w:i/>
          <w:color w:val="000000"/>
          <w:sz w:val="20"/>
        </w:rPr>
        <w:t>Cost-type contracts</w:t>
      </w:r>
      <w:r>
        <w:rPr>
          <w:rFonts w:ascii="Times New Roman" w:hAnsi="Times New Roman"/>
          <w:color w:val="000000"/>
          <w:sz w:val="20"/>
        </w:rPr>
        <w:t xml:space="preserve"> – </w:t>
      </w:r>
      <w:r>
        <w:rPr>
          <w:rFonts w:ascii="Times New Roman" w:hAnsi="Times New Roman"/>
          <w:b w:val="false"/>
          <w:color w:val="000000"/>
          <w:sz w:val="20"/>
        </w:rPr>
        <w:t>Research, development and/or testing service contracts, including cost-plus-fixed-fee and time and material contracts, relate primarily to the development of the Company's products and related technology. Cost-type contracts are generally entered into with the U.S. government. These contracts are billed at cost plus a margin as defined by the contract and the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pStyle w:val="TextBody"/>
        <w:bidi w:val="0"/>
        <w:jc w:val="both"/>
        <w:rPr>
          <w:rFonts w:ascii="Times New Roman" w:hAnsi="Times New Roman"/>
          <w:sz w:val="20"/>
        </w:rPr>
      </w:pPr>
      <w:r>
        <w:rPr>
          <w:rFonts w:ascii="Times New Roman" w:hAnsi="Times New Roman"/>
          <w:b w:val="false"/>
          <w:i/>
          <w:color w:val="000000"/>
          <w:sz w:val="20"/>
        </w:rPr>
        <w:t>Fixed-price contracts</w:t>
      </w:r>
      <w:r>
        <w:rPr>
          <w:rFonts w:ascii="Times New Roman" w:hAnsi="Times New Roman"/>
          <w:color w:val="000000"/>
          <w:sz w:val="20"/>
        </w:rPr>
        <w:t xml:space="preserve"> – </w:t>
      </w:r>
      <w:r>
        <w:rPr>
          <w:rFonts w:ascii="Times New Roman" w:hAnsi="Times New Roman"/>
          <w:b w:val="false"/>
          <w:color w:val="000000"/>
          <w:sz w:val="20"/>
        </w:rPr>
        <w:t>Fixed-price development contracts relate primarily to the development of technology in the area of robotic platforms. Fixed-price development contracts generally require a significant service of integrating a complex set of tasks and components into a single deliverable. Revenue on fixed-price contracts is generally recognized over time as goods and services are provided. To the extent the Company’s actual costs vary from the fixed fee, we will generate more or less profit or could incur a loss. The Company will recognize losses at the contract level in earnings in the period in which they are incurred.</w:t>
      </w:r>
    </w:p>
    <w:p>
      <w:pPr>
        <w:pStyle w:val="TextBody"/>
        <w:bidi w:val="0"/>
        <w:jc w:val="both"/>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Product Revenue</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Product revenue relates to sales of the Company’s commercially available products, and certain miscellaneous parts, accessories and repair services. The Company provides a limited one-year warranty on product sales.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Revenue recognized for Product Development Contract Revenue and Product Revenue for the three and nine months ended September 30, 2023 and 2022,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68"/>
        <w:gridCol w:w="146"/>
        <w:gridCol w:w="376"/>
        <w:gridCol w:w="984"/>
        <w:gridCol w:w="280"/>
        <w:gridCol w:w="280"/>
        <w:gridCol w:w="376"/>
        <w:gridCol w:w="984"/>
        <w:gridCol w:w="146"/>
        <w:gridCol w:w="146"/>
        <w:gridCol w:w="370"/>
        <w:gridCol w:w="967"/>
        <w:gridCol w:w="275"/>
        <w:gridCol w:w="275"/>
        <w:gridCol w:w="370"/>
        <w:gridCol w:w="967"/>
        <w:gridCol w:w="395"/>
      </w:tblGrid>
      <w:tr>
        <w:trPr/>
        <w:tc>
          <w:tcPr>
            <w:tcW w:w="2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86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2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nine months ended September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8"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shd w:fill="FFFFFF" w:val="clear"/>
            <w:vAlign w:val="center"/>
          </w:tcPr>
          <w:p>
            <w:pPr>
              <w:pStyle w:val="TableContents"/>
              <w:bidi w:val="0"/>
              <w:spacing w:before="0" w:after="283"/>
              <w:jc w:val="left"/>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Product Development Contract Revenue</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8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1,044</w:t>
            </w:r>
          </w:p>
        </w:tc>
        <w:tc>
          <w:tcPr>
            <w:tcW w:w="280"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8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6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4,614</w:t>
            </w:r>
          </w:p>
        </w:tc>
        <w:tc>
          <w:tcPr>
            <w:tcW w:w="275"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6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8,203</w:t>
            </w:r>
          </w:p>
        </w:tc>
        <w:tc>
          <w:tcPr>
            <w:tcW w:w="395" w:type="dxa"/>
            <w:tcBorders/>
            <w:shd w:fill="CFF0FC" w:val="clear"/>
            <w:vAlign w:val="center"/>
          </w:tcPr>
          <w:p>
            <w:pPr>
              <w:pStyle w:val="TableContents"/>
              <w:bidi w:val="0"/>
              <w:spacing w:before="0" w:after="283"/>
              <w:jc w:val="left"/>
              <w:rPr/>
            </w:pPr>
            <w:r>
              <w:rPr/>
              <w:t> </w:t>
            </w:r>
          </w:p>
        </w:tc>
      </w:tr>
      <w:tr>
        <w:trPr/>
        <w:tc>
          <w:tcPr>
            <w:tcW w:w="2868"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Product Revenue</w:t>
            </w:r>
          </w:p>
        </w:tc>
        <w:tc>
          <w:tcPr>
            <w:tcW w:w="146" w:type="dxa"/>
            <w:tcBorders/>
            <w:shd w:fill="FFFFFF" w:val="cle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783</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786</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6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Revenue, net</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1,827</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5,400</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8,448</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Contract Balances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timing of revenue recognition, billing and cash collection results in the recognition of accounts receivable, unbilled receivables, contract assets and deferred revenue in the Company’s condensed consolidated balance sheets.</w:t>
      </w:r>
    </w:p>
    <w:p>
      <w:pPr>
        <w:pStyle w:val="TextBody"/>
        <w:bidi w:val="0"/>
        <w:jc w:val="both"/>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val="false"/>
          <w:color w:val="000000"/>
          <w:sz w:val="20"/>
        </w:rPr>
        <w:t>Cash funds received in excess of revenue recognized that is contingent upon the satisfaction of performance obligations is accounted for as deferred revenue.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20"/>
        </w:rPr>
        <w:t>Contract assets include unbilled receivables which are amounts resulting from timing differences between revenue recognition and billing in accordance with agreed-upon contractual terms, which typically occur subsequent to revenue being recognized.</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opening and closing balances of our accounts receivable, unbilled receivables, contract assets and deferred revenue as of September 30, 2023 and December 31, 2022,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03"/>
        <w:gridCol w:w="146"/>
        <w:gridCol w:w="380"/>
        <w:gridCol w:w="995"/>
        <w:gridCol w:w="166"/>
        <w:gridCol w:w="146"/>
        <w:gridCol w:w="340"/>
        <w:gridCol w:w="995"/>
        <w:gridCol w:w="166"/>
        <w:gridCol w:w="146"/>
        <w:gridCol w:w="387"/>
        <w:gridCol w:w="745"/>
        <w:gridCol w:w="146"/>
        <w:gridCol w:w="146"/>
        <w:gridCol w:w="423"/>
        <w:gridCol w:w="747"/>
        <w:gridCol w:w="166"/>
        <w:gridCol w:w="146"/>
        <w:gridCol w:w="416"/>
        <w:gridCol w:w="803"/>
        <w:gridCol w:w="197"/>
      </w:tblGrid>
      <w:tr>
        <w:trPr/>
        <w:tc>
          <w:tcPr>
            <w:tcW w:w="2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403"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13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Accounts receivable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Unbilled receivable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Contract assets</w:t>
              <w:br/>
              <w:t>(current)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Contract assets</w:t>
              <w:br/>
              <w:t>(long-term)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Deferred revenue</w:t>
              <w:br/>
              <w:t>(current)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Ending Balance as of December 31, 2022</w:t>
            </w:r>
          </w:p>
        </w:tc>
        <w:tc>
          <w:tcPr>
            <w:tcW w:w="146" w:type="dxa"/>
            <w:tcBorders/>
            <w:shd w:fill="CFF0FC" w:val="clear"/>
            <w:vAlign w:val="center"/>
          </w:tcPr>
          <w:p>
            <w:pPr>
              <w:pStyle w:val="TableContents"/>
              <w:bidi w:val="0"/>
              <w:spacing w:before="0" w:after="283"/>
              <w:jc w:val="left"/>
              <w:rPr/>
            </w:pPr>
            <w:r>
              <w:rPr/>
              <w:t> </w:t>
            </w:r>
          </w:p>
        </w:tc>
        <w:tc>
          <w:tcPr>
            <w:tcW w:w="38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4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03" w:type="dxa"/>
            <w:tcBorders/>
            <w:shd w:fill="CFF0FC" w:val="clear"/>
            <w:vAlign w:val="center"/>
          </w:tcPr>
          <w:p>
            <w:pPr>
              <w:pStyle w:val="TableContents"/>
              <w:bidi w:val="0"/>
              <w:spacing w:before="0" w:after="283"/>
              <w:jc w:val="right"/>
              <w:rPr>
                <w:color w:val="000000"/>
              </w:rPr>
            </w:pPr>
            <w:r>
              <w:rPr>
                <w:color w:val="000000"/>
              </w:rPr>
              <w:t>—</w:t>
            </w:r>
          </w:p>
        </w:tc>
        <w:tc>
          <w:tcPr>
            <w:tcW w:w="197" w:type="dxa"/>
            <w:tcBorders/>
            <w:shd w:fill="CFF0FC" w:val="clear"/>
            <w:vAlign w:val="center"/>
          </w:tcPr>
          <w:p>
            <w:pPr>
              <w:pStyle w:val="TableContents"/>
              <w:bidi w:val="0"/>
              <w:spacing w:before="0" w:after="283"/>
              <w:jc w:val="left"/>
              <w:rPr/>
            </w:pPr>
            <w:r>
              <w:rPr/>
              <w:t> </w:t>
            </w:r>
          </w:p>
        </w:tc>
      </w:tr>
      <w:tr>
        <w:trPr/>
        <w:tc>
          <w:tcPr>
            <w:tcW w:w="24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Increase/(decrease), net</w:t>
            </w:r>
          </w:p>
        </w:tc>
        <w:tc>
          <w:tcPr>
            <w:tcW w:w="146" w:type="dxa"/>
            <w:tcBorders/>
            <w:shd w:fill="FFFFFF" w:val="cle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Ending Balance as of September 30, 2023</w:t>
            </w:r>
          </w:p>
        </w:tc>
        <w:tc>
          <w:tcPr>
            <w:tcW w:w="146" w:type="dxa"/>
            <w:tcBorders/>
            <w:shd w:fill="CFF0FC" w:val="clear"/>
            <w:vAlign w:val="center"/>
          </w:tcPr>
          <w:p>
            <w:pPr>
              <w:pStyle w:val="TableContents"/>
              <w:bidi w:val="0"/>
              <w:spacing w:before="0" w:after="283"/>
              <w:jc w:val="left"/>
              <w:rPr/>
            </w:pPr>
            <w:r>
              <w:rPr/>
              <w:t> </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Company recorded its current contract assets, long-term contract assets and current deferred revenue within prepaid expenses and other current assets, other non-current assets and accrued liabilities, respectively. During the three and nine months ended September 30, 2023 and 2022, the Company did not recognize any revenue related to deferred revenue which existed at December 31, 2022 and 2021, respectively.</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Remaining Performance Obligations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As of September 30, 2023, the Company had backlog, or revenue related to remaining performance obligations, of $9.2</w:t>
      </w:r>
      <w:r>
        <w:rPr>
          <w:rFonts w:ascii="Times New Roman" w:hAnsi="Times New Roman"/>
          <w:color w:val="000000"/>
          <w:sz w:val="20"/>
        </w:rPr>
        <w:t xml:space="preserve"> </w:t>
      </w:r>
      <w:r>
        <w:rPr>
          <w:rFonts w:ascii="Times New Roman" w:hAnsi="Times New Roman"/>
          <w:b w:val="false"/>
          <w:color w:val="000000"/>
          <w:sz w:val="20"/>
        </w:rPr>
        <w:t>million. The Company expects most of this backlog to be recognized over the next 12 months. The Company’s backlog represents the expected value of exercised contracts, both funded and unfunded, less revenue recognized to date.</w:t>
      </w:r>
    </w:p>
    <w:p>
      <w:pPr>
        <w:pStyle w:val="TextBody"/>
        <w:bidi w:val="0"/>
        <w:jc w:val="both"/>
        <w:rPr>
          <w:rFonts w:ascii="Times New Roman" w:hAnsi="Times New Roman"/>
          <w:sz w:val="20"/>
        </w:rPr>
      </w:pPr>
      <w:r>
        <w:rPr>
          <w:rFonts w:ascii="Times New Roman" w:hAnsi="Times New Roman"/>
          <w:b w:val="false"/>
          <w:color w:val="000000"/>
          <w:sz w:val="20"/>
        </w:rPr>
        <w:br/>
      </w:r>
      <w:r>
        <w:rPr>
          <w:rFonts w:ascii="Times New Roman" w:hAnsi="Times New Roman"/>
          <w:b/>
          <w:color w:val="000000"/>
          <w:sz w:val="20"/>
        </w:rPr>
        <w:t>Recently Adopted Accounting Pronouncements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w:t>
      </w:r>
    </w:p>
    <w:p>
      <w:pPr>
        <w:pStyle w:val="TextBody"/>
        <w:bidi w:val="0"/>
        <w:jc w:val="both"/>
        <w:rPr>
          <w:rFonts w:ascii="Times New Roman" w:hAnsi="Times New Roman"/>
          <w:sz w:val="20"/>
        </w:rPr>
      </w:pPr>
      <w:r>
        <w:rPr>
          <w:rFonts w:ascii="Times New Roman" w:hAnsi="Times New Roman"/>
          <w:b w:val="false"/>
          <w:color w:val="000000"/>
          <w:sz w:val="20"/>
        </w:rPr>
        <w:t xml:space="preserve">In June 2016, the FASB issued ASU 2016-13, </w:t>
      </w:r>
      <w:r>
        <w:rPr>
          <w:rFonts w:ascii="Times New Roman" w:hAnsi="Times New Roman"/>
          <w:b w:val="false"/>
          <w:i/>
          <w:color w:val="000000"/>
          <w:sz w:val="20"/>
        </w:rPr>
        <w:t>Financial Instruments—Credit Losses</w:t>
      </w:r>
      <w:r>
        <w:rPr>
          <w:rFonts w:ascii="Times New Roman" w:hAnsi="Times New Roman"/>
          <w:color w:val="000000"/>
          <w:sz w:val="20"/>
        </w:rPr>
        <w:t xml:space="preserve"> </w:t>
      </w:r>
      <w:r>
        <w:rPr>
          <w:rFonts w:ascii="Times New Roman" w:hAnsi="Times New Roman"/>
          <w:b w:val="false"/>
          <w:color w:val="000000"/>
          <w:sz w:val="20"/>
        </w:rPr>
        <w:t xml:space="preserve">(Topic 326): </w:t>
      </w:r>
      <w:r>
        <w:rPr>
          <w:rFonts w:ascii="Times New Roman" w:hAnsi="Times New Roman"/>
          <w:b w:val="false"/>
          <w:i/>
          <w:color w:val="000000"/>
          <w:sz w:val="20"/>
        </w:rPr>
        <w:t>Measurement of Credit Losses on Financial Instruments</w:t>
      </w:r>
      <w:r>
        <w:rPr>
          <w:rFonts w:ascii="Times New Roman" w:hAnsi="Times New Roman"/>
          <w:b w:val="false"/>
          <w:color w:val="000000"/>
          <w:sz w:val="20"/>
        </w:rPr>
        <w:t>. The new standard requires financial assets measured at amortized cost to be presented at the net amount expected to be collected, through an allowance for credit losses that is deducted from the amortized cost basis. The Company adopted</w:t>
      </w:r>
      <w:r>
        <w:rPr>
          <w:rFonts w:ascii="Times New Roman" w:hAnsi="Times New Roman"/>
          <w:color w:val="000000"/>
          <w:sz w:val="20"/>
        </w:rPr>
        <w:t xml:space="preserve"> </w:t>
      </w:r>
      <w:r>
        <w:rPr>
          <w:rFonts w:ascii="Times New Roman" w:hAnsi="Times New Roman"/>
          <w:b w:val="false"/>
          <w:color w:val="000000"/>
          <w:sz w:val="20"/>
        </w:rPr>
        <w:t>ASU 2016-13 on January 1, 2023. The adoption of ASU 2016-13 did not</w:t>
      </w:r>
      <w:r>
        <w:rPr>
          <w:rFonts w:ascii="Times New Roman" w:hAnsi="Times New Roman"/>
          <w:color w:val="000000"/>
          <w:sz w:val="20"/>
        </w:rPr>
        <w:t xml:space="preserve"> </w:t>
      </w:r>
      <w:r>
        <w:rPr>
          <w:rFonts w:ascii="Times New Roman" w:hAnsi="Times New Roman"/>
          <w:b w:val="false"/>
          <w:color w:val="000000"/>
          <w:sz w:val="20"/>
        </w:rPr>
        <w:t>have a material impact on the Company's condensed consolidated financial statements and related disclosures.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 Fair Value Measurements</w:t>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ASC Topic 820, Fair Value Measurement, defines fair value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Level 1—Fair value is based on observable inputs such as quoted prices for identical assets or liabilities in active markets.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Level 2—Fair value is determined using quoted prices for similar assets or liabilities in active markets or quoted prices for identical or similar assets or liabilities in markets that are not active or are directly or indirectly observable.</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Level 3—Fair value is determined using one or more significant inputs that are unobservable in active markets at the measurement date, such as an option pricing model, discounted cash flow or similar technique.</w:t>
      </w:r>
    </w:p>
    <w:p>
      <w:pPr>
        <w:pStyle w:val="TextBody"/>
        <w:bidi w:val="0"/>
        <w:jc w:val="both"/>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Financial Assets and Liabilities Measured at Fair Value on a Recurring Basis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On a recurring basis, the Company measures certain of its financial assets and liabilities at fair value. The fair value of the Company’s financial assets and liabilities measured at fair value on a recurring basis was determined using the following inputs as of September 30, 2023 and December 31, 2022:</w:t>
      </w:r>
    </w:p>
    <w:p>
      <w:pPr>
        <w:pStyle w:val="TextBody"/>
        <w:bidi w:val="0"/>
        <w:jc w:val="left"/>
        <w:rPr/>
      </w:pPr>
      <w:r>
        <w:rPr/>
        <w:t> </w:t>
      </w:r>
    </w:p>
    <w:tbl>
      <w:tblPr>
        <w:tblW w:w="6328" w:type="dxa"/>
        <w:jc w:val="left"/>
        <w:tblInd w:w="0" w:type="dxa"/>
        <w:tblLayout w:type="fixed"/>
        <w:tblCellMar>
          <w:top w:w="28" w:type="dxa"/>
          <w:left w:w="28" w:type="dxa"/>
          <w:bottom w:w="28" w:type="dxa"/>
          <w:right w:w="28" w:type="dxa"/>
        </w:tblCellMar>
      </w:tblPr>
      <w:tblGrid>
        <w:gridCol w:w="2031"/>
        <w:gridCol w:w="146"/>
        <w:gridCol w:w="196"/>
        <w:gridCol w:w="601"/>
        <w:gridCol w:w="146"/>
        <w:gridCol w:w="146"/>
        <w:gridCol w:w="233"/>
        <w:gridCol w:w="412"/>
        <w:gridCol w:w="146"/>
        <w:gridCol w:w="146"/>
        <w:gridCol w:w="233"/>
        <w:gridCol w:w="412"/>
        <w:gridCol w:w="146"/>
        <w:gridCol w:w="146"/>
        <w:gridCol w:w="196"/>
        <w:gridCol w:w="601"/>
        <w:gridCol w:w="391"/>
      </w:tblGrid>
      <w:tr>
        <w:trPr/>
        <w:tc>
          <w:tcPr>
            <w:tcW w:w="2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76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203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Cash equivalents:</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0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U.S. Treasury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21,835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21,835</w:t>
            </w:r>
          </w:p>
        </w:tc>
        <w:tc>
          <w:tcPr>
            <w:tcW w:w="391" w:type="dxa"/>
            <w:tcBorders/>
            <w:shd w:fill="CFF0FC" w:val="clear"/>
            <w:vAlign w:val="center"/>
          </w:tcPr>
          <w:p>
            <w:pPr>
              <w:pStyle w:val="TableContents"/>
              <w:bidi w:val="0"/>
              <w:spacing w:before="0" w:after="283"/>
              <w:jc w:val="left"/>
              <w:rPr/>
            </w:pPr>
            <w:r>
              <w:rPr/>
              <w:t> </w:t>
            </w:r>
          </w:p>
        </w:tc>
      </w:tr>
      <w:tr>
        <w:trPr/>
        <w:tc>
          <w:tcPr>
            <w:tcW w:w="203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Marketable securities:</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0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U.S. treasury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19,811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19,811</w:t>
            </w:r>
          </w:p>
        </w:tc>
        <w:tc>
          <w:tcPr>
            <w:tcW w:w="391" w:type="dxa"/>
            <w:tcBorders/>
            <w:shd w:fill="CFF0FC" w:val="clear"/>
            <w:vAlign w:val="center"/>
          </w:tcPr>
          <w:p>
            <w:pPr>
              <w:pStyle w:val="TableContents"/>
              <w:bidi w:val="0"/>
              <w:spacing w:before="0" w:after="283"/>
              <w:jc w:val="left"/>
              <w:rPr/>
            </w:pPr>
            <w:r>
              <w:rPr/>
              <w:t> </w:t>
            </w:r>
          </w:p>
        </w:tc>
      </w:tr>
      <w:tr>
        <w:trPr/>
        <w:tc>
          <w:tcPr>
            <w:tcW w:w="203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assets</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41,646</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41,646</w:t>
            </w:r>
          </w:p>
        </w:tc>
        <w:tc>
          <w:tcPr>
            <w:tcW w:w="3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0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03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Warrant liability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268" w:type="dxa"/>
        <w:jc w:val="left"/>
        <w:tblInd w:w="0" w:type="dxa"/>
        <w:tblLayout w:type="fixed"/>
        <w:tblCellMar>
          <w:top w:w="28" w:type="dxa"/>
          <w:left w:w="28" w:type="dxa"/>
          <w:bottom w:w="28" w:type="dxa"/>
          <w:right w:w="28" w:type="dxa"/>
        </w:tblCellMar>
      </w:tblPr>
      <w:tblGrid>
        <w:gridCol w:w="1971"/>
        <w:gridCol w:w="146"/>
        <w:gridCol w:w="196"/>
        <w:gridCol w:w="601"/>
        <w:gridCol w:w="146"/>
        <w:gridCol w:w="146"/>
        <w:gridCol w:w="221"/>
        <w:gridCol w:w="424"/>
        <w:gridCol w:w="146"/>
        <w:gridCol w:w="146"/>
        <w:gridCol w:w="233"/>
        <w:gridCol w:w="412"/>
        <w:gridCol w:w="146"/>
        <w:gridCol w:w="146"/>
        <w:gridCol w:w="196"/>
        <w:gridCol w:w="601"/>
        <w:gridCol w:w="391"/>
      </w:tblGrid>
      <w:tr>
        <w:trPr/>
        <w:tc>
          <w:tcPr>
            <w:tcW w:w="1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71" w:type="dxa"/>
            <w:tcBorders/>
            <w:shd w:fill="FFFFFF" w:val="clear"/>
            <w:vAlign w:val="center"/>
          </w:tcPr>
          <w:p>
            <w:pPr>
              <w:pStyle w:val="TableContents"/>
              <w:bidi w:val="0"/>
              <w:spacing w:before="0" w:after="283"/>
              <w:jc w:val="left"/>
              <w:rPr>
                <w:rFonts w:cs="Times New Roman"/>
                <w:bCs/>
                <w:color w:val="000000"/>
                <w:szCs w:val="18"/>
              </w:rPr>
            </w:pPr>
            <w:r>
              <w:rPr>
                <w:rFonts w:cs="Times New Roman"/>
                <w:bCs/>
                <w:color w:val="000000"/>
                <w:szCs w:val="18"/>
              </w:rPr>
              <w:t>﻿</w:t>
            </w:r>
          </w:p>
        </w:tc>
        <w:tc>
          <w:tcPr>
            <w:tcW w:w="146" w:type="dxa"/>
            <w:tcBorders/>
            <w:shd w:fill="FFFFFF" w:val="clear"/>
            <w:vAlign w:val="center"/>
          </w:tcPr>
          <w:p>
            <w:pPr>
              <w:pStyle w:val="TableContents"/>
              <w:bidi w:val="0"/>
              <w:spacing w:before="0" w:after="283"/>
              <w:jc w:val="left"/>
              <w:rPr/>
            </w:pPr>
            <w:r>
              <w:rPr/>
              <w:t> </w:t>
            </w:r>
          </w:p>
        </w:tc>
        <w:tc>
          <w:tcPr>
            <w:tcW w:w="376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Marketable securities:</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9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U.S. treasury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79,337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79,337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79,337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79,337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7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9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Warrant liability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val="false"/>
          <w:color w:val="000000"/>
          <w:sz w:val="20"/>
        </w:rPr>
        <w:t>As of September 30, 2023, the Company held $41.6</w:t>
      </w:r>
      <w:r>
        <w:rPr>
          <w:rFonts w:ascii="Times New Roman" w:hAnsi="Times New Roman"/>
          <w:color w:val="000000"/>
          <w:sz w:val="20"/>
        </w:rPr>
        <w:t xml:space="preserve"> </w:t>
      </w:r>
      <w:r>
        <w:rPr>
          <w:rFonts w:ascii="Times New Roman" w:hAnsi="Times New Roman"/>
          <w:b w:val="false"/>
          <w:color w:val="000000"/>
          <w:sz w:val="20"/>
        </w:rPr>
        <w:t>million of available-for-sale debt securities with maturity dates within one year. The fair value of the Company's available-for-sale debt securities approximates their amortized cost basis. The Company considers all highly liquid investments purchased with an original maturity of three months or less to be cash equivalents. The carrying amounts of accounts payable and accrued expenses approximate their fair values because of the relatively short periods until they are required to be settled.</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Balance Sheet Components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Inventories, Net</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of September 30, 2023 and December 31, 2022, inventories, net consisted of the following:</w:t>
      </w:r>
    </w:p>
    <w:p>
      <w:pPr>
        <w:pStyle w:val="TextBody"/>
        <w:bidi w:val="0"/>
        <w:jc w:val="left"/>
        <w:rPr/>
      </w:pPr>
      <w:r>
        <w:rPr/>
        <w:t> </w:t>
      </w:r>
    </w:p>
    <w:tbl>
      <w:tblPr>
        <w:tblW w:w="5785" w:type="dxa"/>
        <w:jc w:val="left"/>
        <w:tblInd w:w="0" w:type="dxa"/>
        <w:tblLayout w:type="fixed"/>
        <w:tblCellMar>
          <w:top w:w="28" w:type="dxa"/>
          <w:left w:w="28" w:type="dxa"/>
          <w:bottom w:w="28" w:type="dxa"/>
          <w:right w:w="28" w:type="dxa"/>
        </w:tblCellMar>
      </w:tblPr>
      <w:tblGrid>
        <w:gridCol w:w="1806"/>
        <w:gridCol w:w="146"/>
        <w:gridCol w:w="445"/>
        <w:gridCol w:w="1160"/>
        <w:gridCol w:w="146"/>
        <w:gridCol w:w="146"/>
        <w:gridCol w:w="427"/>
        <w:gridCol w:w="1118"/>
        <w:gridCol w:w="391"/>
      </w:tblGrid>
      <w:tr>
        <w:trPr/>
        <w:tc>
          <w:tcPr>
            <w:tcW w:w="1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0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Raw materials</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6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2,081</w:t>
            </w:r>
          </w:p>
        </w:tc>
        <w:tc>
          <w:tcPr>
            <w:tcW w:w="391" w:type="dxa"/>
            <w:tcBorders/>
            <w:shd w:fill="CFF0FC" w:val="clear"/>
            <w:vAlign w:val="center"/>
          </w:tcPr>
          <w:p>
            <w:pPr>
              <w:pStyle w:val="TableContents"/>
              <w:bidi w:val="0"/>
              <w:spacing w:before="0" w:after="283"/>
              <w:jc w:val="left"/>
              <w:rPr/>
            </w:pPr>
            <w:r>
              <w:rPr/>
              <w:t> </w:t>
            </w:r>
          </w:p>
        </w:tc>
      </w:tr>
      <w:tr>
        <w:trPr/>
        <w:tc>
          <w:tcPr>
            <w:tcW w:w="18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Work-in-process</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180</w:t>
            </w:r>
          </w:p>
        </w:tc>
        <w:tc>
          <w:tcPr>
            <w:tcW w:w="391" w:type="dxa"/>
            <w:tcBorders/>
            <w:shd w:fill="FFFFFF" w:val="clear"/>
            <w:vAlign w:val="center"/>
          </w:tcPr>
          <w:p>
            <w:pPr>
              <w:pStyle w:val="TableContents"/>
              <w:bidi w:val="0"/>
              <w:spacing w:before="0" w:after="283"/>
              <w:jc w:val="left"/>
              <w:rPr/>
            </w:pPr>
            <w:r>
              <w:rPr/>
              <w:t> </w:t>
            </w:r>
          </w:p>
        </w:tc>
      </w:tr>
      <w:tr>
        <w:trPr/>
        <w:tc>
          <w:tcPr>
            <w:tcW w:w="18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Finished goods, net</w:t>
            </w:r>
          </w:p>
        </w:tc>
        <w:tc>
          <w:tcPr>
            <w:tcW w:w="146" w:type="dxa"/>
            <w:tcBorders/>
            <w:shd w:fill="CFF0FC" w:val="clear"/>
            <w:vAlign w:val="center"/>
          </w:tcPr>
          <w:p>
            <w:pPr>
              <w:pStyle w:val="TableContents"/>
              <w:bidi w:val="0"/>
              <w:spacing w:before="0" w:after="283"/>
              <w:jc w:val="lef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Total inventories, net</w:t>
            </w:r>
          </w:p>
        </w:tc>
        <w:tc>
          <w:tcPr>
            <w:tcW w:w="146" w:type="dxa"/>
            <w:tcBorders/>
            <w:shd w:fill="FFFFFF" w:val="clear"/>
            <w:vAlign w:val="center"/>
          </w:tcPr>
          <w:p>
            <w:pPr>
              <w:pStyle w:val="TableContents"/>
              <w:bidi w:val="0"/>
              <w:spacing w:before="0" w:after="283"/>
              <w:jc w:val="left"/>
              <w:rPr/>
            </w:pPr>
            <w:r>
              <w:rPr/>
              <w:t> </w:t>
            </w:r>
          </w:p>
        </w:tc>
        <w:tc>
          <w:tcPr>
            <w:tcW w:w="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The Company had inventory reserves of $1.1</w:t>
      </w:r>
      <w:r>
        <w:rPr>
          <w:rFonts w:ascii="Times New Roman" w:hAnsi="Times New Roman"/>
          <w:color w:val="000000"/>
          <w:sz w:val="20"/>
        </w:rPr>
        <w:t xml:space="preserve"> </w:t>
      </w:r>
      <w:r>
        <w:rPr>
          <w:rFonts w:ascii="Times New Roman" w:hAnsi="Times New Roman"/>
          <w:b w:val="false"/>
          <w:color w:val="000000"/>
          <w:sz w:val="20"/>
        </w:rPr>
        <w:t>million as of September 30, 2023</w:t>
      </w:r>
      <w:r>
        <w:rPr>
          <w:rFonts w:ascii="Times New Roman" w:hAnsi="Times New Roman"/>
          <w:color w:val="000000"/>
          <w:sz w:val="20"/>
        </w:rPr>
        <w:t xml:space="preserve"> </w:t>
      </w:r>
      <w:r>
        <w:rPr>
          <w:rFonts w:ascii="Times New Roman" w:hAnsi="Times New Roman"/>
          <w:b w:val="false"/>
          <w:color w:val="000000"/>
          <w:sz w:val="20"/>
        </w:rPr>
        <w:t>and $0.4</w:t>
      </w:r>
      <w:r>
        <w:rPr>
          <w:rFonts w:ascii="Times New Roman" w:hAnsi="Times New Roman"/>
          <w:color w:val="000000"/>
          <w:sz w:val="20"/>
        </w:rPr>
        <w:t xml:space="preserve"> </w:t>
      </w:r>
      <w:r>
        <w:rPr>
          <w:rFonts w:ascii="Times New Roman" w:hAnsi="Times New Roman"/>
          <w:b w:val="false"/>
          <w:color w:val="000000"/>
          <w:sz w:val="20"/>
        </w:rPr>
        <w:t>million as of December 31, 2022.</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Prepaid Expenses and Other Current Assets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of September 30, 2023 and December 31, 2022, prepaid expenses and other current assets consist of the following:</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651"/>
        <w:gridCol w:w="146"/>
        <w:gridCol w:w="445"/>
        <w:gridCol w:w="1160"/>
        <w:gridCol w:w="146"/>
        <w:gridCol w:w="146"/>
        <w:gridCol w:w="427"/>
        <w:gridCol w:w="1118"/>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Prepaid insurance</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6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3,420</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Software</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1,191</w:t>
            </w:r>
          </w:p>
        </w:tc>
        <w:tc>
          <w:tcPr>
            <w:tcW w:w="391"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prepaid expenses and assets</w:t>
            </w:r>
          </w:p>
        </w:tc>
        <w:tc>
          <w:tcPr>
            <w:tcW w:w="146" w:type="dxa"/>
            <w:tcBorders/>
            <w:shd w:fill="CFF0FC" w:val="clear"/>
            <w:vAlign w:val="center"/>
          </w:tcPr>
          <w:p>
            <w:pPr>
              <w:pStyle w:val="TableContents"/>
              <w:bidi w:val="0"/>
              <w:spacing w:before="0" w:after="283"/>
              <w:jc w:val="lef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Total 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of September 30, 2023 and December 31, 2022, property and equipment, net consist of the following:</w:t>
      </w:r>
    </w:p>
    <w:p>
      <w:pPr>
        <w:pStyle w:val="TextBody"/>
        <w:bidi w:val="0"/>
        <w:jc w:val="left"/>
        <w:rPr/>
      </w:pPr>
      <w:r>
        <w:rPr/>
        <w:t> </w:t>
      </w:r>
    </w:p>
    <w:tbl>
      <w:tblPr>
        <w:tblW w:w="7305" w:type="dxa"/>
        <w:jc w:val="left"/>
        <w:tblInd w:w="0" w:type="dxa"/>
        <w:tblLayout w:type="fixed"/>
        <w:tblCellMar>
          <w:top w:w="28" w:type="dxa"/>
          <w:left w:w="28" w:type="dxa"/>
          <w:bottom w:w="28" w:type="dxa"/>
          <w:right w:w="28" w:type="dxa"/>
        </w:tblCellMar>
      </w:tblPr>
      <w:tblGrid>
        <w:gridCol w:w="3286"/>
        <w:gridCol w:w="146"/>
        <w:gridCol w:w="393"/>
        <w:gridCol w:w="1212"/>
        <w:gridCol w:w="166"/>
        <w:gridCol w:w="146"/>
        <w:gridCol w:w="379"/>
        <w:gridCol w:w="1166"/>
        <w:gridCol w:w="41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Robotics and manufacturing equipment</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1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1,610</w:t>
            </w:r>
          </w:p>
        </w:tc>
        <w:tc>
          <w:tcPr>
            <w:tcW w:w="411"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Leasehold improvements</w:t>
            </w:r>
          </w:p>
        </w:tc>
        <w:tc>
          <w:tcPr>
            <w:tcW w:w="14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4,442</w:t>
            </w:r>
          </w:p>
        </w:tc>
        <w:tc>
          <w:tcPr>
            <w:tcW w:w="411"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Computer equipment</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1,719</w:t>
            </w:r>
          </w:p>
        </w:tc>
        <w:tc>
          <w:tcPr>
            <w:tcW w:w="411"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Financed leased computer equipment</w:t>
            </w:r>
          </w:p>
        </w:tc>
        <w:tc>
          <w:tcPr>
            <w:tcW w:w="14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271</w:t>
            </w:r>
          </w:p>
        </w:tc>
        <w:tc>
          <w:tcPr>
            <w:tcW w:w="411"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Software</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pPr>
            <w:r>
              <w:rPr/>
              <w:t> </w:t>
            </w:r>
          </w:p>
        </w:tc>
        <w:tc>
          <w:tcPr>
            <w:tcW w:w="121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389</w:t>
            </w:r>
          </w:p>
        </w:tc>
        <w:tc>
          <w:tcPr>
            <w:tcW w:w="411"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Furniture and fixtures, and other fixed assets</w:t>
            </w:r>
          </w:p>
        </w:tc>
        <w:tc>
          <w:tcPr>
            <w:tcW w:w="14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1,835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Property and equipment, gross</w:t>
            </w:r>
          </w:p>
        </w:tc>
        <w:tc>
          <w:tcPr>
            <w:tcW w:w="146" w:type="dxa"/>
            <w:tcBorders/>
            <w:shd w:fill="CFF0FC" w:val="clear"/>
            <w:vAlign w:val="center"/>
          </w:tcPr>
          <w:p>
            <w:pPr>
              <w:pStyle w:val="TableContents"/>
              <w:bidi w:val="0"/>
              <w:spacing w:before="0" w:after="283"/>
              <w:jc w:val="left"/>
              <w:rPr/>
            </w:pPr>
            <w:r>
              <w:rPr/>
              <w:t> </w:t>
            </w:r>
          </w:p>
        </w:tc>
        <w:tc>
          <w:tcPr>
            <w:tcW w:w="3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10,423</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10,266</w:t>
            </w:r>
          </w:p>
        </w:tc>
        <w:tc>
          <w:tcPr>
            <w:tcW w:w="4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Accumulated depreciation</w:t>
            </w:r>
          </w:p>
        </w:tc>
        <w:tc>
          <w:tcPr>
            <w:tcW w:w="146" w:type="dxa"/>
            <w:tcBorders/>
            <w:shd w:fill="FFFFFF" w:val="cle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Property and equipment, net</w:t>
            </w:r>
          </w:p>
        </w:tc>
        <w:tc>
          <w:tcPr>
            <w:tcW w:w="146" w:type="dxa"/>
            <w:tcBorders/>
            <w:shd w:fill="CFF0FC" w:val="cle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6,693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7,640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Depreciation expenses were $0.5</w:t>
      </w:r>
      <w:r>
        <w:rPr>
          <w:rFonts w:ascii="Times New Roman" w:hAnsi="Times New Roman"/>
          <w:color w:val="000000"/>
          <w:sz w:val="20"/>
        </w:rPr>
        <w:t xml:space="preserve"> </w:t>
      </w:r>
      <w:r>
        <w:rPr>
          <w:rFonts w:ascii="Times New Roman" w:hAnsi="Times New Roman"/>
          <w:b w:val="false"/>
          <w:color w:val="000000"/>
          <w:sz w:val="20"/>
        </w:rPr>
        <w:t>million and $0.4</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2023 and 2022, respectively. Depreciation expenses were $1.3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$1.0</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and 2022,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Accrued Liabilities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of September 30, 2023 and December 31, 2022, accrued liabilities consist of the following:</w:t>
      </w:r>
    </w:p>
    <w:p>
      <w:pPr>
        <w:pStyle w:val="TextBody"/>
        <w:bidi w:val="0"/>
        <w:jc w:val="left"/>
        <w:rPr/>
      </w:pPr>
      <w:r>
        <w:rPr/>
        <w:t> </w:t>
      </w:r>
    </w:p>
    <w:tbl>
      <w:tblPr>
        <w:tblW w:w="7295" w:type="dxa"/>
        <w:jc w:val="left"/>
        <w:tblInd w:w="0" w:type="dxa"/>
        <w:tblLayout w:type="fixed"/>
        <w:tblCellMar>
          <w:top w:w="28" w:type="dxa"/>
          <w:left w:w="28" w:type="dxa"/>
          <w:bottom w:w="28" w:type="dxa"/>
          <w:right w:w="28" w:type="dxa"/>
        </w:tblCellMar>
      </w:tblPr>
      <w:tblGrid>
        <w:gridCol w:w="3316"/>
        <w:gridCol w:w="146"/>
        <w:gridCol w:w="445"/>
        <w:gridCol w:w="1160"/>
        <w:gridCol w:w="146"/>
        <w:gridCol w:w="146"/>
        <w:gridCol w:w="427"/>
        <w:gridCol w:w="1118"/>
        <w:gridCol w:w="3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Payroll and related costs</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6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1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4,271</w:t>
            </w:r>
          </w:p>
        </w:tc>
        <w:tc>
          <w:tcPr>
            <w:tcW w:w="391" w:type="dxa"/>
            <w:tcBorders/>
            <w:shd w:fill="CFF0FC" w:val="clear"/>
            <w:vAlign w:val="center"/>
          </w:tcPr>
          <w:p>
            <w:pPr>
              <w:pStyle w:val="TableContents"/>
              <w:bidi w:val="0"/>
              <w:spacing w:before="0" w:after="283"/>
              <w:jc w:val="left"/>
              <w:rPr/>
            </w:pPr>
            <w:r>
              <w:rPr/>
              <w:t> </w:t>
            </w:r>
          </w:p>
        </w:tc>
      </w:tr>
      <w:tr>
        <w:trPr/>
        <w:tc>
          <w:tcPr>
            <w:tcW w:w="331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accrued expenses and current liabilities</w:t>
            </w:r>
          </w:p>
        </w:tc>
        <w:tc>
          <w:tcPr>
            <w:tcW w:w="146" w:type="dxa"/>
            <w:tcBorders/>
            <w:shd w:fill="FFFFFF" w:val="clear"/>
            <w:vAlign w:val="center"/>
          </w:tcPr>
          <w:p>
            <w:pPr>
              <w:pStyle w:val="TableContents"/>
              <w:bidi w:val="0"/>
              <w:spacing w:before="0" w:after="283"/>
              <w:jc w:val="lef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Total accrued liabilities</w:t>
            </w:r>
          </w:p>
        </w:tc>
        <w:tc>
          <w:tcPr>
            <w:tcW w:w="146" w:type="dxa"/>
            <w:tcBorders/>
            <w:shd w:fill="CFF0FC" w:val="clear"/>
            <w:vAlign w:val="center"/>
          </w:tcPr>
          <w:p>
            <w:pPr>
              <w:pStyle w:val="TableContents"/>
              <w:bidi w:val="0"/>
              <w:spacing w:before="0" w:after="283"/>
              <w:jc w:val="left"/>
              <w:rPr/>
            </w:pPr>
            <w:r>
              <w:rPr/>
              <w:t> </w:t>
            </w:r>
          </w:p>
        </w:tc>
        <w:tc>
          <w:tcPr>
            <w:tcW w:w="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6,025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4. Acquisitions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On April 25, 2022, the Company acquired RE2, Inc. a Pittsburgh, PA based developer of manipulator arms with human-like performance, intuitive robot interfaces and advanced autonomy capabilities. The aggregate consideration transferred was $90.1</w:t>
      </w:r>
      <w:r>
        <w:rPr>
          <w:rFonts w:ascii="Times New Roman" w:hAnsi="Times New Roman"/>
          <w:color w:val="000000"/>
          <w:sz w:val="20"/>
        </w:rPr>
        <w:t xml:space="preserve"> </w:t>
      </w:r>
      <w:r>
        <w:rPr>
          <w:rFonts w:ascii="Times New Roman" w:hAnsi="Times New Roman"/>
          <w:b w:val="false"/>
          <w:color w:val="000000"/>
          <w:sz w:val="20"/>
        </w:rPr>
        <w:t>million, of which $30.7</w:t>
      </w:r>
      <w:r>
        <w:rPr>
          <w:rFonts w:ascii="Times New Roman" w:hAnsi="Times New Roman"/>
          <w:color w:val="000000"/>
          <w:sz w:val="20"/>
        </w:rPr>
        <w:t xml:space="preserve"> </w:t>
      </w:r>
      <w:r>
        <w:rPr>
          <w:rFonts w:ascii="Times New Roman" w:hAnsi="Times New Roman"/>
          <w:b w:val="false"/>
          <w:color w:val="000000"/>
          <w:sz w:val="20"/>
        </w:rPr>
        <w:t>million was paid in cash, $44.0</w:t>
      </w:r>
      <w:r>
        <w:rPr>
          <w:rFonts w:ascii="Times New Roman" w:hAnsi="Times New Roman"/>
          <w:color w:val="000000"/>
          <w:sz w:val="20"/>
        </w:rPr>
        <w:t xml:space="preserve"> </w:t>
      </w:r>
      <w:r>
        <w:rPr>
          <w:rFonts w:ascii="Times New Roman" w:hAnsi="Times New Roman"/>
          <w:b w:val="false"/>
          <w:color w:val="000000"/>
          <w:sz w:val="20"/>
        </w:rPr>
        <w:t>million was comprised of 1,562,112</w:t>
      </w:r>
      <w:r>
        <w:rPr>
          <w:rFonts w:ascii="Times New Roman" w:hAnsi="Times New Roman"/>
          <w:color w:val="000000"/>
          <w:sz w:val="20"/>
        </w:rPr>
        <w:t xml:space="preserve"> </w:t>
      </w:r>
      <w:r>
        <w:rPr>
          <w:rFonts w:ascii="Times New Roman" w:hAnsi="Times New Roman"/>
          <w:b w:val="false"/>
          <w:color w:val="000000"/>
          <w:sz w:val="20"/>
        </w:rPr>
        <w:t>shares of common stock and $15.4</w:t>
      </w:r>
      <w:r>
        <w:rPr>
          <w:rFonts w:ascii="Times New Roman" w:hAnsi="Times New Roman"/>
          <w:color w:val="000000"/>
          <w:sz w:val="20"/>
        </w:rPr>
        <w:t xml:space="preserve"> </w:t>
      </w:r>
      <w:r>
        <w:rPr>
          <w:rFonts w:ascii="Times New Roman" w:hAnsi="Times New Roman"/>
          <w:b w:val="false"/>
          <w:color w:val="000000"/>
          <w:sz w:val="20"/>
        </w:rPr>
        <w:t>million was comprised of assumed options to purchase 646,173</w:t>
      </w:r>
      <w:r>
        <w:rPr>
          <w:rFonts w:ascii="Times New Roman" w:hAnsi="Times New Roman"/>
          <w:color w:val="000000"/>
          <w:sz w:val="20"/>
        </w:rPr>
        <w:t xml:space="preserve"> </w:t>
      </w:r>
      <w:r>
        <w:rPr>
          <w:rFonts w:ascii="Times New Roman" w:hAnsi="Times New Roman"/>
          <w:b w:val="false"/>
          <w:color w:val="000000"/>
          <w:sz w:val="20"/>
        </w:rPr>
        <w:t>shares of common stock. Additionally, 233,333</w:t>
      </w:r>
      <w:r>
        <w:rPr>
          <w:rFonts w:ascii="Times New Roman" w:hAnsi="Times New Roman"/>
          <w:color w:val="000000"/>
          <w:sz w:val="20"/>
        </w:rPr>
        <w:t xml:space="preserve"> </w:t>
      </w:r>
      <w:r>
        <w:rPr>
          <w:rFonts w:ascii="Times New Roman" w:hAnsi="Times New Roman"/>
          <w:b w:val="false"/>
          <w:color w:val="000000"/>
          <w:sz w:val="20"/>
        </w:rPr>
        <w:t>shares of common stock were issued with a fair value of $6.6</w:t>
      </w:r>
      <w:r>
        <w:rPr>
          <w:rFonts w:ascii="Times New Roman" w:hAnsi="Times New Roman"/>
          <w:color w:val="000000"/>
          <w:sz w:val="20"/>
        </w:rPr>
        <w:t xml:space="preserve"> </w:t>
      </w:r>
      <w:r>
        <w:rPr>
          <w:rFonts w:ascii="Times New Roman" w:hAnsi="Times New Roman"/>
          <w:b w:val="false"/>
          <w:color w:val="000000"/>
          <w:sz w:val="20"/>
        </w:rPr>
        <w:t>million that were subject to risk of forfeiture. These shares were excluded from the consideration transferred and have been recorded as stock-based compensation expense.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acquisition was accounted for as a business combination and the total purchase consideration was allocated to the net tangible and intangible assets and liabilities based on their fair values on the acquisition date and the excess was recorded as goodwill. The Company recorded the assets acquired and liabilities assumed at their fair values as of the acquisition date.</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following table presents the final purchase consideration allocation recorded in the Company’s consolidated balance sheet as of the acquisition date:</w:t>
      </w:r>
    </w:p>
    <w:p>
      <w:pPr>
        <w:pStyle w:val="TextBody"/>
        <w:bidi w:val="0"/>
        <w:jc w:val="both"/>
        <w:rPr/>
      </w:pPr>
      <w:r>
        <w:rPr/>
        <w:t> </w:t>
      </w:r>
    </w:p>
    <w:tbl>
      <w:tblPr>
        <w:tblW w:w="4415" w:type="dxa"/>
        <w:jc w:val="left"/>
        <w:tblInd w:w="0" w:type="dxa"/>
        <w:tblLayout w:type="fixed"/>
        <w:tblCellMar>
          <w:top w:w="28" w:type="dxa"/>
          <w:left w:w="28" w:type="dxa"/>
          <w:bottom w:w="28" w:type="dxa"/>
          <w:right w:w="28" w:type="dxa"/>
        </w:tblCellMar>
      </w:tblPr>
      <w:tblGrid>
        <w:gridCol w:w="3061"/>
        <w:gridCol w:w="146"/>
        <w:gridCol w:w="196"/>
        <w:gridCol w:w="601"/>
        <w:gridCol w:w="41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981</w:t>
            </w:r>
          </w:p>
        </w:tc>
        <w:tc>
          <w:tcPr>
            <w:tcW w:w="411" w:type="dxa"/>
            <w:tcBorders/>
            <w:shd w:fill="CFF0FC" w:val="clear"/>
            <w:vAlign w:val="center"/>
          </w:tcPr>
          <w:p>
            <w:pPr>
              <w:pStyle w:val="TableContents"/>
              <w:bidi w:val="0"/>
              <w:spacing w:before="0" w:after="283"/>
              <w:jc w:val="left"/>
              <w:rPr/>
            </w:pPr>
            <w:r>
              <w:rPr/>
              <w:t> </w:t>
            </w:r>
          </w:p>
        </w:tc>
      </w:tr>
      <w:tr>
        <w:trPr/>
        <w:tc>
          <w:tcPr>
            <w:tcW w:w="30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Accounts receivable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821</w:t>
            </w:r>
          </w:p>
        </w:tc>
        <w:tc>
          <w:tcPr>
            <w:tcW w:w="411" w:type="dxa"/>
            <w:tcBorders/>
            <w:shd w:fill="FFFFFF" w:val="clear"/>
            <w:vAlign w:val="center"/>
          </w:tcPr>
          <w:p>
            <w:pPr>
              <w:pStyle w:val="TableContents"/>
              <w:bidi w:val="0"/>
              <w:spacing w:before="0" w:after="283"/>
              <w:jc w:val="left"/>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Unbilled receivables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1,968</w:t>
            </w:r>
          </w:p>
        </w:tc>
        <w:tc>
          <w:tcPr>
            <w:tcW w:w="411" w:type="dxa"/>
            <w:tcBorders/>
            <w:shd w:fill="CFF0FC" w:val="clear"/>
            <w:vAlign w:val="center"/>
          </w:tcPr>
          <w:p>
            <w:pPr>
              <w:pStyle w:val="TableContents"/>
              <w:bidi w:val="0"/>
              <w:spacing w:before="0" w:after="283"/>
              <w:jc w:val="left"/>
              <w:rPr/>
            </w:pPr>
            <w:r>
              <w:rPr/>
              <w:t> </w:t>
            </w:r>
          </w:p>
        </w:tc>
      </w:tr>
      <w:tr>
        <w:trPr/>
        <w:tc>
          <w:tcPr>
            <w:tcW w:w="30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Inventories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465</w:t>
            </w:r>
          </w:p>
        </w:tc>
        <w:tc>
          <w:tcPr>
            <w:tcW w:w="411" w:type="dxa"/>
            <w:tcBorders/>
            <w:shd w:fill="FFFFFF" w:val="clear"/>
            <w:vAlign w:val="center"/>
          </w:tcPr>
          <w:p>
            <w:pPr>
              <w:pStyle w:val="TableContents"/>
              <w:bidi w:val="0"/>
              <w:spacing w:before="0" w:after="283"/>
              <w:jc w:val="left"/>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253</w:t>
            </w:r>
          </w:p>
        </w:tc>
        <w:tc>
          <w:tcPr>
            <w:tcW w:w="411" w:type="dxa"/>
            <w:tcBorders/>
            <w:shd w:fill="CFF0FC" w:val="clear"/>
            <w:vAlign w:val="center"/>
          </w:tcPr>
          <w:p>
            <w:pPr>
              <w:pStyle w:val="TableContents"/>
              <w:bidi w:val="0"/>
              <w:spacing w:before="0" w:after="283"/>
              <w:jc w:val="left"/>
              <w:rPr/>
            </w:pPr>
            <w:r>
              <w:rPr/>
              <w:t> </w:t>
            </w:r>
          </w:p>
        </w:tc>
      </w:tr>
      <w:tr>
        <w:trPr/>
        <w:tc>
          <w:tcPr>
            <w:tcW w:w="30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Property and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1,084</w:t>
            </w:r>
          </w:p>
        </w:tc>
        <w:tc>
          <w:tcPr>
            <w:tcW w:w="411" w:type="dxa"/>
            <w:tcBorders/>
            <w:shd w:fill="FFFFFF" w:val="clear"/>
            <w:vAlign w:val="center"/>
          </w:tcPr>
          <w:p>
            <w:pPr>
              <w:pStyle w:val="TableContents"/>
              <w:bidi w:val="0"/>
              <w:spacing w:before="0" w:after="283"/>
              <w:jc w:val="left"/>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Intangible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21,300</w:t>
            </w:r>
          </w:p>
        </w:tc>
        <w:tc>
          <w:tcPr>
            <w:tcW w:w="411" w:type="dxa"/>
            <w:tcBorders/>
            <w:shd w:fill="CFF0FC" w:val="clear"/>
            <w:vAlign w:val="center"/>
          </w:tcPr>
          <w:p>
            <w:pPr>
              <w:pStyle w:val="TableContents"/>
              <w:bidi w:val="0"/>
              <w:spacing w:before="0" w:after="283"/>
              <w:jc w:val="left"/>
              <w:rPr/>
            </w:pPr>
            <w:r>
              <w:rPr/>
              <w:t> </w:t>
            </w:r>
          </w:p>
        </w:tc>
      </w:tr>
      <w:tr>
        <w:trPr/>
        <w:tc>
          <w:tcPr>
            <w:tcW w:w="30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Goodwill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70,236</w:t>
            </w:r>
          </w:p>
        </w:tc>
        <w:tc>
          <w:tcPr>
            <w:tcW w:w="411" w:type="dxa"/>
            <w:tcBorders/>
            <w:shd w:fill="FFFFFF" w:val="clear"/>
            <w:vAlign w:val="center"/>
          </w:tcPr>
          <w:p>
            <w:pPr>
              <w:pStyle w:val="TableContents"/>
              <w:bidi w:val="0"/>
              <w:spacing w:before="0" w:after="283"/>
              <w:jc w:val="left"/>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lease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1,486</w:t>
            </w:r>
          </w:p>
        </w:tc>
        <w:tc>
          <w:tcPr>
            <w:tcW w:w="411" w:type="dxa"/>
            <w:tcBorders/>
            <w:shd w:fill="CFF0FC" w:val="clear"/>
            <w:vAlign w:val="center"/>
          </w:tcPr>
          <w:p>
            <w:pPr>
              <w:pStyle w:val="TableContents"/>
              <w:bidi w:val="0"/>
              <w:spacing w:before="0" w:after="283"/>
              <w:jc w:val="left"/>
              <w:rPr/>
            </w:pPr>
            <w:r>
              <w:rPr/>
              <w:t> </w:t>
            </w:r>
          </w:p>
        </w:tc>
      </w:tr>
      <w:tr>
        <w:trPr/>
        <w:tc>
          <w:tcPr>
            <w:tcW w:w="30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non-current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w:t>
            </w:r>
          </w:p>
        </w:tc>
        <w:tc>
          <w:tcPr>
            <w:tcW w:w="411" w:type="dxa"/>
            <w:tcBorders/>
            <w:shd w:fill="FFFFFF" w:val="clear"/>
            <w:vAlign w:val="center"/>
          </w:tcPr>
          <w:p>
            <w:pPr>
              <w:pStyle w:val="TableContents"/>
              <w:bidi w:val="0"/>
              <w:spacing w:before="0" w:after="283"/>
              <w:jc w:val="left"/>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(822</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0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Accrued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(2,334</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0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Current operating lease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(458</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0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lease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(1,028</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0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Deferred tax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30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Total acquisition consideration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90,078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following table sets forth the components of identifiable intangible assets acquired and their estimated useful lives as of the date of acquisition (in thousands):</w:t>
      </w:r>
    </w:p>
    <w:p>
      <w:pPr>
        <w:pStyle w:val="TextBody"/>
        <w:bidi w:val="0"/>
        <w:jc w:val="both"/>
        <w:rPr/>
      </w:pPr>
      <w:r>
        <w:rPr/>
        <w:t> </w:t>
      </w:r>
    </w:p>
    <w:tbl>
      <w:tblPr>
        <w:tblW w:w="6891" w:type="dxa"/>
        <w:jc w:val="left"/>
        <w:tblInd w:w="0" w:type="dxa"/>
        <w:tblLayout w:type="fixed"/>
        <w:tblCellMar>
          <w:top w:w="28" w:type="dxa"/>
          <w:left w:w="28" w:type="dxa"/>
          <w:bottom w:w="28" w:type="dxa"/>
          <w:right w:w="28" w:type="dxa"/>
        </w:tblCellMar>
      </w:tblPr>
      <w:tblGrid>
        <w:gridCol w:w="2071"/>
        <w:gridCol w:w="146"/>
        <w:gridCol w:w="203"/>
        <w:gridCol w:w="623"/>
        <w:gridCol w:w="146"/>
        <w:gridCol w:w="146"/>
        <w:gridCol w:w="1351"/>
        <w:gridCol w:w="1814"/>
        <w:gridCol w:w="3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Useful Life (in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Trade name and trademarks</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2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1" w:type="dxa"/>
            <w:tcBorders/>
            <w:shd w:fill="CFF0FC" w:val="clear"/>
            <w:vAlign w:val="center"/>
          </w:tcPr>
          <w:p>
            <w:pPr>
              <w:pStyle w:val="TableContents"/>
              <w:bidi w:val="0"/>
              <w:spacing w:before="0" w:after="283"/>
              <w:jc w:val="left"/>
              <w:rPr/>
            </w:pPr>
            <w:r>
              <w:rPr/>
              <w:t> </w:t>
            </w:r>
          </w:p>
        </w:tc>
        <w:tc>
          <w:tcPr>
            <w:tcW w:w="181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w:t>
            </w:r>
          </w:p>
        </w:tc>
        <w:tc>
          <w:tcPr>
            <w:tcW w:w="391" w:type="dxa"/>
            <w:tcBorders/>
            <w:shd w:fill="CFF0FC"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Developed technology</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51" w:type="dxa"/>
            <w:tcBorders/>
            <w:shd w:fill="FFFFFF" w:val="clear"/>
            <w:vAlign w:val="center"/>
          </w:tcPr>
          <w:p>
            <w:pPr>
              <w:pStyle w:val="TableContents"/>
              <w:bidi w:val="0"/>
              <w:spacing w:before="0" w:after="283"/>
              <w:jc w:val="left"/>
              <w:rPr/>
            </w:pPr>
            <w:r>
              <w:rPr/>
              <w:t> </w:t>
            </w:r>
          </w:p>
        </w:tc>
        <w:tc>
          <w:tcPr>
            <w:tcW w:w="181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w:t>
            </w:r>
          </w:p>
        </w:tc>
        <w:tc>
          <w:tcPr>
            <w:tcW w:w="391" w:type="dxa"/>
            <w:tcBorders/>
            <w:shd w:fill="FFFFFF" w:val="clear"/>
            <w:vAlign w:val="center"/>
          </w:tcPr>
          <w:p>
            <w:pPr>
              <w:pStyle w:val="TableContents"/>
              <w:bidi w:val="0"/>
              <w:spacing w:before="0" w:after="283"/>
              <w:jc w:val="left"/>
              <w:rPr/>
            </w:pPr>
            <w:r>
              <w:rPr/>
              <w:t> </w:t>
            </w:r>
          </w:p>
        </w:tc>
      </w:tr>
      <w:tr>
        <w:trPr/>
        <w:tc>
          <w:tcPr>
            <w:tcW w:w="20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Customer relationships</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1" w:type="dxa"/>
            <w:tcBorders/>
            <w:shd w:fill="CFF0FC" w:val="clear"/>
            <w:vAlign w:val="center"/>
          </w:tcPr>
          <w:p>
            <w:pPr>
              <w:pStyle w:val="TableContents"/>
              <w:bidi w:val="0"/>
              <w:spacing w:before="0" w:after="283"/>
              <w:jc w:val="left"/>
              <w:rPr/>
            </w:pPr>
            <w:r>
              <w:rPr/>
              <w:t> </w:t>
            </w:r>
          </w:p>
        </w:tc>
        <w:tc>
          <w:tcPr>
            <w:tcW w:w="181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0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Total intangible assets</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left"/>
              <w:rPr/>
            </w:pPr>
            <w:r>
              <w:rPr/>
              <w:t> </w:t>
            </w:r>
          </w:p>
        </w:tc>
        <w:tc>
          <w:tcPr>
            <w:tcW w:w="181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Goodwill represents the future economic benefits arising from other assets that could not be individually identified and separately recognized, such as the acquired assembled workforce and synergies expected to be achieved from the integration of RE2. Goodwill is not deductible for tax purposes.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results of operations of RE2 from the date of acquisition have been included in the Company’s consolidated financial statements. Pro forma revenue and results of operations have not been presented because the historical results of RE2 are not material to the Company’s consolidated financial statements in any period presented.</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Goodwill and Intangible Assets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Goodwill</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As a result of sustained decreases in the Company’s publicly quoted share price during the fourth quarter of 2022, the Company conducted an analysis of its goodwill as of December 31, 2022, and performed a quantitative goodwill impairment assessment. Based on the Company's quantitative goodwill impairment assessment, it concluded that the carrying value of its reporting unit exceeded its fair value and that all of its goodwill was fully impaired as of December 31, 2022.</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Acquired Intangible Assets</w:t>
      </w:r>
    </w:p>
    <w:p>
      <w:pPr>
        <w:pStyle w:val="TextBody"/>
        <w:bidi w:val="0"/>
        <w:jc w:val="both"/>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of September 30, 2023, acquired intangible assets, net consisted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72"/>
        <w:gridCol w:w="146"/>
        <w:gridCol w:w="323"/>
        <w:gridCol w:w="996"/>
        <w:gridCol w:w="346"/>
        <w:gridCol w:w="346"/>
        <w:gridCol w:w="438"/>
        <w:gridCol w:w="1144"/>
        <w:gridCol w:w="346"/>
        <w:gridCol w:w="346"/>
        <w:gridCol w:w="304"/>
        <w:gridCol w:w="938"/>
        <w:gridCol w:w="346"/>
        <w:gridCol w:w="346"/>
        <w:gridCol w:w="602"/>
        <w:gridCol w:w="1369"/>
        <w:gridCol w:w="397"/>
      </w:tblGrid>
      <w:tr>
        <w:trPr/>
        <w:tc>
          <w:tcPr>
            <w:tcW w:w="1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4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9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2"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Carrying Amount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Amortization</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Carrying Amount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Weighted Average Remaining Useful Life </w:t>
              <w:br/>
              <w:t>(in years)</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Trade name and trademarks</w:t>
            </w:r>
          </w:p>
        </w:tc>
        <w:tc>
          <w:tcPr>
            <w:tcW w:w="146"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9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1,000</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4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236</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764</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left"/>
              <w:rPr/>
            </w:pPr>
            <w:r>
              <w:rPr/>
              <w:t> </w:t>
            </w:r>
          </w:p>
        </w:tc>
        <w:tc>
          <w:tcPr>
            <w:tcW w:w="13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w:t>
            </w:r>
          </w:p>
        </w:tc>
        <w:tc>
          <w:tcPr>
            <w:tcW w:w="397" w:type="dxa"/>
            <w:tcBorders/>
            <w:shd w:fill="CFF0FC" w:val="clear"/>
            <w:vAlign w:val="center"/>
          </w:tcPr>
          <w:p>
            <w:pPr>
              <w:pStyle w:val="TableContents"/>
              <w:bidi w:val="0"/>
              <w:spacing w:before="0" w:after="283"/>
              <w:jc w:val="left"/>
              <w:rPr/>
            </w:pPr>
            <w:r>
              <w:rPr/>
              <w:t> </w:t>
            </w:r>
          </w:p>
        </w:tc>
      </w:tr>
      <w:tr>
        <w:trPr/>
        <w:tc>
          <w:tcPr>
            <w:tcW w:w="147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Developed technology</w:t>
            </w:r>
          </w:p>
        </w:tc>
        <w:tc>
          <w:tcPr>
            <w:tcW w:w="146"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9,600</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2,720</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3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6,880</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w:t>
            </w:r>
          </w:p>
        </w:tc>
        <w:tc>
          <w:tcPr>
            <w:tcW w:w="397" w:type="dxa"/>
            <w:tcBorders/>
            <w:shd w:fill="FFFFFF" w:val="clear"/>
            <w:vAlign w:val="center"/>
          </w:tcPr>
          <w:p>
            <w:pPr>
              <w:pStyle w:val="TableContents"/>
              <w:bidi w:val="0"/>
              <w:spacing w:before="0" w:after="283"/>
              <w:jc w:val="left"/>
              <w:rPr/>
            </w:pPr>
            <w:r>
              <w:rPr/>
              <w:t> </w:t>
            </w:r>
          </w:p>
        </w:tc>
      </w:tr>
      <w:tr>
        <w:trPr/>
        <w:tc>
          <w:tcPr>
            <w:tcW w:w="147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Customer relationships</w:t>
            </w:r>
          </w:p>
        </w:tc>
        <w:tc>
          <w:tcPr>
            <w:tcW w:w="146" w:type="dxa"/>
            <w:tcBorders/>
            <w:shd w:fill="CFF0FC" w:val="cle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10,700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1,684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9,016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left"/>
              <w:rPr/>
            </w:pPr>
            <w:r>
              <w:rPr/>
              <w:t> </w:t>
            </w:r>
          </w:p>
        </w:tc>
        <w:tc>
          <w:tcPr>
            <w:tcW w:w="13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w:t>
            </w:r>
          </w:p>
        </w:tc>
        <w:tc>
          <w:tcPr>
            <w:tcW w:w="397" w:type="dxa"/>
            <w:tcBorders/>
            <w:shd w:fill="CFF0FC" w:val="clear"/>
            <w:vAlign w:val="center"/>
          </w:tcPr>
          <w:p>
            <w:pPr>
              <w:pStyle w:val="TableContents"/>
              <w:bidi w:val="0"/>
              <w:spacing w:before="0" w:after="283"/>
              <w:ind w:left="0" w:right="0" w:firstLine="200"/>
              <w:jc w:val="left"/>
              <w:rPr/>
            </w:pPr>
            <w:r>
              <w:rPr/>
              <w:t> </w:t>
            </w:r>
          </w:p>
        </w:tc>
      </w:tr>
      <w:tr>
        <w:trPr/>
        <w:tc>
          <w:tcPr>
            <w:tcW w:w="147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Total</w:t>
            </w:r>
          </w:p>
        </w:tc>
        <w:tc>
          <w:tcPr>
            <w:tcW w:w="146" w:type="dxa"/>
            <w:tcBorders/>
            <w:shd w:fill="FFFFFF" w:val="cle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21,300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4,640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16,660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971" w:type="dxa"/>
            <w:gridSpan w:val="2"/>
            <w:tcBorders/>
            <w:shd w:fill="FFFFFF" w:val="clear"/>
            <w:vAlign w:val="center"/>
          </w:tcPr>
          <w:p>
            <w:pPr>
              <w:pStyle w:val="TableContents"/>
              <w:bidi w:val="0"/>
              <w:spacing w:before="0" w:after="283"/>
              <w:jc w:val="right"/>
              <w:rPr/>
            </w:pPr>
            <w:r>
              <w:rPr/>
              <w:t> </w:t>
            </w:r>
          </w:p>
        </w:tc>
        <w:tc>
          <w:tcPr>
            <w:tcW w:w="397"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 recorded $0.8</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$0.8</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amortization expense during the three months ended September 30, 2023 and 2022, respectively. The Company recorded $2.5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amortization expense during the nine months ended September 30, 2023 and 2022, respectively. Amortization expense was recorded as intangible amortization expense in the condensed consolidated statements of operations. There was no</w:t>
      </w:r>
      <w:r>
        <w:rPr>
          <w:rFonts w:ascii="Times New Roman" w:hAnsi="Times New Roman"/>
          <w:color w:val="000000"/>
          <w:sz w:val="20"/>
        </w:rPr>
        <w:t xml:space="preserve"> </w:t>
      </w:r>
      <w:r>
        <w:rPr>
          <w:rFonts w:ascii="Times New Roman" w:hAnsi="Times New Roman"/>
          <w:b w:val="false"/>
          <w:color w:val="000000"/>
          <w:sz w:val="20"/>
        </w:rPr>
        <w:t>impairment of intangible assets recorded for the nine months ended September 30, 2023 and 2022.</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of September 30, 2023, future amortization expense related to acquired intangible assets was as follows:</w:t>
      </w:r>
    </w:p>
    <w:p>
      <w:pPr>
        <w:pStyle w:val="TextBody"/>
        <w:bidi w:val="0"/>
        <w:jc w:val="left"/>
        <w:rPr/>
      </w:pPr>
      <w:r>
        <w:rPr/>
        <w:t> </w:t>
      </w:r>
    </w:p>
    <w:tbl>
      <w:tblPr>
        <w:tblW w:w="3838" w:type="dxa"/>
        <w:jc w:val="left"/>
        <w:tblInd w:w="0" w:type="dxa"/>
        <w:tblLayout w:type="fixed"/>
        <w:tblCellMar>
          <w:top w:w="28" w:type="dxa"/>
          <w:left w:w="28" w:type="dxa"/>
          <w:bottom w:w="28" w:type="dxa"/>
          <w:right w:w="28" w:type="dxa"/>
        </w:tblCellMar>
      </w:tblPr>
      <w:tblGrid>
        <w:gridCol w:w="1486"/>
        <w:gridCol w:w="146"/>
        <w:gridCol w:w="445"/>
        <w:gridCol w:w="1370"/>
        <w:gridCol w:w="3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Amortization Expense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2023</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37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820</w:t>
            </w:r>
          </w:p>
        </w:tc>
        <w:tc>
          <w:tcPr>
            <w:tcW w:w="391" w:type="dxa"/>
            <w:tcBorders/>
            <w:shd w:fill="CFF0FC" w:val="clear"/>
            <w:vAlign w:val="center"/>
          </w:tcPr>
          <w:p>
            <w:pPr>
              <w:pStyle w:val="TableContents"/>
              <w:bidi w:val="0"/>
              <w:spacing w:before="0" w:after="283"/>
              <w:jc w:val="left"/>
              <w:rPr/>
            </w:pPr>
            <w:r>
              <w:rPr/>
              <w:t> </w:t>
            </w:r>
          </w:p>
        </w:tc>
      </w:tr>
      <w:tr>
        <w:trPr/>
        <w:tc>
          <w:tcPr>
            <w:tcW w:w="148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2024</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3,276</w:t>
            </w:r>
          </w:p>
        </w:tc>
        <w:tc>
          <w:tcPr>
            <w:tcW w:w="391" w:type="dxa"/>
            <w:tcBorders/>
            <w:shd w:fill="FFFFFF" w:val="clear"/>
            <w:vAlign w:val="center"/>
          </w:tcPr>
          <w:p>
            <w:pPr>
              <w:pStyle w:val="TableContents"/>
              <w:bidi w:val="0"/>
              <w:spacing w:before="0" w:after="283"/>
              <w:jc w:val="left"/>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2025</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pPr>
            <w:r>
              <w:rPr/>
              <w:t> </w:t>
            </w:r>
          </w:p>
        </w:tc>
        <w:tc>
          <w:tcPr>
            <w:tcW w:w="137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3,276</w:t>
            </w:r>
          </w:p>
        </w:tc>
        <w:tc>
          <w:tcPr>
            <w:tcW w:w="391" w:type="dxa"/>
            <w:tcBorders/>
            <w:shd w:fill="CFF0FC" w:val="clear"/>
            <w:vAlign w:val="center"/>
          </w:tcPr>
          <w:p>
            <w:pPr>
              <w:pStyle w:val="TableContents"/>
              <w:bidi w:val="0"/>
              <w:spacing w:before="0" w:after="283"/>
              <w:jc w:val="left"/>
              <w:rPr/>
            </w:pPr>
            <w:r>
              <w:rPr/>
              <w:t> </w:t>
            </w:r>
          </w:p>
        </w:tc>
      </w:tr>
      <w:tr>
        <w:trPr/>
        <w:tc>
          <w:tcPr>
            <w:tcW w:w="148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2026</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3,276</w:t>
            </w:r>
          </w:p>
        </w:tc>
        <w:tc>
          <w:tcPr>
            <w:tcW w:w="391" w:type="dxa"/>
            <w:tcBorders/>
            <w:shd w:fill="FFFFFF" w:val="clear"/>
            <w:vAlign w:val="center"/>
          </w:tcPr>
          <w:p>
            <w:pPr>
              <w:pStyle w:val="TableContents"/>
              <w:bidi w:val="0"/>
              <w:spacing w:before="0" w:after="283"/>
              <w:jc w:val="left"/>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2027</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pPr>
            <w:r>
              <w:rPr/>
              <w:t> </w:t>
            </w:r>
          </w:p>
        </w:tc>
        <w:tc>
          <w:tcPr>
            <w:tcW w:w="137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1,996</w:t>
            </w:r>
          </w:p>
        </w:tc>
        <w:tc>
          <w:tcPr>
            <w:tcW w:w="391" w:type="dxa"/>
            <w:tcBorders/>
            <w:shd w:fill="CFF0FC" w:val="clear"/>
            <w:vAlign w:val="center"/>
          </w:tcPr>
          <w:p>
            <w:pPr>
              <w:pStyle w:val="TableContents"/>
              <w:bidi w:val="0"/>
              <w:spacing w:before="0" w:after="283"/>
              <w:jc w:val="left"/>
              <w:rPr/>
            </w:pPr>
            <w:r>
              <w:rPr/>
              <w:t> </w:t>
            </w:r>
          </w:p>
        </w:tc>
      </w:tr>
      <w:tr>
        <w:trPr/>
        <w:tc>
          <w:tcPr>
            <w:tcW w:w="148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2028 and thereafter</w:t>
            </w:r>
          </w:p>
        </w:tc>
        <w:tc>
          <w:tcPr>
            <w:tcW w:w="146" w:type="dxa"/>
            <w:tcBorders/>
            <w:shd w:fill="FFFFFF" w:val="clear"/>
            <w:vAlign w:val="center"/>
          </w:tcPr>
          <w:p>
            <w:pPr>
              <w:pStyle w:val="TableContents"/>
              <w:bidi w:val="0"/>
              <w:spacing w:before="0" w:after="283"/>
              <w:jc w:val="lef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16,660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Reverse Recapitalization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 xml:space="preserve">Pursuant to ASC 805, </w:t>
      </w:r>
      <w:r>
        <w:rPr>
          <w:rFonts w:ascii="Times New Roman" w:hAnsi="Times New Roman"/>
          <w:b w:val="false"/>
          <w:i/>
          <w:color w:val="000000"/>
          <w:sz w:val="20"/>
        </w:rPr>
        <w:t>Business Combinations</w:t>
      </w:r>
      <w:r>
        <w:rPr>
          <w:rFonts w:ascii="Times New Roman" w:hAnsi="Times New Roman"/>
          <w:b w:val="false"/>
          <w:color w:val="000000"/>
          <w:sz w:val="20"/>
        </w:rPr>
        <w:t>, the Business Combination was accounted for as a reverse recapitalization, rather than a business combination, for financial accounting and reporting purposes. Accordingly, Old Sarcos was deemed the accounting acquirer (and legal acquiree) and Rotor was treated as the accounting acquiree (and legal acquirer). Under this method of accounting, the reverse recapitalization was treated as the equivalent of Old Sarcos issuing stock for the net assets of Rotor, accompanied by a recapitalization. The net assets of Rotor are stated at historical cost, with no goodwill or other intangible assets recorded. The consolidated assets, liabilities, and results of operations prior to the Merger are those of Old Sarcos. The shares and corresponding capital amounts and earnings per share available for common stockholders, prior to the Merger, have been retroactively restated as shares reflecting the Exchange Ratio.</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Earn-Out Shares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Each holder of Old Sarcos capital stock is entitled to Contingent Merger Consideration following the closing of the Business Combination in the form of earn-outs, up to an aggregate of 4,687,500</w:t>
      </w:r>
      <w:r>
        <w:rPr>
          <w:rFonts w:ascii="Times New Roman" w:hAnsi="Times New Roman"/>
          <w:color w:val="000000"/>
          <w:sz w:val="20"/>
        </w:rPr>
        <w:t xml:space="preserve"> </w:t>
      </w:r>
      <w:r>
        <w:rPr>
          <w:rFonts w:ascii="Times New Roman" w:hAnsi="Times New Roman"/>
          <w:b w:val="false"/>
          <w:color w:val="000000"/>
          <w:sz w:val="20"/>
        </w:rPr>
        <w:t>shares of Common Stock (the “Earn-Out Shares”). The Earn-Out Shares will become payable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2,343,750</w:t>
      </w:r>
      <w:r>
        <w:rPr>
          <w:rFonts w:ascii="Times New Roman" w:hAnsi="Times New Roman"/>
          <w:color w:val="000000"/>
          <w:sz w:val="20"/>
        </w:rPr>
        <w:t xml:space="preserve"> </w:t>
      </w:r>
      <w:r>
        <w:rPr>
          <w:rFonts w:ascii="Times New Roman" w:hAnsi="Times New Roman"/>
          <w:b w:val="false"/>
          <w:color w:val="000000"/>
          <w:sz w:val="20"/>
        </w:rPr>
        <w:t>shares of Common Stock of the Company in the aggregate if the closing share price of a share of Common Stock of the Company is equal to or exceeds $90.00</w:t>
      </w:r>
      <w:r>
        <w:rPr>
          <w:rFonts w:ascii="Times New Roman" w:hAnsi="Times New Roman"/>
          <w:color w:val="000000"/>
          <w:sz w:val="20"/>
        </w:rPr>
        <w:t xml:space="preserve"> </w:t>
      </w:r>
      <w:r>
        <w:rPr>
          <w:rFonts w:ascii="Times New Roman" w:hAnsi="Times New Roman"/>
          <w:b w:val="false"/>
          <w:color w:val="000000"/>
          <w:sz w:val="20"/>
        </w:rPr>
        <w:t>for 20</w:t>
      </w:r>
      <w:r>
        <w:rPr>
          <w:rFonts w:ascii="Times New Roman" w:hAnsi="Times New Roman"/>
          <w:color w:val="000000"/>
          <w:sz w:val="20"/>
        </w:rPr>
        <w:t xml:space="preserve"> </w:t>
      </w:r>
      <w:r>
        <w:rPr>
          <w:rFonts w:ascii="Times New Roman" w:hAnsi="Times New Roman"/>
          <w:b w:val="false"/>
          <w:color w:val="000000"/>
          <w:sz w:val="20"/>
        </w:rPr>
        <w:t>trading days in any 30</w:t>
      </w:r>
      <w:r>
        <w:rPr>
          <w:rFonts w:ascii="Times New Roman" w:hAnsi="Times New Roman"/>
          <w:color w:val="000000"/>
          <w:sz w:val="20"/>
        </w:rPr>
        <w:t xml:space="preserve"> </w:t>
      </w:r>
      <w:r>
        <w:rPr>
          <w:rFonts w:ascii="Times New Roman" w:hAnsi="Times New Roman"/>
          <w:b w:val="false"/>
          <w:color w:val="000000"/>
          <w:sz w:val="20"/>
        </w:rPr>
        <w:t>consecutive trading day period at any time during the period beginning on the first anniversary of the Closing Date and ending on the fourth anniversary of the Closing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2,343,750</w:t>
      </w:r>
      <w:r>
        <w:rPr>
          <w:rFonts w:ascii="Times New Roman" w:hAnsi="Times New Roman"/>
          <w:color w:val="000000"/>
          <w:sz w:val="20"/>
        </w:rPr>
        <w:t xml:space="preserve"> </w:t>
      </w:r>
      <w:r>
        <w:rPr>
          <w:rFonts w:ascii="Times New Roman" w:hAnsi="Times New Roman"/>
          <w:b w:val="false"/>
          <w:color w:val="000000"/>
          <w:sz w:val="20"/>
        </w:rPr>
        <w:t>shares of Common Stock of the Company if the closing share price of a share of Common Stock of the Company is equal to or exceeds $120.00</w:t>
      </w:r>
      <w:r>
        <w:rPr>
          <w:rFonts w:ascii="Times New Roman" w:hAnsi="Times New Roman"/>
          <w:color w:val="000000"/>
          <w:sz w:val="20"/>
        </w:rPr>
        <w:t xml:space="preserve"> </w:t>
      </w:r>
      <w:r>
        <w:rPr>
          <w:rFonts w:ascii="Times New Roman" w:hAnsi="Times New Roman"/>
          <w:b w:val="false"/>
          <w:color w:val="000000"/>
          <w:sz w:val="20"/>
        </w:rPr>
        <w:t>for 20</w:t>
      </w:r>
      <w:r>
        <w:rPr>
          <w:rFonts w:ascii="Times New Roman" w:hAnsi="Times New Roman"/>
          <w:color w:val="000000"/>
          <w:sz w:val="20"/>
        </w:rPr>
        <w:t xml:space="preserve"> </w:t>
      </w:r>
      <w:r>
        <w:rPr>
          <w:rFonts w:ascii="Times New Roman" w:hAnsi="Times New Roman"/>
          <w:b w:val="false"/>
          <w:color w:val="000000"/>
          <w:sz w:val="20"/>
        </w:rPr>
        <w:t>trading days in any 30</w:t>
      </w:r>
      <w:r>
        <w:rPr>
          <w:rFonts w:ascii="Times New Roman" w:hAnsi="Times New Roman"/>
          <w:color w:val="000000"/>
          <w:sz w:val="20"/>
        </w:rPr>
        <w:t xml:space="preserve"> </w:t>
      </w:r>
      <w:r>
        <w:rPr>
          <w:rFonts w:ascii="Times New Roman" w:hAnsi="Times New Roman"/>
          <w:b w:val="false"/>
          <w:color w:val="000000"/>
          <w:sz w:val="20"/>
        </w:rPr>
        <w:t>consecutive trading day period at any time during the period beginning on the first anniversary of the Closing Date and ending on the fifth anniversary of the Closing Date.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The Earn-Out Shares are treated as equity-linked instruments as opposed to shares outstanding, and as such are not included in shares outstanding on the Company’s condensed consolidated balance sheets. As of September 30, 2023, there remained 4,687,500</w:t>
      </w:r>
      <w:r>
        <w:rPr>
          <w:rFonts w:ascii="Times New Roman" w:hAnsi="Times New Roman"/>
          <w:color w:val="000000"/>
          <w:sz w:val="20"/>
        </w:rPr>
        <w:t xml:space="preserve"> </w:t>
      </w:r>
      <w:r>
        <w:rPr>
          <w:rFonts w:ascii="Times New Roman" w:hAnsi="Times New Roman"/>
          <w:b w:val="false"/>
          <w:color w:val="000000"/>
          <w:sz w:val="20"/>
        </w:rPr>
        <w:t>Earn-Out Shares potentially issuable.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Warrants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On January 20, 2021, Rotor consummated the initial public offering (“IPO”) of 27,600,000</w:t>
      </w:r>
      <w:r>
        <w:rPr>
          <w:rFonts w:ascii="Times New Roman" w:hAnsi="Times New Roman"/>
          <w:color w:val="000000"/>
          <w:sz w:val="20"/>
        </w:rPr>
        <w:t xml:space="preserve"> </w:t>
      </w:r>
      <w:r>
        <w:rPr>
          <w:rFonts w:ascii="Times New Roman" w:hAnsi="Times New Roman"/>
          <w:b w:val="false"/>
          <w:color w:val="000000"/>
          <w:sz w:val="20"/>
        </w:rPr>
        <w:t>units (the “Units”), including the full exercise by the underwriters of their over-allotment option. Each Unit included one sixth of a share of Class A Common Stock and one half of one warrant (the “Public Warrants”). Simultaneously with the closing of the IPO, Rotor consummated the sale of 7,270,000</w:t>
      </w:r>
      <w:r>
        <w:rPr>
          <w:rFonts w:ascii="Times New Roman" w:hAnsi="Times New Roman"/>
          <w:color w:val="000000"/>
          <w:sz w:val="20"/>
        </w:rPr>
        <w:t xml:space="preserve"> </w:t>
      </w:r>
      <w:r>
        <w:rPr>
          <w:rFonts w:ascii="Times New Roman" w:hAnsi="Times New Roman"/>
          <w:b w:val="false"/>
          <w:color w:val="000000"/>
          <w:sz w:val="20"/>
        </w:rPr>
        <w:t>warrants (the “Private Placement Warrants”) in a private placement to Rotor Sponsor LLC (the “Sponsor”), an affiliate of Rotor’s officers and directors, and certain funds and accounts managed by two qualified institutional buyers. At the Closing Date, Old Sarcos acquired the net liabilities from Rotor, including the Public Warrants, that were recorded as equity instruments, and the Private Placement Warrants, that were recorded as warrant liabilities (together the “Warrants”).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20"/>
        </w:rPr>
        <w:t>Each whole Warrant entitles the registered holder to purchase one</w:t>
      </w:r>
      <w:r>
        <w:rPr>
          <w:rFonts w:ascii="Times New Roman" w:hAnsi="Times New Roman"/>
          <w:color w:val="000000"/>
          <w:sz w:val="20"/>
        </w:rPr>
        <w:t xml:space="preserve"> </w:t>
      </w:r>
      <w:r>
        <w:rPr>
          <w:rFonts w:ascii="Times New Roman" w:hAnsi="Times New Roman"/>
          <w:b w:val="false"/>
          <w:color w:val="000000"/>
          <w:sz w:val="20"/>
        </w:rPr>
        <w:t>sixth of a share of the Company's Common Stock at a price of $11.50</w:t>
      </w:r>
      <w:r>
        <w:rPr>
          <w:rFonts w:ascii="Times New Roman" w:hAnsi="Times New Roman"/>
          <w:color w:val="000000"/>
          <w:sz w:val="20"/>
        </w:rPr>
        <w:t xml:space="preserve"> </w:t>
      </w:r>
      <w:r>
        <w:rPr>
          <w:rFonts w:ascii="Times New Roman" w:hAnsi="Times New Roman"/>
          <w:b w:val="false"/>
          <w:color w:val="000000"/>
          <w:sz w:val="20"/>
        </w:rPr>
        <w:t>per warrant, subject to adjustment as discussed below, at any time commencing on January 20, 2022, provided that the Company has an effective registration statement under the Securities Act of 1933, as amended (the “Securities Act”) covering the shares of the Common Stock issuable upon exercise of the Warrants and a current prospectus relating to them is available (or the Company permits holders to exercise their Warrants on a cashless basis under the circumstances specified in the warrant agreement (the “Warrant Agreement”) entered into between Continental Stock Transfer &amp; Trust Company and Rotor and such shares are registered, qualified or exempt from registration under the securities laws of the state of residence of the holder. Pursuant to the Warrant Agreement, a Warrant holder may exercise its Warrants only for a whole number of shares of the Company's Common Stock. The Warrants will expire five years</w:t>
      </w:r>
      <w:r>
        <w:rPr>
          <w:rFonts w:ascii="Times New Roman" w:hAnsi="Times New Roman"/>
          <w:color w:val="000000"/>
          <w:sz w:val="20"/>
        </w:rPr>
        <w:t xml:space="preserve"> </w:t>
      </w:r>
      <w:r>
        <w:rPr>
          <w:rFonts w:ascii="Times New Roman" w:hAnsi="Times New Roman"/>
          <w:b w:val="false"/>
          <w:color w:val="000000"/>
          <w:sz w:val="20"/>
        </w:rPr>
        <w:t>after the completion of the Business Combination, or September 24, 2026, at 5:00 p.m., New York City time, or earlier upon redemption or liquidation. As of September 30, 2023, there were outstanding Warrants to purchase 3,424,908</w:t>
      </w:r>
      <w:r>
        <w:rPr>
          <w:rFonts w:ascii="Times New Roman" w:hAnsi="Times New Roman"/>
          <w:color w:val="000000"/>
          <w:sz w:val="20"/>
        </w:rPr>
        <w:t xml:space="preserve"> </w:t>
      </w:r>
      <w:r>
        <w:rPr>
          <w:rFonts w:ascii="Times New Roman" w:hAnsi="Times New Roman"/>
          <w:b w:val="false"/>
          <w:color w:val="000000"/>
          <w:sz w:val="20"/>
        </w:rPr>
        <w:t>shares of Common Stock.</w:t>
      </w:r>
    </w:p>
    <w:p>
      <w:pPr>
        <w:pStyle w:val="TextBody"/>
        <w:bidi w:val="0"/>
        <w:jc w:val="both"/>
        <w:rPr>
          <w:rFonts w:ascii="Times New Roman" w:hAnsi="Times New Roman"/>
          <w:sz w:val="20"/>
        </w:rPr>
      </w:pPr>
      <w:r>
        <w:rPr>
          <w:rFonts w:ascii="Times New Roman" w:hAnsi="Times New Roman"/>
          <w:b w:val="false"/>
          <w:color w:val="000000"/>
          <w:sz w:val="20"/>
        </w:rPr>
        <w:t>The Company will not be obligated to deliver any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the Company satisfying its obligations described below with respect to registration, or a valid exemption from registration is available. No Warrant will be exercisable, and the Company will not be obligated to issue a share of Common Stock upon exercise of a Warrant unless the share of the Company's Common Stock issuable upon such Warrant exercise has been registered, qualified or deemed to be exempt under the securities laws of the state of residence of the registered holder of the Warrants. If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a registration statement is not</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effective for the exercised Warrants, the purchaser in the Rotor IPO of a Unit containing such Warrant will have paid the full purchase price for the Unit solely for the share of the Company's Common Stock underlying such Unit.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Except as described herein, the Private Placement Warrants have terms and provisions that are identical to those of the Public Warrants. If the Private Placement Warrants are held by holders other than the initial purchasers or their permitted transferees, the Private Placement Warrants will be redeemable by the Company in all redemption scenarios and exercisable by the holders on the same basis as the Public Warrants. The Private Placement Warrants will not be redeemable by the Company so long as they are held by the initial purchasers or their permitted transferees, subject to certain exceptions. The initial purchasers or their permitted transferees, have the option to exercise the Private Placement Warrants on a cashless basis.</w:t>
      </w:r>
    </w:p>
    <w:p>
      <w:pPr>
        <w:pStyle w:val="TextBody"/>
        <w:bidi w:val="0"/>
        <w:jc w:val="both"/>
        <w:rPr>
          <w:rFonts w:ascii="Times New Roman" w:hAnsi="Times New Roman"/>
          <w:sz w:val="20"/>
        </w:rPr>
      </w:pPr>
      <w:r>
        <w:rPr>
          <w:rFonts w:ascii="Times New Roman" w:hAnsi="Times New Roman"/>
          <w:b w:val="false"/>
          <w:i/>
          <w:color w:val="000000"/>
          <w:sz w:val="20"/>
        </w:rPr>
        <w:t xml:space="preserve">Redemption of Warrants When the Price per Share of the Company's Common Stock Equals or Exceeds $108.00. </w:t>
      </w:r>
      <w:r>
        <w:rPr>
          <w:rFonts w:ascii="Times New Roman" w:hAnsi="Times New Roman"/>
          <w:b w:val="false"/>
          <w:color w:val="000000"/>
          <w:sz w:val="20"/>
        </w:rPr>
        <w:t>Once the Warrants become exercisable, the Company may call the Warrants for redemption: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in whole and not in part;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at a price of $0.01</w:t>
      </w:r>
      <w:r>
        <w:rPr>
          <w:rFonts w:ascii="Times New Roman" w:hAnsi="Times New Roman"/>
          <w:color w:val="000000"/>
          <w:sz w:val="20"/>
        </w:rPr>
        <w:t xml:space="preserve"> </w:t>
      </w:r>
      <w:r>
        <w:rPr>
          <w:rFonts w:ascii="Times New Roman" w:hAnsi="Times New Roman"/>
          <w:b w:val="false"/>
          <w:color w:val="000000"/>
          <w:sz w:val="20"/>
        </w:rPr>
        <w:t>per Warrant;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upon not less than 30 days</w:t>
      </w:r>
      <w:r>
        <w:rPr>
          <w:rFonts w:ascii="Times New Roman" w:hAnsi="Times New Roman"/>
          <w:color w:val="000000"/>
          <w:sz w:val="20"/>
        </w:rPr>
        <w:t xml:space="preserve">’ </w:t>
      </w:r>
      <w:r>
        <w:rPr>
          <w:rFonts w:ascii="Times New Roman" w:hAnsi="Times New Roman"/>
          <w:b w:val="false"/>
          <w:color w:val="000000"/>
          <w:sz w:val="20"/>
        </w:rPr>
        <w:t>prior written notice of redemption (the “30-day redemption period”) to each Warrant holder;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if, and only if, the last reported sale price of the shares of the Company's Common Stock for any 20</w:t>
      </w:r>
      <w:r>
        <w:rPr>
          <w:rFonts w:ascii="Times New Roman" w:hAnsi="Times New Roman"/>
          <w:color w:val="000000"/>
          <w:sz w:val="20"/>
        </w:rPr>
        <w:t xml:space="preserve"> </w:t>
      </w:r>
      <w:r>
        <w:rPr>
          <w:rFonts w:ascii="Times New Roman" w:hAnsi="Times New Roman"/>
          <w:b w:val="false"/>
          <w:color w:val="000000"/>
          <w:sz w:val="20"/>
        </w:rPr>
        <w:t>trading days within a 30-trading day period commencing after the Warrants become exercisable and ending three business days before the Company sends the notice of redemption to the Warrant holders (which is referred to as the “Reference Value”) equals or exceeds $108.00</w:t>
      </w:r>
      <w:r>
        <w:rPr>
          <w:rFonts w:ascii="Times New Roman" w:hAnsi="Times New Roman"/>
          <w:color w:val="000000"/>
          <w:sz w:val="20"/>
        </w:rPr>
        <w:t xml:space="preserve"> </w:t>
      </w:r>
      <w:r>
        <w:rPr>
          <w:rFonts w:ascii="Times New Roman" w:hAnsi="Times New Roman"/>
          <w:b w:val="false"/>
          <w:color w:val="000000"/>
          <w:sz w:val="20"/>
        </w:rPr>
        <w:t>per share (as adjusted for stock splits, stock dividends, reorganizations, recapitalizations and the like).</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If and when the Warrants become redeemable by the Company, the Company may exercise its redemption right even if it is unable to register or qualify the underlying securities for sale under all applicable state securities laws. However, the Company will not redeem the Warrants unless an effective registration statement under the Securities Act covering the shares of the Company's Common Stock issuable upon exercise of the Warrants is effective and a current prospectus relating to those shares of the Company's Common Stock is available throughout the 30-day redemption period.</w:t>
      </w:r>
    </w:p>
    <w:p>
      <w:pPr>
        <w:pStyle w:val="TextBody"/>
        <w:bidi w:val="0"/>
        <w:jc w:val="both"/>
        <w:rPr>
          <w:rFonts w:ascii="Times New Roman" w:hAnsi="Times New Roman"/>
          <w:sz w:val="20"/>
        </w:rPr>
      </w:pPr>
      <w:r>
        <w:rPr>
          <w:rFonts w:ascii="Times New Roman" w:hAnsi="Times New Roman"/>
          <w:b w:val="false"/>
          <w:i/>
          <w:color w:val="000000"/>
          <w:sz w:val="20"/>
        </w:rPr>
        <w:t xml:space="preserve">Redemption of Warrants When the Price per Share of Our Common Stock Equals or Exceeds $60.00. </w:t>
      </w:r>
      <w:r>
        <w:rPr>
          <w:rFonts w:ascii="Times New Roman" w:hAnsi="Times New Roman"/>
          <w:b w:val="false"/>
          <w:color w:val="000000"/>
          <w:sz w:val="20"/>
        </w:rPr>
        <w:t>Once the Warrants become exercisable, the Company may redeem the outstanding Warrants (except as described herein with respect to the Private Placement Warrants if the Company does not utilize this redemption provision):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in whole and not in part;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at $0.10</w:t>
      </w:r>
      <w:r>
        <w:rPr>
          <w:rFonts w:ascii="Times New Roman" w:hAnsi="Times New Roman"/>
          <w:color w:val="000000"/>
          <w:sz w:val="20"/>
        </w:rPr>
        <w:t xml:space="preserve"> </w:t>
      </w:r>
      <w:r>
        <w:rPr>
          <w:rFonts w:ascii="Times New Roman" w:hAnsi="Times New Roman"/>
          <w:b w:val="false"/>
          <w:color w:val="000000"/>
          <w:sz w:val="20"/>
        </w:rPr>
        <w:t>per Warrant upon a minimum of 30 days</w:t>
      </w:r>
      <w:r>
        <w:rPr>
          <w:rFonts w:ascii="Times New Roman" w:hAnsi="Times New Roman"/>
          <w:color w:val="000000"/>
          <w:sz w:val="20"/>
        </w:rPr>
        <w:t xml:space="preserve">’ </w:t>
      </w:r>
      <w:r>
        <w:rPr>
          <w:rFonts w:ascii="Times New Roman" w:hAnsi="Times New Roman"/>
          <w:b w:val="false"/>
          <w:color w:val="000000"/>
          <w:sz w:val="20"/>
        </w:rPr>
        <w:t>prior written notice of redemption; provided that holders will be able to exercise their Warrants on a cashless basis prior to redemption and receive that number of shares determined by reference to an agreed table based on the redemption date and the “fair market value” of the Company's Common Stock;</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if, and only if, the Reference Value (as defined above) equals or exceeds $60.00</w:t>
      </w:r>
      <w:r>
        <w:rPr>
          <w:rFonts w:ascii="Times New Roman" w:hAnsi="Times New Roman"/>
          <w:color w:val="000000"/>
          <w:sz w:val="20"/>
        </w:rPr>
        <w:t xml:space="preserve"> </w:t>
      </w:r>
      <w:r>
        <w:rPr>
          <w:rFonts w:ascii="Times New Roman" w:hAnsi="Times New Roman"/>
          <w:b w:val="false"/>
          <w:color w:val="000000"/>
          <w:sz w:val="20"/>
        </w:rPr>
        <w:t>per share (as adjusted for stock splits, stock dividends, reorganizations, recapitalizations and the like);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if the Reference Value is less than $108.00</w:t>
      </w:r>
      <w:r>
        <w:rPr>
          <w:rFonts w:ascii="Times New Roman" w:hAnsi="Times New Roman"/>
          <w:color w:val="000000"/>
          <w:sz w:val="20"/>
        </w:rPr>
        <w:t xml:space="preserve"> </w:t>
      </w:r>
      <w:r>
        <w:rPr>
          <w:rFonts w:ascii="Times New Roman" w:hAnsi="Times New Roman"/>
          <w:b w:val="false"/>
          <w:color w:val="000000"/>
          <w:sz w:val="20"/>
        </w:rPr>
        <w:t>per share (as adjusted for stock splits, stock dividends, reorganizations, recapitalizations and the like) the Private Placement Warrants must also be concurrently called for redemption on the same terms (except as described above with respect to a holder’s ability to cashless exercise its Warrants) as the outstanding Public Warrants, as described above.</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Stock-based Compensation</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2021 Stock Plan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On September 15, 2021, the stockholders of the Company approved the Sarcos Technology and Robotics Corporation 2021 Equity Incentive Plan (the “2021 Plan”), and on the Closing Date, the 2021 Plan was approved by the board of directors. The 2021 Plan provides stock option awards, RSUs and RSAs for issuance to Company employees, officers, directors, non-employee agents and consultants. In general, these awards vest over one</w:t>
      </w:r>
      <w:r>
        <w:rPr>
          <w:rFonts w:ascii="Times New Roman" w:hAnsi="Times New Roman"/>
          <w:color w:val="000000"/>
          <w:sz w:val="20"/>
        </w:rPr>
        <w:t xml:space="preserve"> </w:t>
      </w:r>
      <w:r>
        <w:rPr>
          <w:rFonts w:ascii="Times New Roman" w:hAnsi="Times New Roman"/>
          <w:b w:val="false"/>
          <w:color w:val="000000"/>
          <w:sz w:val="20"/>
        </w:rPr>
        <w:t>to four years</w:t>
      </w:r>
      <w:r>
        <w:rPr>
          <w:rFonts w:ascii="Times New Roman" w:hAnsi="Times New Roman"/>
          <w:color w:val="000000"/>
          <w:sz w:val="20"/>
        </w:rPr>
        <w:t xml:space="preserve"> </w:t>
      </w:r>
      <w:r>
        <w:rPr>
          <w:rFonts w:ascii="Times New Roman" w:hAnsi="Times New Roman"/>
          <w:b w:val="false"/>
          <w:color w:val="000000"/>
          <w:sz w:val="20"/>
        </w:rPr>
        <w:t>and, in the case of options, are exercisable up to 10 years</w:t>
      </w:r>
      <w:r>
        <w:rPr>
          <w:rFonts w:ascii="Times New Roman" w:hAnsi="Times New Roman"/>
          <w:color w:val="000000"/>
          <w:sz w:val="20"/>
        </w:rPr>
        <w:t xml:space="preserve"> </w:t>
      </w:r>
      <w:r>
        <w:rPr>
          <w:rFonts w:ascii="Times New Roman" w:hAnsi="Times New Roman"/>
          <w:b w:val="false"/>
          <w:color w:val="000000"/>
          <w:sz w:val="20"/>
        </w:rPr>
        <w:t>from the date of grant. The maximum number of shares of Common Stock that may be issued pursuant to the 2021 Plan is (i) 5.0</w:t>
      </w:r>
      <w:r>
        <w:rPr>
          <w:rFonts w:ascii="Times New Roman" w:hAnsi="Times New Roman"/>
          <w:color w:val="000000"/>
          <w:sz w:val="20"/>
        </w:rPr>
        <w:t xml:space="preserve"> </w:t>
      </w:r>
      <w:r>
        <w:rPr>
          <w:rFonts w:ascii="Times New Roman" w:hAnsi="Times New Roman"/>
          <w:b w:val="false"/>
          <w:color w:val="000000"/>
          <w:sz w:val="20"/>
        </w:rPr>
        <w:t>million shares of Common Stock of the Company plus (ii) any shares of Common Stock subject to stock options and other awards that were assumed in the Business Combination and expire or otherwise terminate without having been exercised in full, are tendered to or withheld by the Company for payment of an exercise price or for tax withholding obligations, or are forfeited to or repurchased by the Company due to failure to vest,</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val="false"/>
          <w:color w:val="000000"/>
          <w:sz w:val="20"/>
        </w:rPr>
        <w:t>with the maximum number of shares to be added to the 2021 Plan pursuant to clause (ii) equal to 2.1</w:t>
      </w:r>
      <w:r>
        <w:rPr>
          <w:rFonts w:ascii="Times New Roman" w:hAnsi="Times New Roman"/>
          <w:color w:val="000000"/>
          <w:sz w:val="20"/>
        </w:rPr>
        <w:t xml:space="preserve"> </w:t>
      </w:r>
      <w:r>
        <w:rPr>
          <w:rFonts w:ascii="Times New Roman" w:hAnsi="Times New Roman"/>
          <w:b w:val="false"/>
          <w:color w:val="000000"/>
          <w:sz w:val="20"/>
        </w:rPr>
        <w:t>million shares of Common Stock. As of September 30, 2023, 2.5</w:t>
      </w:r>
      <w:r>
        <w:rPr>
          <w:rFonts w:ascii="Times New Roman" w:hAnsi="Times New Roman"/>
          <w:color w:val="000000"/>
          <w:sz w:val="20"/>
        </w:rPr>
        <w:t xml:space="preserve"> </w:t>
      </w:r>
      <w:r>
        <w:rPr>
          <w:rFonts w:ascii="Times New Roman" w:hAnsi="Times New Roman"/>
          <w:b w:val="false"/>
          <w:color w:val="000000"/>
          <w:sz w:val="20"/>
        </w:rPr>
        <w:t>million shares were available to grant under the 2021 Plan.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2015 Stock Plan</w:t>
      </w:r>
    </w:p>
    <w:p>
      <w:pPr>
        <w:pStyle w:val="TextBody"/>
        <w:bidi w:val="0"/>
        <w:jc w:val="both"/>
        <w:rPr>
          <w:rFonts w:ascii="Times New Roman" w:hAnsi="Times New Roman"/>
          <w:sz w:val="20"/>
        </w:rPr>
      </w:pPr>
      <w:r>
        <w:rPr>
          <w:rFonts w:ascii="Times New Roman" w:hAnsi="Times New Roman"/>
          <w:b w:val="false"/>
          <w:color w:val="000000"/>
          <w:sz w:val="20"/>
        </w:rPr>
        <w:t>The Old Sarcos 2015 Equity Incentive Plan (the “2015 Plan”) provided stock option awards, RSUs and RSAs for issuance to Company employees, officers, directors, non-employee agents and consultants. These awards generally vest over three</w:t>
      </w:r>
      <w:r>
        <w:rPr>
          <w:rFonts w:ascii="Times New Roman" w:hAnsi="Times New Roman"/>
          <w:color w:val="000000"/>
          <w:sz w:val="20"/>
        </w:rPr>
        <w:t xml:space="preserve"> </w:t>
      </w:r>
      <w:r>
        <w:rPr>
          <w:rFonts w:ascii="Times New Roman" w:hAnsi="Times New Roman"/>
          <w:b w:val="false"/>
          <w:color w:val="000000"/>
          <w:sz w:val="20"/>
        </w:rPr>
        <w:t>to five years</w:t>
      </w:r>
      <w:r>
        <w:rPr>
          <w:rFonts w:ascii="Times New Roman" w:hAnsi="Times New Roman"/>
          <w:color w:val="000000"/>
          <w:sz w:val="20"/>
        </w:rPr>
        <w:t xml:space="preserve"> </w:t>
      </w:r>
      <w:r>
        <w:rPr>
          <w:rFonts w:ascii="Times New Roman" w:hAnsi="Times New Roman"/>
          <w:b w:val="false"/>
          <w:color w:val="000000"/>
          <w:sz w:val="20"/>
        </w:rPr>
        <w:t>and are exercisable up to 10 years</w:t>
      </w:r>
      <w:r>
        <w:rPr>
          <w:rFonts w:ascii="Times New Roman" w:hAnsi="Times New Roman"/>
          <w:color w:val="000000"/>
          <w:sz w:val="20"/>
        </w:rPr>
        <w:t xml:space="preserve"> </w:t>
      </w:r>
      <w:r>
        <w:rPr>
          <w:rFonts w:ascii="Times New Roman" w:hAnsi="Times New Roman"/>
          <w:b w:val="false"/>
          <w:color w:val="000000"/>
          <w:sz w:val="20"/>
        </w:rPr>
        <w:t>from the date of grant. Unvested options are forfeited upon termination. Following the closing of the Business Combination, no further awards may be made under the 2015 Plan. Any forfeited awards will be added to the 2021 Plan subject to the maximum number of shares allowed by the 2021 Plan.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RE2 Stock Plans</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val="false"/>
          <w:color w:val="000000"/>
          <w:sz w:val="20"/>
        </w:rPr>
        <w:t>In connection with the acquisition of RE2, the Company assumed the outstanding stock plans and certain outstanding stock options of RE2. These stock options are governed by the plans and agreements under which they were originally issued, but are now exercisable for shares of Common Stock.</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Stock Option Activity</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val="false"/>
          <w:color w:val="000000"/>
          <w:sz w:val="20"/>
        </w:rPr>
        <w:t>The following summarizes the Company’s stock option activity for the nine months ended September 30, 2023:</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46"/>
        <w:gridCol w:w="146"/>
        <w:gridCol w:w="177"/>
        <w:gridCol w:w="1078"/>
        <w:gridCol w:w="166"/>
        <w:gridCol w:w="146"/>
        <w:gridCol w:w="460"/>
        <w:gridCol w:w="1201"/>
        <w:gridCol w:w="146"/>
        <w:gridCol w:w="146"/>
        <w:gridCol w:w="803"/>
        <w:gridCol w:w="1825"/>
        <w:gridCol w:w="146"/>
        <w:gridCol w:w="146"/>
        <w:gridCol w:w="505"/>
        <w:gridCol w:w="973"/>
        <w:gridCol w:w="395"/>
      </w:tblGrid>
      <w:tr>
        <w:trPr/>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7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2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2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78" w:type="dxa"/>
            <w:gridSpan w:val="2"/>
            <w:tcBorders/>
            <w:shd w:fill="FFFFFF" w:val="clear"/>
            <w:vAlign w:val="center"/>
          </w:tcPr>
          <w:p>
            <w:pPr>
              <w:pStyle w:val="TableContents"/>
              <w:bidi w:val="0"/>
              <w:spacing w:before="0" w:after="283"/>
              <w:jc w:val="center"/>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1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Weighted-Average Remaining Contractual 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Aggregate Intrinsic Value </w:t>
              <w:br/>
              <w:t>(in thousands)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Outstanding – December 31, 2022</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107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2,377,503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6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left"/>
              <w:rPr/>
            </w:pPr>
            <w:r>
              <w:rPr/>
              <w:t> </w:t>
            </w:r>
          </w:p>
        </w:tc>
        <w:tc>
          <w:tcPr>
            <w:tcW w:w="182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7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698</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Granted</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1,859,200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1" w:type="dxa"/>
            <w:gridSpan w:val="2"/>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62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8" w:type="dxa"/>
            <w:gridSpan w:val="2"/>
            <w:tcBorders/>
            <w:shd w:fill="FFFFFF" w:val="clear"/>
            <w:vAlign w:val="center"/>
          </w:tcPr>
          <w:p>
            <w:pPr>
              <w:pStyle w:val="TableContents"/>
              <w:bidi w:val="0"/>
              <w:spacing w:before="0" w:after="283"/>
              <w:jc w:val="right"/>
              <w:rPr>
                <w:rFonts w:cs="Times New Roman"/>
                <w:bCs w:val="false"/>
                <w:color w:val="000000"/>
                <w:szCs w:val="18"/>
              </w:rPr>
            </w:pPr>
            <w:r>
              <w:rPr>
                <w:rFonts w:cs="Times New Roman"/>
                <w:bCs w:val="false"/>
                <w:color w:val="000000"/>
                <w:szCs w:val="18"/>
              </w:rPr>
              <w:t>﻿</w:t>
            </w:r>
          </w:p>
        </w:tc>
        <w:tc>
          <w:tcPr>
            <w:tcW w:w="395" w:type="dxa"/>
            <w:tcBorders/>
            <w:shd w:fill="FFFFFF" w:val="clear"/>
            <w:vAlign w:val="center"/>
          </w:tcPr>
          <w:p>
            <w:pPr>
              <w:pStyle w:val="TableContents"/>
              <w:bidi w:val="0"/>
              <w:spacing w:before="0" w:after="283"/>
              <w:ind w:left="0" w:right="0" w:firstLine="200"/>
              <w:jc w:val="righ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Cancelled</w:t>
            </w:r>
          </w:p>
        </w:tc>
        <w:tc>
          <w:tcPr>
            <w:tcW w:w="146" w:type="dxa"/>
            <w:tcBorders/>
            <w:shd w:fill="CFF0FC" w:val="cle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(1,071,739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66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6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cs="Times New Roman"/>
                <w:bCs w:val="false"/>
                <w:color w:val="000000"/>
                <w:szCs w:val="18"/>
              </w:rPr>
            </w:pPr>
            <w:r>
              <w:rPr>
                <w:rFonts w:cs="Times New Roman"/>
                <w:bCs w:val="false"/>
                <w:color w:val="000000"/>
                <w:szCs w:val="18"/>
              </w:rPr>
              <w:t>﻿</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74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Outstanding – September 30, 2023</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3,164,964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Exercisable – December 31, 2022</w:t>
            </w:r>
          </w:p>
        </w:tc>
        <w:tc>
          <w:tcPr>
            <w:tcW w:w="146" w:type="dxa"/>
            <w:tcBorders/>
            <w:shd w:fill="CFF0FC" w:val="cle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1,414,864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698</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Exercisable – September 30, 2023</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1,358,810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112</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Restricted Stock Units Activity</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following summarizes the Company’s RSU activity for the nine months ended September 30, 2023:</w:t>
      </w:r>
    </w:p>
    <w:p>
      <w:pPr>
        <w:pStyle w:val="TextBody"/>
        <w:bidi w:val="0"/>
        <w:jc w:val="left"/>
        <w:rPr/>
      </w:pPr>
      <w:r>
        <w:rPr/>
        <w:t> </w:t>
      </w:r>
    </w:p>
    <w:tbl>
      <w:tblPr>
        <w:tblW w:w="8609" w:type="dxa"/>
        <w:jc w:val="left"/>
        <w:tblInd w:w="0" w:type="dxa"/>
        <w:tblLayout w:type="fixed"/>
        <w:tblCellMar>
          <w:top w:w="28" w:type="dxa"/>
          <w:left w:w="28" w:type="dxa"/>
          <w:bottom w:w="28" w:type="dxa"/>
          <w:right w:w="28" w:type="dxa"/>
        </w:tblCellMar>
      </w:tblPr>
      <w:tblGrid>
        <w:gridCol w:w="2596"/>
        <w:gridCol w:w="346"/>
        <w:gridCol w:w="227"/>
        <w:gridCol w:w="1288"/>
        <w:gridCol w:w="237"/>
        <w:gridCol w:w="209"/>
        <w:gridCol w:w="918"/>
        <w:gridCol w:w="2397"/>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center"/>
              <w:rPr/>
            </w:pPr>
            <w:r>
              <w:rPr/>
              <w:t> </w:t>
            </w:r>
          </w:p>
        </w:tc>
        <w:tc>
          <w:tcPr>
            <w:tcW w:w="5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Restricted Stock Units Outstanding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3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Grant-Date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Outstanding – December 31, 2022</w:t>
            </w:r>
          </w:p>
        </w:tc>
        <w:tc>
          <w:tcPr>
            <w:tcW w:w="3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602,561</w:t>
            </w:r>
          </w:p>
        </w:tc>
        <w:tc>
          <w:tcPr>
            <w:tcW w:w="237"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right"/>
              <w:rPr/>
            </w:pPr>
            <w:r>
              <w:rPr/>
              <w:t> </w:t>
            </w:r>
          </w:p>
        </w:tc>
        <w:tc>
          <w:tcPr>
            <w:tcW w:w="91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39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22.01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9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Granted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1,303,925</w:t>
            </w:r>
          </w:p>
        </w:tc>
        <w:tc>
          <w:tcPr>
            <w:tcW w:w="237"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right"/>
              <w:rPr/>
            </w:pPr>
            <w:r>
              <w:rPr/>
              <w:t> </w:t>
            </w:r>
          </w:p>
        </w:tc>
        <w:tc>
          <w:tcPr>
            <w:tcW w:w="918" w:type="dxa"/>
            <w:tcBorders/>
            <w:shd w:fill="FFFFFF" w:val="clear"/>
            <w:vAlign w:val="center"/>
          </w:tcPr>
          <w:p>
            <w:pPr>
              <w:pStyle w:val="TableContents"/>
              <w:bidi w:val="0"/>
              <w:spacing w:before="0" w:after="283"/>
              <w:jc w:val="left"/>
              <w:rPr/>
            </w:pPr>
            <w:r>
              <w:rPr/>
              <w:t> </w:t>
            </w:r>
          </w:p>
        </w:tc>
        <w:tc>
          <w:tcPr>
            <w:tcW w:w="239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9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Released</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(178,282</w:t>
            </w:r>
          </w:p>
        </w:tc>
        <w:tc>
          <w:tcPr>
            <w:tcW w:w="23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09" w:type="dxa"/>
            <w:tcBorders/>
            <w:shd w:fill="CFF0FC" w:val="clear"/>
            <w:vAlign w:val="center"/>
          </w:tcPr>
          <w:p>
            <w:pPr>
              <w:pStyle w:val="TableContents"/>
              <w:bidi w:val="0"/>
              <w:spacing w:before="0" w:after="283"/>
              <w:jc w:val="right"/>
              <w:rPr/>
            </w:pPr>
            <w:r>
              <w:rPr/>
              <w:t> </w:t>
            </w:r>
          </w:p>
        </w:tc>
        <w:tc>
          <w:tcPr>
            <w:tcW w:w="918" w:type="dxa"/>
            <w:tcBorders/>
            <w:shd w:fill="CFF0FC" w:val="clear"/>
            <w:vAlign w:val="center"/>
          </w:tcPr>
          <w:p>
            <w:pPr>
              <w:pStyle w:val="TableContents"/>
              <w:bidi w:val="0"/>
              <w:spacing w:before="0" w:after="283"/>
              <w:jc w:val="left"/>
              <w:rPr/>
            </w:pPr>
            <w:r>
              <w:rPr/>
              <w:t> </w:t>
            </w:r>
          </w:p>
        </w:tc>
        <w:tc>
          <w:tcPr>
            <w:tcW w:w="239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20.23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9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Cancelled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(531,599</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09" w:type="dxa"/>
            <w:tcBorders/>
            <w:shd w:fill="FFFFFF" w:val="clear"/>
            <w:vAlign w:val="center"/>
          </w:tcPr>
          <w:p>
            <w:pPr>
              <w:pStyle w:val="TableContents"/>
              <w:bidi w:val="0"/>
              <w:spacing w:before="0" w:after="283"/>
              <w:jc w:val="right"/>
              <w:rPr/>
            </w:pPr>
            <w:r>
              <w:rPr/>
              <w:t> </w:t>
            </w:r>
          </w:p>
        </w:tc>
        <w:tc>
          <w:tcPr>
            <w:tcW w:w="3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Outstanding – September 30, 2023</w:t>
            </w:r>
          </w:p>
        </w:tc>
        <w:tc>
          <w:tcPr>
            <w:tcW w:w="346" w:type="dxa"/>
            <w:tcBorders/>
            <w:shd w:fill="CFF0FC" w:val="cle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1,196,605</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right"/>
              <w:rPr/>
            </w:pPr>
            <w:r>
              <w:rPr/>
              <w:t> </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The Company recognized stock-based compensation expense in the condensed consolidated statement of operations and comprehensive loss as follows: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06"/>
        <w:gridCol w:w="146"/>
        <w:gridCol w:w="367"/>
        <w:gridCol w:w="960"/>
        <w:gridCol w:w="273"/>
        <w:gridCol w:w="273"/>
        <w:gridCol w:w="367"/>
        <w:gridCol w:w="960"/>
        <w:gridCol w:w="146"/>
        <w:gridCol w:w="146"/>
        <w:gridCol w:w="328"/>
        <w:gridCol w:w="1009"/>
        <w:gridCol w:w="244"/>
        <w:gridCol w:w="244"/>
        <w:gridCol w:w="328"/>
        <w:gridCol w:w="1009"/>
        <w:gridCol w:w="399"/>
      </w:tblGrid>
      <w:tr>
        <w:trPr/>
        <w:tc>
          <w:tcPr>
            <w:tcW w:w="3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0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2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nine months ended September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shd w:fill="FFFFFF" w:val="clear"/>
            <w:vAlign w:val="center"/>
          </w:tcPr>
          <w:p>
            <w:pPr>
              <w:pStyle w:val="TableContents"/>
              <w:bidi w:val="0"/>
              <w:spacing w:before="0" w:after="283"/>
              <w:jc w:val="center"/>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Cost of revenue</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6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w:t>
            </w:r>
          </w:p>
        </w:tc>
        <w:tc>
          <w:tcPr>
            <w:tcW w:w="273"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6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70</w:t>
            </w:r>
          </w:p>
        </w:tc>
        <w:tc>
          <w:tcPr>
            <w:tcW w:w="244"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67</w:t>
            </w:r>
          </w:p>
        </w:tc>
        <w:tc>
          <w:tcPr>
            <w:tcW w:w="399" w:type="dxa"/>
            <w:tcBorders/>
            <w:shd w:fill="CFF0FC" w:val="clear"/>
            <w:vAlign w:val="center"/>
          </w:tcPr>
          <w:p>
            <w:pPr>
              <w:pStyle w:val="TableContents"/>
              <w:bidi w:val="0"/>
              <w:spacing w:before="0" w:after="283"/>
              <w:jc w:val="left"/>
              <w:rPr/>
            </w:pPr>
            <w:r>
              <w:rPr/>
              <w:t> </w:t>
            </w:r>
          </w:p>
        </w:tc>
      </w:tr>
      <w:tr>
        <w:trPr/>
        <w:tc>
          <w:tcPr>
            <w:tcW w:w="30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Research and development</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323</w:t>
            </w:r>
          </w:p>
        </w:tc>
        <w:tc>
          <w:tcPr>
            <w:tcW w:w="273"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910</w:t>
            </w:r>
          </w:p>
        </w:tc>
        <w:tc>
          <w:tcPr>
            <w:tcW w:w="244"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503</w:t>
            </w:r>
          </w:p>
        </w:tc>
        <w:tc>
          <w:tcPr>
            <w:tcW w:w="399" w:type="dxa"/>
            <w:tcBorders/>
            <w:shd w:fill="FFFFFF" w:val="clear"/>
            <w:vAlign w:val="center"/>
          </w:tcPr>
          <w:p>
            <w:pPr>
              <w:pStyle w:val="TableContents"/>
              <w:bidi w:val="0"/>
              <w:spacing w:before="0" w:after="283"/>
              <w:jc w:val="left"/>
              <w:rPr/>
            </w:pPr>
            <w:r>
              <w:rPr/>
              <w:t> </w:t>
            </w:r>
          </w:p>
        </w:tc>
      </w:tr>
      <w:tr>
        <w:trPr/>
        <w:tc>
          <w:tcPr>
            <w:tcW w:w="30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Sales and marketing</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149</w:t>
            </w:r>
          </w:p>
        </w:tc>
        <w:tc>
          <w:tcPr>
            <w:tcW w:w="273"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662</w:t>
            </w:r>
          </w:p>
        </w:tc>
        <w:tc>
          <w:tcPr>
            <w:tcW w:w="244"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610</w:t>
            </w:r>
          </w:p>
        </w:tc>
        <w:tc>
          <w:tcPr>
            <w:tcW w:w="399" w:type="dxa"/>
            <w:tcBorders/>
            <w:shd w:fill="CFF0FC" w:val="clear"/>
            <w:vAlign w:val="center"/>
          </w:tcPr>
          <w:p>
            <w:pPr>
              <w:pStyle w:val="TableContents"/>
              <w:bidi w:val="0"/>
              <w:spacing w:before="0" w:after="283"/>
              <w:jc w:val="left"/>
              <w:rPr/>
            </w:pPr>
            <w:r>
              <w:rPr/>
              <w:t> </w:t>
            </w:r>
          </w:p>
        </w:tc>
      </w:tr>
      <w:tr>
        <w:trPr/>
        <w:tc>
          <w:tcPr>
            <w:tcW w:w="30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General and administrative</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1,175</w:t>
            </w:r>
          </w:p>
        </w:tc>
        <w:tc>
          <w:tcPr>
            <w:tcW w:w="273"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4,771</w:t>
            </w:r>
          </w:p>
        </w:tc>
        <w:tc>
          <w:tcPr>
            <w:tcW w:w="244"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28,406</w:t>
            </w:r>
          </w:p>
        </w:tc>
        <w:tc>
          <w:tcPr>
            <w:tcW w:w="399" w:type="dxa"/>
            <w:tcBorders/>
            <w:shd w:fill="FFFFFF" w:val="clear"/>
            <w:vAlign w:val="center"/>
          </w:tcPr>
          <w:p>
            <w:pPr>
              <w:pStyle w:val="TableContents"/>
              <w:bidi w:val="0"/>
              <w:spacing w:before="0" w:after="283"/>
              <w:jc w:val="left"/>
              <w:rPr/>
            </w:pPr>
            <w:r>
              <w:rPr/>
              <w:t> </w:t>
            </w:r>
          </w:p>
        </w:tc>
      </w:tr>
      <w:tr>
        <w:trPr/>
        <w:tc>
          <w:tcPr>
            <w:tcW w:w="30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Asset write-down and restructuring</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4,395</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4,395</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Total stock-based compensation expense</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6,074</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8,466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10,808</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29,586</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Net Loss Per Share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following table sets forth the computation of the basic and diluted net loss per share attributable to common stockholders for the three and nine months ended September 30, 2023 and 2022:</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09"/>
        <w:gridCol w:w="146"/>
        <w:gridCol w:w="238"/>
        <w:gridCol w:w="1117"/>
        <w:gridCol w:w="201"/>
        <w:gridCol w:w="177"/>
        <w:gridCol w:w="238"/>
        <w:gridCol w:w="1117"/>
        <w:gridCol w:w="166"/>
        <w:gridCol w:w="146"/>
        <w:gridCol w:w="235"/>
        <w:gridCol w:w="1103"/>
        <w:gridCol w:w="199"/>
        <w:gridCol w:w="175"/>
        <w:gridCol w:w="235"/>
        <w:gridCol w:w="1103"/>
        <w:gridCol w:w="400"/>
      </w:tblGrid>
      <w:tr>
        <w:trPr/>
        <w:tc>
          <w:tcPr>
            <w:tcW w:w="32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3209" w:type="dxa"/>
            <w:tcBorders/>
            <w:shd w:fill="FFFFFF" w:val="clear"/>
            <w:vAlign w:val="center"/>
          </w:tcPr>
          <w:p>
            <w:pPr>
              <w:pStyle w:val="TableContents"/>
              <w:bidi w:val="0"/>
              <w:spacing w:before="0" w:after="283"/>
              <w:jc w:val="left"/>
              <w:rPr>
                <w:rFonts w:cs="Times New Roman"/>
                <w:bCs w:val="false"/>
                <w:color w:val="000000"/>
                <w:szCs w:val="18"/>
              </w:rPr>
            </w:pPr>
            <w:r>
              <w:rPr>
                <w:rFonts w:cs="Times New Roman"/>
                <w:bCs w:val="false"/>
                <w:color w:val="000000"/>
                <w:szCs w:val="18"/>
              </w:rPr>
              <w:t>﻿</w:t>
            </w:r>
          </w:p>
        </w:tc>
        <w:tc>
          <w:tcPr>
            <w:tcW w:w="146" w:type="dxa"/>
            <w:tcBorders/>
            <w:shd w:fill="FFFFFF" w:val="clear"/>
            <w:vAlign w:val="center"/>
          </w:tcPr>
          <w:p>
            <w:pPr>
              <w:pStyle w:val="TableContents"/>
              <w:bidi w:val="0"/>
              <w:spacing w:before="0" w:after="283"/>
              <w:jc w:val="left"/>
              <w:rPr/>
            </w:pPr>
            <w:r>
              <w:rPr/>
              <w:t> </w:t>
            </w:r>
          </w:p>
        </w:tc>
        <w:tc>
          <w:tcPr>
            <w:tcW w:w="30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nine months ended September 30,</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9"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 except share and per share data)</w:t>
            </w:r>
          </w:p>
        </w:tc>
        <w:tc>
          <w:tcPr>
            <w:tcW w:w="146" w:type="dxa"/>
            <w:tcBorders/>
            <w:shd w:fill="FFFFFF" w:val="clear"/>
            <w:vAlign w:val="center"/>
          </w:tcPr>
          <w:p>
            <w:pPr>
              <w:pStyle w:val="TableContents"/>
              <w:bidi w:val="0"/>
              <w:spacing w:before="0" w:after="283"/>
              <w:jc w:val="left"/>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left"/>
              <w:rPr/>
            </w:pPr>
            <w:r>
              <w:rPr/>
              <w:t> </w:t>
            </w:r>
          </w:p>
        </w:tc>
        <w:tc>
          <w:tcPr>
            <w:tcW w:w="13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Numerator:</w:t>
            </w:r>
          </w:p>
        </w:tc>
        <w:tc>
          <w:tcPr>
            <w:tcW w:w="146" w:type="dxa"/>
            <w:tcBorders/>
            <w:shd w:fill="CFF0FC" w:val="clear"/>
            <w:vAlign w:val="center"/>
          </w:tcPr>
          <w:p>
            <w:pPr>
              <w:pStyle w:val="TableContents"/>
              <w:bidi w:val="0"/>
              <w:spacing w:before="0" w:after="283"/>
              <w:jc w:val="left"/>
              <w:rPr/>
            </w:pPr>
            <w:r>
              <w:rPr/>
              <w:t> </w:t>
            </w:r>
          </w:p>
        </w:tc>
        <w:tc>
          <w:tcPr>
            <w:tcW w:w="1355" w:type="dxa"/>
            <w:gridSpan w:val="2"/>
            <w:tcBorders/>
            <w:shd w:fill="CFF0FC" w:val="clear"/>
            <w:vAlign w:val="center"/>
          </w:tcPr>
          <w:p>
            <w:pPr>
              <w:pStyle w:val="TableContents"/>
              <w:bidi w:val="0"/>
              <w:spacing w:before="0" w:after="283"/>
              <w:jc w:val="right"/>
              <w:rPr>
                <w:rFonts w:cs="Times New Roman"/>
                <w:bCs w:val="false"/>
                <w:color w:val="000000"/>
                <w:szCs w:val="18"/>
              </w:rPr>
            </w:pPr>
            <w:r>
              <w:rPr>
                <w:rFonts w:cs="Times New Roman"/>
                <w:bCs w:val="false"/>
                <w:color w:val="000000"/>
                <w:szCs w:val="18"/>
              </w:rPr>
              <w:t>﻿</w:t>
            </w:r>
          </w:p>
        </w:tc>
        <w:tc>
          <w:tcPr>
            <w:tcW w:w="201"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1355" w:type="dxa"/>
            <w:gridSpan w:val="2"/>
            <w:tcBorders/>
            <w:shd w:fill="CFF0FC" w:val="clear"/>
            <w:vAlign w:val="center"/>
          </w:tcPr>
          <w:p>
            <w:pPr>
              <w:pStyle w:val="TableContents"/>
              <w:bidi w:val="0"/>
              <w:spacing w:before="0" w:after="283"/>
              <w:jc w:val="right"/>
              <w:rPr>
                <w:rFonts w:cs="Times New Roman"/>
                <w:bCs w:val="false"/>
                <w:color w:val="000000"/>
                <w:szCs w:val="18"/>
              </w:rPr>
            </w:pPr>
            <w:r>
              <w:rPr>
                <w:rFonts w:cs="Times New Roman"/>
                <w:bCs w:val="false"/>
                <w:color w:val="000000"/>
                <w:szCs w:val="18"/>
              </w:rPr>
              <w:t>﻿</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38" w:type="dxa"/>
            <w:gridSpan w:val="2"/>
            <w:tcBorders/>
            <w:shd w:fill="CFF0FC" w:val="clear"/>
            <w:vAlign w:val="center"/>
          </w:tcPr>
          <w:p>
            <w:pPr>
              <w:pStyle w:val="TableContents"/>
              <w:bidi w:val="0"/>
              <w:spacing w:before="0" w:after="283"/>
              <w:jc w:val="right"/>
              <w:rPr>
                <w:rFonts w:cs="Times New Roman"/>
                <w:bCs w:val="false"/>
                <w:color w:val="000000"/>
                <w:szCs w:val="18"/>
              </w:rPr>
            </w:pPr>
            <w:r>
              <w:rPr>
                <w:rFonts w:cs="Times New Roman"/>
                <w:bCs w:val="false"/>
                <w:color w:val="000000"/>
                <w:szCs w:val="18"/>
              </w:rPr>
              <w:t>﻿</w:t>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left"/>
              <w:rPr/>
            </w:pPr>
            <w:r>
              <w:rPr/>
              <w:t> </w:t>
            </w:r>
          </w:p>
        </w:tc>
        <w:tc>
          <w:tcPr>
            <w:tcW w:w="1338" w:type="dxa"/>
            <w:gridSpan w:val="2"/>
            <w:tcBorders/>
            <w:shd w:fill="CFF0FC" w:val="clear"/>
            <w:vAlign w:val="center"/>
          </w:tcPr>
          <w:p>
            <w:pPr>
              <w:pStyle w:val="TableContents"/>
              <w:bidi w:val="0"/>
              <w:spacing w:before="0" w:after="283"/>
              <w:jc w:val="right"/>
              <w:rPr>
                <w:rFonts w:cs="Times New Roman"/>
                <w:bCs w:val="false"/>
                <w:color w:val="000000"/>
                <w:szCs w:val="18"/>
              </w:rPr>
            </w:pPr>
            <w:r>
              <w:rPr>
                <w:rFonts w:cs="Times New Roman"/>
                <w:bCs w:val="false"/>
                <w:color w:val="000000"/>
                <w:szCs w:val="18"/>
              </w:rPr>
              <w:t>﻿</w:t>
            </w:r>
          </w:p>
        </w:tc>
        <w:tc>
          <w:tcPr>
            <w:tcW w:w="400" w:type="dxa"/>
            <w:tcBorders/>
            <w:shd w:fill="CFF0FC" w:val="clear"/>
            <w:vAlign w:val="center"/>
          </w:tcPr>
          <w:p>
            <w:pPr>
              <w:pStyle w:val="TableContents"/>
              <w:bidi w:val="0"/>
              <w:spacing w:before="0" w:after="283"/>
              <w:ind w:left="0" w:right="0" w:firstLine="200"/>
              <w:jc w:val="right"/>
              <w:rPr/>
            </w:pPr>
            <w:r>
              <w:rPr/>
              <w:t> </w:t>
            </w:r>
          </w:p>
        </w:tc>
      </w:tr>
      <w:tr>
        <w:trPr/>
        <w:tc>
          <w:tcPr>
            <w:tcW w:w="320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(28,981</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7"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(22,499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(79,117</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5"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(64,819</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20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Denominator:</w:t>
            </w:r>
          </w:p>
        </w:tc>
        <w:tc>
          <w:tcPr>
            <w:tcW w:w="146" w:type="dxa"/>
            <w:tcBorders/>
            <w:shd w:fill="CFF0FC" w:val="clear"/>
            <w:vAlign w:val="center"/>
          </w:tcPr>
          <w:p>
            <w:pPr>
              <w:pStyle w:val="TableContents"/>
              <w:bidi w:val="0"/>
              <w:spacing w:before="0" w:after="283"/>
              <w:jc w:val="left"/>
              <w:rPr/>
            </w:pPr>
            <w:r>
              <w:rPr/>
              <w:t> </w:t>
            </w:r>
          </w:p>
        </w:tc>
        <w:tc>
          <w:tcPr>
            <w:tcW w:w="1355" w:type="dxa"/>
            <w:gridSpan w:val="2"/>
            <w:tcBorders/>
            <w:shd w:fill="CFF0FC" w:val="clear"/>
            <w:vAlign w:val="center"/>
          </w:tcPr>
          <w:p>
            <w:pPr>
              <w:pStyle w:val="TableContents"/>
              <w:bidi w:val="0"/>
              <w:spacing w:before="0" w:after="283"/>
              <w:jc w:val="right"/>
              <w:rPr>
                <w:rFonts w:cs="Times New Roman"/>
                <w:bCs w:val="false"/>
                <w:color w:val="000000"/>
                <w:szCs w:val="18"/>
              </w:rPr>
            </w:pPr>
            <w:r>
              <w:rPr>
                <w:rFonts w:cs="Times New Roman"/>
                <w:bCs w:val="false"/>
                <w:color w:val="000000"/>
                <w:szCs w:val="18"/>
              </w:rPr>
              <w:t>﻿</w:t>
            </w:r>
          </w:p>
        </w:tc>
        <w:tc>
          <w:tcPr>
            <w:tcW w:w="201"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1355" w:type="dxa"/>
            <w:gridSpan w:val="2"/>
            <w:tcBorders/>
            <w:shd w:fill="CFF0FC" w:val="clear"/>
            <w:vAlign w:val="center"/>
          </w:tcPr>
          <w:p>
            <w:pPr>
              <w:pStyle w:val="TableContents"/>
              <w:bidi w:val="0"/>
              <w:spacing w:before="0" w:after="283"/>
              <w:jc w:val="right"/>
              <w:rPr>
                <w:rFonts w:cs="Times New Roman"/>
                <w:bCs w:val="false"/>
                <w:color w:val="000000"/>
                <w:szCs w:val="18"/>
              </w:rPr>
            </w:pPr>
            <w:r>
              <w:rPr>
                <w:rFonts w:cs="Times New Roman"/>
                <w:bCs w:val="false"/>
                <w:color w:val="000000"/>
                <w:szCs w:val="18"/>
              </w:rPr>
              <w:t>﻿</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38" w:type="dxa"/>
            <w:gridSpan w:val="2"/>
            <w:tcBorders/>
            <w:shd w:fill="CFF0FC" w:val="clear"/>
            <w:vAlign w:val="center"/>
          </w:tcPr>
          <w:p>
            <w:pPr>
              <w:pStyle w:val="TableContents"/>
              <w:bidi w:val="0"/>
              <w:spacing w:before="0" w:after="283"/>
              <w:jc w:val="right"/>
              <w:rPr>
                <w:rFonts w:cs="Times New Roman"/>
                <w:bCs w:val="false"/>
                <w:color w:val="000000"/>
                <w:szCs w:val="18"/>
              </w:rPr>
            </w:pPr>
            <w:r>
              <w:rPr>
                <w:rFonts w:cs="Times New Roman"/>
                <w:bCs w:val="false"/>
                <w:color w:val="000000"/>
                <w:szCs w:val="18"/>
              </w:rPr>
              <w:t>﻿</w:t>
            </w:r>
          </w:p>
        </w:tc>
        <w:tc>
          <w:tcPr>
            <w:tcW w:w="199" w:type="dxa"/>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left"/>
              <w:rPr/>
            </w:pPr>
            <w:r>
              <w:rPr/>
              <w:t> </w:t>
            </w:r>
          </w:p>
        </w:tc>
        <w:tc>
          <w:tcPr>
            <w:tcW w:w="1338" w:type="dxa"/>
            <w:gridSpan w:val="2"/>
            <w:tcBorders/>
            <w:shd w:fill="CFF0FC" w:val="clear"/>
            <w:vAlign w:val="center"/>
          </w:tcPr>
          <w:p>
            <w:pPr>
              <w:pStyle w:val="TableContents"/>
              <w:bidi w:val="0"/>
              <w:spacing w:before="0" w:after="283"/>
              <w:jc w:val="right"/>
              <w:rPr>
                <w:rFonts w:cs="Times New Roman"/>
                <w:bCs w:val="false"/>
                <w:color w:val="000000"/>
                <w:szCs w:val="18"/>
              </w:rPr>
            </w:pPr>
            <w:r>
              <w:rPr>
                <w:rFonts w:cs="Times New Roman"/>
                <w:bCs w:val="false"/>
                <w:color w:val="000000"/>
                <w:szCs w:val="18"/>
              </w:rPr>
              <w:t>﻿</w:t>
            </w:r>
          </w:p>
        </w:tc>
        <w:tc>
          <w:tcPr>
            <w:tcW w:w="400" w:type="dxa"/>
            <w:tcBorders/>
            <w:shd w:fill="CFF0FC" w:val="clear"/>
            <w:vAlign w:val="center"/>
          </w:tcPr>
          <w:p>
            <w:pPr>
              <w:pStyle w:val="TableContents"/>
              <w:bidi w:val="0"/>
              <w:spacing w:before="0" w:after="283"/>
              <w:ind w:left="0" w:right="0" w:firstLine="200"/>
              <w:jc w:val="right"/>
              <w:rPr/>
            </w:pPr>
            <w:r>
              <w:rPr/>
              <w:t> </w:t>
            </w:r>
          </w:p>
        </w:tc>
      </w:tr>
      <w:tr>
        <w:trPr/>
        <w:tc>
          <w:tcPr>
            <w:tcW w:w="320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Weighted average shares outstanding, basic and diluted</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25,706,023</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25,156,756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25,563,895</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24,180,445</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Basic and diluted net loss per share</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(1.13</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7"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(3.09</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5"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1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(2.68</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20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Anti-dilutive securities, excluded</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12,473,978</w:t>
            </w:r>
          </w:p>
        </w:tc>
        <w:tc>
          <w:tcPr>
            <w:tcW w:w="201"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11,302,702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12,473,978</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11,302,702</w:t>
            </w:r>
          </w:p>
        </w:tc>
        <w:tc>
          <w:tcPr>
            <w:tcW w:w="400"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As the Company incurred a net loss for the three and nine months ended September 30, 2023 and 2022, none of the outstanding dilutive share-based awards were included in the diluted share calculation as they would have been anti-dilutive.</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Income Taxes</w:t>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To determine the Company’s quarterly provision for income taxes, the Company used an estimated annual effective tax rate that is based on expected annual income and statutory tax rates in the various jurisdictions in which the Company operates. Certain significant unusual or infrequently occurring items that are separately reported are separately recognized in the quarter during which they occur and can be a source of variability in the effective tax rate from quarter to quarter.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The Company had income tax expense of $0</w:t>
      </w:r>
      <w:r>
        <w:rPr>
          <w:rFonts w:ascii="Times New Roman" w:hAnsi="Times New Roman"/>
          <w:color w:val="000000"/>
          <w:sz w:val="20"/>
        </w:rPr>
        <w:t xml:space="preserve"> </w:t>
      </w:r>
      <w:r>
        <w:rPr>
          <w:rFonts w:ascii="Times New Roman" w:hAnsi="Times New Roman"/>
          <w:b w:val="false"/>
          <w:color w:val="000000"/>
          <w:sz w:val="20"/>
        </w:rPr>
        <w:t>and $3,000</w:t>
      </w:r>
      <w:r>
        <w:rPr>
          <w:rFonts w:ascii="Times New Roman" w:hAnsi="Times New Roman"/>
          <w:color w:val="000000"/>
          <w:sz w:val="20"/>
        </w:rPr>
        <w:t xml:space="preserve"> </w:t>
      </w:r>
      <w:r>
        <w:rPr>
          <w:rFonts w:ascii="Times New Roman" w:hAnsi="Times New Roman"/>
          <w:b w:val="false"/>
          <w:color w:val="000000"/>
          <w:sz w:val="20"/>
        </w:rPr>
        <w:t>for the three and nine months ended September 30, 2023, respectively, as compared to income tax benefit of $2.5</w:t>
      </w:r>
      <w:r>
        <w:rPr>
          <w:rFonts w:ascii="Times New Roman" w:hAnsi="Times New Roman"/>
          <w:color w:val="000000"/>
          <w:sz w:val="20"/>
        </w:rPr>
        <w:t xml:space="preserve"> </w:t>
      </w:r>
      <w:r>
        <w:rPr>
          <w:rFonts w:ascii="Times New Roman" w:hAnsi="Times New Roman"/>
          <w:b w:val="false"/>
          <w:color w:val="000000"/>
          <w:sz w:val="20"/>
        </w:rPr>
        <w:t>million and $4.1</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2022, respectively. The provision for income taxes for the three months ended September 30, 2023 and 2022 is based on the Company’s estimated annualized effective tax rate for the fiscal years ending December 31, 2023 and 2022, respectively. For the three and nine months ended September 30, 2023, the Company’s recognized effective tax rate differs from the U.S. federal statutory rate as the Company recorded net losses during the period with a corresponding full valuation allowance on the net deferred tax assets created from the losses.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Commitments and Contingencies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Company has been and may in the future be involved in various claims, lawsuits, investigations and other proceedings in the normal course of business. The Company accrues a liability when management believes information available prior to the issuance of its financial statements indicates it is probable a loss has been incurred as of the date of the financial statements and the amount of loss can be reasonably estimated. The Company adjusts its accruals to reflect the impact of negotiation, settlements, rulings, advice of legal counsel and other information and events pertaining to a particular case. Legal costs are expensed as incurred. The Company has not recorded any material loss contingency related to legal proceedings in the balance sheets as of September 30, 2023 and December 31, 2022, respectively.</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Indemnifications</w:t>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 the ordinary course of business, the Company provides or may provide indemnifications of varying scope and terms to investors, directors, officers, employees, customers or vendors with respect to certain matters, including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As of September 30, 2023 and December 31, 2022, the Company has not accrued a liability for these indemnification obligations as the likelihood of incurring a material payment obligation in connection with these indemnification obligations is either not probable or not reasonably estimable due to the unique facts and circumstances involved.</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Segment Information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The Company’s Chief Executive Officer (“CEO”) is the Chief Operating Decision Maker (“CODM”). The CODM allocates resources and makes operating decisions based on financial information presented on a consolidated basis. The CODM does not evaluate profitability below the level of the consolidated company. Accordingly, the Company has determined that it has a single</w:t>
      </w:r>
      <w:r>
        <w:rPr>
          <w:rFonts w:ascii="Times New Roman" w:hAnsi="Times New Roman"/>
          <w:color w:val="000000"/>
          <w:sz w:val="20"/>
        </w:rPr>
        <w:t xml:space="preserve"> </w:t>
      </w:r>
      <w:r>
        <w:rPr>
          <w:rFonts w:ascii="Times New Roman" w:hAnsi="Times New Roman"/>
          <w:b w:val="false"/>
          <w:color w:val="000000"/>
          <w:sz w:val="20"/>
        </w:rPr>
        <w:t>reportable segment and operating segment structure.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20"/>
        </w:rPr>
        <w:t>The Company’s revenue is derived primarily from U.S. customers. During the three and nine months ended September 30, 2023, the Company had $1.1</w:t>
      </w:r>
      <w:r>
        <w:rPr>
          <w:rFonts w:ascii="Times New Roman" w:hAnsi="Times New Roman"/>
          <w:color w:val="000000"/>
          <w:sz w:val="20"/>
        </w:rPr>
        <w:t xml:space="preserve"> </w:t>
      </w:r>
      <w:r>
        <w:rPr>
          <w:rFonts w:ascii="Times New Roman" w:hAnsi="Times New Roman"/>
          <w:b w:val="false"/>
          <w:color w:val="000000"/>
          <w:sz w:val="20"/>
        </w:rPr>
        <w:t>million and $2.0</w:t>
      </w:r>
      <w:r>
        <w:rPr>
          <w:rFonts w:ascii="Times New Roman" w:hAnsi="Times New Roman"/>
          <w:color w:val="000000"/>
          <w:sz w:val="20"/>
        </w:rPr>
        <w:t xml:space="preserve"> </w:t>
      </w:r>
      <w:r>
        <w:rPr>
          <w:rFonts w:ascii="Times New Roman" w:hAnsi="Times New Roman"/>
          <w:b w:val="false"/>
          <w:color w:val="000000"/>
          <w:sz w:val="20"/>
        </w:rPr>
        <w:t>million, respectively, of revenue earned from customers located outside the United States. During the three and nine months ended September 30, 2022, the Company had $1.3</w:t>
      </w:r>
      <w:r>
        <w:rPr>
          <w:rFonts w:ascii="Times New Roman" w:hAnsi="Times New Roman"/>
          <w:color w:val="000000"/>
          <w:sz w:val="20"/>
        </w:rPr>
        <w:t xml:space="preserve"> </w:t>
      </w:r>
      <w:r>
        <w:rPr>
          <w:rFonts w:ascii="Times New Roman" w:hAnsi="Times New Roman"/>
          <w:b w:val="false"/>
          <w:color w:val="000000"/>
          <w:sz w:val="20"/>
        </w:rPr>
        <w:t>million and $1.9</w:t>
      </w:r>
      <w:r>
        <w:rPr>
          <w:rFonts w:ascii="Times New Roman" w:hAnsi="Times New Roman"/>
          <w:color w:val="000000"/>
          <w:sz w:val="20"/>
        </w:rPr>
        <w:t xml:space="preserve"> </w:t>
      </w:r>
      <w:r>
        <w:rPr>
          <w:rFonts w:ascii="Times New Roman" w:hAnsi="Times New Roman"/>
          <w:b w:val="false"/>
          <w:color w:val="000000"/>
          <w:sz w:val="20"/>
        </w:rPr>
        <w:t>million, respectively, of revenue earned from customers located outside the United States.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All long-lived assets are maintained in the United States. All losses are attributable to operations within the United States.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Employee Benefits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The Company has a defined contribution 401(k) plan covering substantially all employees as of September 30, 2023. The plan allows employees to defer up to 100% of their employment income (subject to annual contribution limits imposed by the I.R.S.) after all taxes and applicable benefit deductions. In April 2022 the Company began providing employees with 401(k) matching on a portion of their contributions.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0" w:name="item_2_managements_discussion"/>
      <w:bookmarkEnd w:id="10"/>
      <w:r>
        <w:rPr>
          <w:rFonts w:ascii="Times New Roman" w:hAnsi="Times New Roman"/>
          <w:b/>
          <w:color w:val="000000"/>
          <w:sz w:val="20"/>
        </w:rPr>
        <w:t>Item 2. Management</w:t>
      </w:r>
      <w:r>
        <w:rPr>
          <w:rFonts w:ascii="Times New Roman" w:hAnsi="Times New Roman"/>
          <w:color w:val="000000"/>
          <w:sz w:val="20"/>
        </w:rPr>
        <w:t>’</w:t>
      </w:r>
      <w:r>
        <w:rPr>
          <w:rFonts w:ascii="Times New Roman" w:hAnsi="Times New Roman"/>
          <w:b/>
          <w:color w:val="000000"/>
          <w:sz w:val="20"/>
        </w:rPr>
        <w:t>s Discussion and Analysis of Financial Condition and Results of Operations.</w:t>
      </w:r>
    </w:p>
    <w:p>
      <w:pPr>
        <w:pStyle w:val="TextBody"/>
        <w:bidi w:val="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Throughout this section, unless otherwise noted, the “Company,” “Sarcos Technology and Robotics Corporation,” "Sarcos," “we,” “us,” and “our” refers to Sarcos Technology and Robotics Corporation, and its subsidiaries, collectively. You should read the following discussion and analysis of our financial condition and results of operations in conjunction with our unaudited interim condensed consolidated financial statements and related notes thereto included elsewhere in this Quarterly Report (this “Report”) as well as our Annual Report on Form 10-K for the fiscal year ended December 31, 2022 (the “2022 Form 10-K”) and our other filings, including Current Reports on Form 8-K, that we have filed with the SEC through the date of this Report. As discussed in the Special Note Regarding Forward-Looking Statements below, in addition to historical information, the following discussion and analysis contains forward-looking statements that involve risks, uncertainties and assumptions. Our actual results may differ materially from those anticipated in these forward-looking statements as a result of certain factors, including those set forth in Part II Item 1A Risk Factors and elsewhere in this Report.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Certain statements in this Report constitute “forward-looking statements” within the meaning of Section 27A of the Securities Act of 1933, as amended (the “Securities Act”) and Section 21E of the Securities Exchange Act of 1934, as amended (the “Exchange Act”). These forward-looking statements relate to expectations for future financial performance, business strategies or expectations for our business. Specifically, forward-looking statements may include statements relating 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ability to successfully pivot our business pursuant to our recently announced strategy to focus on the development of our AI/ML software platform and to suspend our commercialization efforts on our subsea, aviation and solar hardware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ongoing limited hardware development efforts;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ability to develop and sell our AI/ML software platform and the capabilities and functionality of our AI/ML software platform;</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nature and size of the markets that we are targeting;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software product roadmap, including expected timing of new product releases and target markets;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competition from existing or future businesses and technologies;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ability to manage our growth and expenses;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ability to maintain, protect and enhance our intellectual property;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ability to comply with laws and regulations applicable to our business;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ability to attract and retain qualified personnel with the necessary experience, including employees who are instrumental to our new business strategy;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ability to introduce and sell software products that meet our customers’ requirements;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projected financial and operating information and estimates of market size and opportunities;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future financial performance;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impacts of our reductions in force on our cash usage and savings, cost structure and restructuring costs;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impact of the COVID-19 pandemic and global economic and geopolitical conditions and international conflicts on our business and the business of our customers;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changes in the markets for our software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expansion plans and opportunities;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future capital requirements and sources and uses of cash;</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ability to defend and the outcome of any known and unknown litigation and regulatory proceedings;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ability to maintain and protect our brand;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other statements preceded by, followed by or that include the words “may,” “can,” “should,” “will,” “estimate,” “plan,” “project,” “forecast,” “intend,” “expect,” “anticipate,” “believe,” “seek,” “aim,” “target” or similar expressions.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and, in any event, you should not place undue reliance on these forward-looking statements.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those factors described in Part II Item 1A Risk Factors of this Report. Should one or more of these risks or uncertainties materialize, or should any of the assumptions prove incorrect, actual results may vary in material respects from those projected in these forward-looking statements.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are a leader in advanced robotic technology designed to increase the intelligence, efficiency, capability and productivity of advanced robotic systems. Sarcos robotic artificial intelligence and machine learning (“AI/ML”) software enables generalizable autonomy to address challenging, dynamic, environments for industries that require a high degree of adaptability and efficiency. We believe that our AI software platform, which is applicable to the majority of the industrial robots being sold around the world, will enable a dramatic reduction in robotic training times while also making industrial robots far more agile, meaning they can perform more tasks with greater variability, similar to how humans can perform a wide variety of tasks. Among other things, the software platform is being designed to enable robotic manipulators (such as robotic arms) to learn how to work around unforeseen changes or obstacles by building on their initial programming by incorporating internal and external environmental inputs that allow them to understand their environment, determine reasonable behavior in unforeseen situations and quickly apply them to the task at hand. Each newly learned task will then be incorporated and used to perform future tasks. We believe this closed-loop autonomy approach is the key to how our software will help reduce costly workflow stoppages and prevent unnecessary downtimes, and that our platform will have numerous other applications as well.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On November 14, 2023, we announced a pivot in strategy to prioritize the development of our commercial AI/ML software platform and suspend further commercialization efforts on our subsea, aviation and solar robotics hardware programs. We will continue some hardware system research and development efforts on a substantially reduced scale, in part to support our software development efforts. After continued analysis of our products and programs and careful consideration of our available cash and other resources, as well as third party dependencies, customer decision timing, and the cost and time to develop and achieve a significant and steady revenue stream from our hardware products, we concluded that the focusing on our AI/ML software platform and suspending our hardware commercialization efforts gave us the best risk-adjusted opportunity to meet our previously announced goal of pursuing significant near-term revenue tied to acute customer needs and reduce our capital requirements and related risks in line with available resources. We believe that the expected capabilities described above, combined with a large potential addressable market, create an opportunity to build a robust software business that has the potential to scale at a substantially faster rate than our hardware solutions. We expect that the development of our AI/ML software platform will only include a minor hardware development component in support of the AI/ML software platform. We also intend to address the subsea, aviation and solar markets through our AI/ML software platform. This pivot in strategy builds on our prior announcement, on July 12, 2023, that we had refined our strategy to focus on products that we believed had the most potential for near-term revenue growth and strategic opportunities, which at the time included our Guardian Sea Class system, certain aviation solutions (baggage handling and exterior aircraft maintenance), a solar (solar field panel installation) solution and our commercial AI/ML software platform to enable generalizable autonomy.</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We are a pioneer in the robotic systems industry and benefit from lessons learned over 30-plus years and significant investment in research and development in our proprietary technologies and our extensive patent portfolio. Through our development efforts, including our software development efforts, on our hardware products such as the Guardian XO, Guardian XT, Guardian XM and Guardian Sea Class, we have developed a significant amount of advanced technology that we are leveraging to develop our AI/ML software platform. Our extensive robotics history gives us valuable perspective on how to use software to tackle the challenges associated with training and managing industrial robots in complex and dynamic environments.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20"/>
        </w:rPr>
        <w:t>Our AI/ML software platform was initially conceived as a foundational technology to enhance training and for the autonomous operation of our own internally developed hardware solutions known as Cybernetic Training for Autonomous Robots, or CYTAR</w:t>
      </w:r>
      <w:r>
        <w:rPr>
          <w:rFonts w:ascii="Times New Roman" w:hAnsi="Times New Roman"/>
          <w:b w:val="false"/>
          <w:color w:val="000000"/>
          <w:sz w:val="11"/>
        </w:rPr>
        <w:t>®</w:t>
      </w:r>
      <w:r>
        <w:rPr>
          <w:rFonts w:ascii="Times New Roman" w:hAnsi="Times New Roman"/>
          <w:color w:val="000000"/>
          <w:sz w:val="20"/>
        </w:rPr>
        <w:t xml:space="preserve"> </w:t>
      </w:r>
      <w:r>
        <w:rPr>
          <w:rFonts w:ascii="Times New Roman" w:hAnsi="Times New Roman"/>
          <w:b w:val="false"/>
          <w:color w:val="000000"/>
          <w:sz w:val="20"/>
        </w:rPr>
        <w:t>(“CYTAR”). Our vision for using AI/ML software with our robotic systems began in 2017. In 2019, we made our first CYTAR government proposal, and we began significant development work in 2020. As we continued the development of our AI/ML software platform for use with our robotic systems and solutions, we realized that we could greatly expand our potential addressable market by de-coupling our platform from our own systems and applying it to a wide range of third party robotics systems, from fixed in place industrial robots and cobots to mobile systems including drones, autonomous underwater vehicles and remotely operated vehicles. Further exploration of this opportunity over the past year led us to conclude that the ability to expedite training of new robot deployments and unlock greater value from existing deployments through evolution and adaptability was a need that we could address with our AI/ML software platform. We currently intend to offer our commercial AI/ML software through a software-as-a-service (SaaS) revenue model.</w:t>
      </w:r>
    </w:p>
    <w:p>
      <w:pPr>
        <w:pStyle w:val="TextBody"/>
        <w:bidi w:val="0"/>
        <w:jc w:val="both"/>
        <w:rPr>
          <w:rFonts w:ascii="Times New Roman" w:hAnsi="Times New Roman"/>
          <w:sz w:val="20"/>
        </w:rPr>
      </w:pPr>
      <w:r>
        <w:rPr>
          <w:rFonts w:ascii="Times New Roman" w:hAnsi="Times New Roman"/>
          <w:b w:val="false"/>
          <w:color w:val="000000"/>
          <w:sz w:val="20"/>
        </w:rPr>
        <w:t>We continue to evaluate our strategy and path to near-term revenue growth. As a result of our refined strategy we are optimizing our organization in pursuit of this AI/ML software platform opportunity and will reduce costs, including reducing headcount, shifting all operations to the Salt Lake City, Utah location and shutting down our facilities in Pittsburgh, Pennsylvania. For additional information around the risks associated with our strategy decision-making see Part II Item 1A Risk Factors “</w:t>
      </w:r>
      <w:r>
        <w:rPr>
          <w:rFonts w:ascii="Times New Roman" w:hAnsi="Times New Roman"/>
          <w:b w:val="false"/>
          <w:i/>
          <w:color w:val="000000"/>
          <w:sz w:val="20"/>
        </w:rPr>
        <w:t>Due to our limited resources and access to capital, we must make decisions on the allocation of resources and have discontinued development and commercialization of certain products; these decisions may prove to be wrong and may adversely affect our business.”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Continuing Impact of COVID-19</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global impact of the COVID-19 pandemic and actions taken in response have resulted in significant disruptions to how we operate our business. For example, we have experienced and may continue to experience disruptions in our ability to recruit and retain qualified employees, due in part to the historical impact of the COVID-19 pandemic. In addition, the conditions caused by the pandemic have adversely affected and may continue to adversely affect, among other things, our suppliers, partners, customers’ demand for our software products and the ability to test and assess our software products with potential customers, which have, and may continue to, adversely affect our business, results of operations and financial condition. The duration and extent of impacts of the COVID-19 pandemic cannot be accurately predicted at this time and will depend on future developments that are highly uncertain.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Key Factors Affecting Operating Results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believe that our performance and future success depend on several factors that present significant opportunities for us but also pose risks and challenges, including those discussed below and in Part II Item 1A Risk Factors.</w:t>
      </w:r>
    </w:p>
    <w:p>
      <w:pPr>
        <w:pStyle w:val="TextBody"/>
        <w:bidi w:val="0"/>
        <w:jc w:val="both"/>
        <w:rPr>
          <w:rFonts w:ascii="Times New Roman" w:hAnsi="Times New Roman"/>
          <w:b/>
          <w:i/>
          <w:color w:val="000000"/>
          <w:sz w:val="20"/>
        </w:rPr>
      </w:pPr>
      <w:r>
        <w:rPr>
          <w:rFonts w:ascii="Times New Roman" w:hAnsi="Times New Roman"/>
          <w:b/>
          <w:i/>
          <w:color w:val="000000"/>
          <w:sz w:val="20"/>
        </w:rPr>
        <w:t>Development, Testing and Commercial Launch of our Software Products</w:t>
      </w:r>
    </w:p>
    <w:p>
      <w:pPr>
        <w:pStyle w:val="TextBody"/>
        <w:bidi w:val="0"/>
        <w:jc w:val="both"/>
        <w:rPr>
          <w:rFonts w:ascii="Times New Roman" w:hAnsi="Times New Roman"/>
          <w:sz w:val="20"/>
        </w:rPr>
      </w:pPr>
      <w:r>
        <w:rPr>
          <w:rFonts w:ascii="Times New Roman" w:hAnsi="Times New Roman"/>
          <w:b w:val="false"/>
          <w:color w:val="000000"/>
          <w:sz w:val="20"/>
        </w:rPr>
        <w:t>After considering development costs, market opportunity, and our available resources as discussed above, we are focusing our business efforts on commercializing our AI/ML software platform. We believe that our ability to successfully develop, launch and sell this commercial software product will determine our near- to mid-term financial success. Whether we are successful depends on many factors, including those discussed under Part II Item 1A Risk Factors “</w:t>
      </w:r>
      <w:r>
        <w:rPr>
          <w:rFonts w:ascii="Times New Roman" w:hAnsi="Times New Roman"/>
          <w:b w:val="false"/>
          <w:i/>
          <w:color w:val="000000"/>
          <w:sz w:val="20"/>
        </w:rPr>
        <w:t>Risks Related to Our Business.</w:t>
      </w:r>
      <w:r>
        <w:rPr>
          <w:rFonts w:ascii="Times New Roman" w:hAnsi="Times New Roman"/>
          <w:color w:val="000000"/>
          <w:sz w:val="20"/>
        </w:rPr>
        <w:t xml:space="preserve">” </w:t>
      </w:r>
      <w:r>
        <w:rPr>
          <w:rFonts w:ascii="Times New Roman" w:hAnsi="Times New Roman"/>
          <w:b w:val="false"/>
          <w:color w:val="000000"/>
          <w:sz w:val="20"/>
        </w:rPr>
        <w:t>Such risks may result in delay of the anticipated commercial launch of our software platform, which would adversely affect our financial condition and operating results.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Financing of Operations</w:t>
      </w:r>
    </w:p>
    <w:p>
      <w:pPr>
        <w:pStyle w:val="TextBody"/>
        <w:bidi w:val="0"/>
        <w:jc w:val="both"/>
        <w:rPr>
          <w:rFonts w:ascii="Times New Roman" w:hAnsi="Times New Roman"/>
          <w:sz w:val="20"/>
        </w:rPr>
      </w:pPr>
      <w:r>
        <w:rPr>
          <w:rFonts w:ascii="Times New Roman" w:hAnsi="Times New Roman"/>
          <w:b w:val="false"/>
          <w:color w:val="000000"/>
          <w:sz w:val="20"/>
        </w:rPr>
        <w:t>Prior to commercialization, we must complete the development and testing of our AI/ML software platform. As a result, we will use our cash on hand to develop our software platform and fund operations as we seek to commercialize and achieve revenue from the sale of the product. We currently expect to launch the commercial AI/ML software platform product during the first half of 2024 and begin to recognize revenue from sales in the second half of 2024. The amount and timing of our future funding requirements will depend on many factors, including the pace and results of our product development efforts, our ability to sell our software products and thereby recognize associated revenue, capital and human capital requirements to develop a commercial version of our software platform prior to receiving payments sufficient to cover our costs and our ability to lower product costs as volumes increase. In addition, we have taken numerous steps to manage our use of cash. For example, on July 12, 2023 and on November 14, 2023 we announced reductions in force (each a “RIF” and together the “RIFs”) intended to further conserve our current cash resources and manage operating expenses. The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majority of the cash payments related to the expenses from the RIF announced on July 12, 2023 (“July RIF”) were paid out during the third quarter of 2023. The July RIF is expected to be completed by the end of 2023. The majority of the cash payments related to the RIF announced on November 14, 2023 (“November RIF”) will be paid out during the fourth quarter of 2023 and the first quarter of 2024. The November RIF is expected to be completed by the end of the first quarter of 2024. We believe we have sufficient liquidity to operate well into 2025 without the need to raise additional capital. However, we may need to seek additional financing during that time to bolster our cash reserves and increase our ability to continue to pursue our business objectives. As a result, we intend to continue monitoring our liquidity, financial and business results and outlook and market conditions, and may be opportunistic and raise capital when we consider market conditions are good or a favorable opportunity exists. Any delays in the successful commercialization and sales of our AI/ML software platform will negatively impact our ability to generate revenue, our profitability, our cash flows and our overall operating performance and result in the need to raise additional capital sooner than expected.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Customer Demand</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Although demand for AI/ML platforms and applications has grown in recent years, the market for these platforms and applications continues to evolve. The market demand for our software products is unproven, and important assumptions about the characteristics of targeted markets, pricing and sales cycles may be inaccurate. If customer demand does not develop as expected or we do not accurately forecast pricing, adoption rates and sales cycles for our AI/ML software platform product, our business, results of operations and financial condition will be adversely affected.</w:t>
      </w:r>
    </w:p>
    <w:p>
      <w:pPr>
        <w:pStyle w:val="TextBody"/>
        <w:bidi w:val="0"/>
        <w:jc w:val="both"/>
        <w:rPr>
          <w:rFonts w:ascii="Times New Roman" w:hAnsi="Times New Roman"/>
          <w:sz w:val="20"/>
        </w:rPr>
      </w:pPr>
      <w:r>
        <w:rPr>
          <w:rFonts w:ascii="Times New Roman" w:hAnsi="Times New Roman"/>
          <w:b/>
          <w:i/>
          <w:color w:val="000000"/>
          <w:sz w:val="20"/>
        </w:rPr>
        <w:t>Continued Investment and Innovation</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are a pioneer in the robotic systems industry and benefit from lessons learned over 30-plus years and significant investment in research and development in our proprietary technologies and our extensive patent portfolio. Through our development efforts on our hardware products such as the Guardian XO, Guardian XT, Guardian XM and Guardian Sea Class, we have developed a significant amount of advanced technology that we are leveraging to develop our AI/ML software platform. We believe our financial performance is significantly dependent on our ability to maintain this leading position and further dependent on the investments we make in research and development. It is important that we continually identify and respond to rapidly evolving customer requirements and competitive threats, develop and introduce innovative products, enhance our products and generate active market demand for our products. If we fail to do this, our market position and revenue may be adversely affected, and our investments in these technologies will not be recovered.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Geopolitical and Macro-economic Environment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Geopolitical and macro-economic factors, such as inflation, rising interest rates, oil prices, unemployment rates, international conflicts, such as the wars between Israel and Hamas and between Russia and Ukraine, volatility in the stock market and political or social unrest, can have significant impacts on economic activity, which in turn could affect demand for our AI/ML software platform product or our ability to cost-effectively develop and sell our software platform. Among other things, these and similar factors can affect our ability to hire or retain qualified personnel, our labor and materials costs, the prices we charge for our software platform and the budgets of our customers and their expected return-on-investment from the purchase of or subscription for our software platform. Many of these factors are outside of our control but can have a significant impact on our business success and operating results. If we are unable to manage our business successfully in response to any such factors, our business and results of operations would be adversely affected.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The discussion below regarding our results of operations for the three and nine months ended September 30, 2023 and 2022 includes the financial results of RE2 beginning on April 25, 2022, the acquisition date through September 30, 2023. Our results do not include RE2’s financial information prior to the acquisition.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Comparison of the Three Months Ended September 30, 2023, and 2022</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 Net</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following table presents our revenue for the three months ended September 30, 2023 and 2022, respectively:</w:t>
      </w:r>
    </w:p>
    <w:p>
      <w:pPr>
        <w:pStyle w:val="TextBody"/>
        <w:bidi w:val="0"/>
        <w:jc w:val="both"/>
        <w:rPr/>
      </w:pPr>
      <w:r>
        <w:rPr/>
        <w:t> </w:t>
      </w:r>
    </w:p>
    <w:tbl>
      <w:tblPr>
        <w:tblW w:w="8784" w:type="dxa"/>
        <w:jc w:val="left"/>
        <w:tblInd w:w="0" w:type="dxa"/>
        <w:tblLayout w:type="fixed"/>
        <w:tblCellMar>
          <w:top w:w="28" w:type="dxa"/>
          <w:left w:w="28" w:type="dxa"/>
          <w:bottom w:w="28" w:type="dxa"/>
          <w:right w:w="28" w:type="dxa"/>
        </w:tblCellMar>
      </w:tblPr>
      <w:tblGrid>
        <w:gridCol w:w="2971"/>
        <w:gridCol w:w="146"/>
        <w:gridCol w:w="332"/>
        <w:gridCol w:w="867"/>
        <w:gridCol w:w="247"/>
        <w:gridCol w:w="247"/>
        <w:gridCol w:w="332"/>
        <w:gridCol w:w="867"/>
        <w:gridCol w:w="146"/>
        <w:gridCol w:w="146"/>
        <w:gridCol w:w="216"/>
        <w:gridCol w:w="631"/>
        <w:gridCol w:w="183"/>
        <w:gridCol w:w="161"/>
        <w:gridCol w:w="260"/>
        <w:gridCol w:w="671"/>
        <w:gridCol w:w="36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 vs. 2022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Product Development Contract Revenue</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1,044</w:t>
            </w:r>
          </w:p>
        </w:tc>
        <w:tc>
          <w:tcPr>
            <w:tcW w:w="247"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(3,444</w:t>
            </w:r>
          </w:p>
        </w:tc>
        <w:tc>
          <w:tcPr>
            <w:tcW w:w="18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61"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(77</w:t>
            </w:r>
          </w:p>
        </w:tc>
        <w:tc>
          <w:tcPr>
            <w:tcW w:w="3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Product Revenue</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783</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337</w:t>
            </w:r>
          </w:p>
        </w:tc>
        <w:tc>
          <w:tcPr>
            <w:tcW w:w="3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Revenue, net</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1,827</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(2,840</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61"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w:t>
            </w:r>
          </w:p>
        </w:tc>
        <w:tc>
          <w:tcPr>
            <w:tcW w:w="3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Revenue decreased by $2.8 million, or 61%, from $4.7 million for the three months ended September 30, 2022, to $1.8 million for the three months ended September 30, 2023, as explained below.</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Product Development Contract Revenue</w:t>
      </w:r>
    </w:p>
    <w:p>
      <w:pPr>
        <w:pStyle w:val="TextBody"/>
        <w:bidi w:val="0"/>
        <w:jc w:val="both"/>
        <w:rPr>
          <w:rFonts w:ascii="Times New Roman" w:hAnsi="Times New Roman"/>
          <w:sz w:val="20"/>
        </w:rPr>
      </w:pPr>
      <w:r>
        <w:rPr>
          <w:rFonts w:ascii="Times New Roman" w:hAnsi="Times New Roman"/>
          <w:b w:val="false"/>
          <w:color w:val="000000"/>
          <w:sz w:val="20"/>
        </w:rPr>
        <w:t>Product development contract revenue decreased by $3.4 million, or 77%, from $4.5 million for the three months ended September 30, 2022, to $1.0 million for the three months ended September 30, 2023. The decrease was primarily due to the completion of certain product development contracts during 2023 that have not yet been replaced with new contracts. We expect future revenue from product development contracts to fluctuate due to the timing of additional development contracts signed and the completion of existing contracts. For the time being, we intend to take on only those development contracts that we believe support and contribute to our AI/ML software platform development efforts under our refined sales and product development strategy.</w:t>
      </w:r>
      <w:r>
        <w:rPr>
          <w:rFonts w:ascii="Times New Roman" w:hAnsi="Times New Roman"/>
          <w:color w:val="000000"/>
          <w:sz w:val="20"/>
        </w:rPr>
        <w:t xml:space="preserve">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Product Revenue</w:t>
      </w:r>
    </w:p>
    <w:p>
      <w:pPr>
        <w:pStyle w:val="TextBody"/>
        <w:bidi w:val="0"/>
        <w:jc w:val="both"/>
        <w:rPr>
          <w:rFonts w:ascii="Times New Roman" w:hAnsi="Times New Roman"/>
          <w:sz w:val="20"/>
        </w:rPr>
      </w:pPr>
      <w:r>
        <w:rPr>
          <w:rFonts w:ascii="Times New Roman" w:hAnsi="Times New Roman"/>
          <w:b w:val="false"/>
          <w:color w:val="000000"/>
          <w:sz w:val="20"/>
        </w:rPr>
        <w:t>Revenue derived from product sales increased by $0.6 million, or 337%, from $0.2 million for the three months ended September 30, 2022, to $0.8 million for the three months ended September 30, 2023. The increase was primarily due to the sale of two Guardian Sea Class systems during the three months ended September 30, 2023.</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following table presents our operating expenses for the three months ended September 30, 2023 and 2022:</w:t>
      </w:r>
    </w:p>
    <w:p>
      <w:pPr>
        <w:pStyle w:val="TextBody"/>
        <w:bidi w:val="0"/>
        <w:jc w:val="both"/>
        <w:rPr/>
      </w:pPr>
      <w:r>
        <w:rPr/>
        <w:t> </w:t>
      </w:r>
    </w:p>
    <w:tbl>
      <w:tblPr>
        <w:tblW w:w="8887" w:type="dxa"/>
        <w:jc w:val="left"/>
        <w:tblInd w:w="0" w:type="dxa"/>
        <w:tblLayout w:type="fixed"/>
        <w:tblCellMar>
          <w:top w:w="28" w:type="dxa"/>
          <w:left w:w="28" w:type="dxa"/>
          <w:bottom w:w="28" w:type="dxa"/>
          <w:right w:w="28" w:type="dxa"/>
        </w:tblCellMar>
      </w:tblPr>
      <w:tblGrid>
        <w:gridCol w:w="2841"/>
        <w:gridCol w:w="146"/>
        <w:gridCol w:w="300"/>
        <w:gridCol w:w="922"/>
        <w:gridCol w:w="224"/>
        <w:gridCol w:w="224"/>
        <w:gridCol w:w="300"/>
        <w:gridCol w:w="922"/>
        <w:gridCol w:w="146"/>
        <w:gridCol w:w="146"/>
        <w:gridCol w:w="216"/>
        <w:gridCol w:w="664"/>
        <w:gridCol w:w="183"/>
        <w:gridCol w:w="161"/>
        <w:gridCol w:w="276"/>
        <w:gridCol w:w="655"/>
        <w:gridCol w:w="561"/>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 vs. 2022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vAlign w:val="center"/>
          </w:tcPr>
          <w:p>
            <w:pPr>
              <w:pStyle w:val="TableContents"/>
              <w:bidi w:val="0"/>
              <w:spacing w:before="0" w:after="283"/>
              <w:jc w:val="left"/>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1222" w:type="dxa"/>
            <w:gridSpan w:val="2"/>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12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0"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61"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ind w:left="0" w:right="0" w:firstLine="200"/>
              <w:jc w:val="right"/>
              <w:rPr/>
            </w:pPr>
            <w:r>
              <w:rPr/>
              <w:t> </w:t>
            </w:r>
          </w:p>
        </w:tc>
      </w:tr>
      <w:tr>
        <w:trPr/>
        <w:tc>
          <w:tcPr>
            <w:tcW w:w="28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Cost of revenue</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1,222</w:t>
            </w:r>
          </w:p>
        </w:tc>
        <w:tc>
          <w:tcPr>
            <w:tcW w:w="224"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6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(2,356</w:t>
            </w:r>
          </w:p>
        </w:tc>
        <w:tc>
          <w:tcPr>
            <w:tcW w:w="18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6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(66</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8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Research and development</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10,011</w:t>
            </w:r>
          </w:p>
        </w:tc>
        <w:tc>
          <w:tcPr>
            <w:tcW w:w="224"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(486</w:t>
            </w:r>
          </w:p>
        </w:tc>
        <w:tc>
          <w:tcPr>
            <w:tcW w:w="18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61"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6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w:t>
            </w:r>
          </w:p>
        </w:tc>
        <w:tc>
          <w:tcPr>
            <w:tcW w:w="56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8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General and administrative</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7,557</w:t>
            </w:r>
          </w:p>
        </w:tc>
        <w:tc>
          <w:tcPr>
            <w:tcW w:w="224"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14,646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(7,089</w:t>
            </w:r>
          </w:p>
        </w:tc>
        <w:tc>
          <w:tcPr>
            <w:tcW w:w="18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6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8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Sales and marketing</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1,750</w:t>
            </w:r>
          </w:p>
        </w:tc>
        <w:tc>
          <w:tcPr>
            <w:tcW w:w="224"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(655</w:t>
            </w:r>
          </w:p>
        </w:tc>
        <w:tc>
          <w:tcPr>
            <w:tcW w:w="18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61"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6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w:t>
            </w:r>
          </w:p>
        </w:tc>
        <w:tc>
          <w:tcPr>
            <w:tcW w:w="56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8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Intangible amortization expense</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819</w:t>
            </w:r>
          </w:p>
        </w:tc>
        <w:tc>
          <w:tcPr>
            <w:tcW w:w="224"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w:t>
            </w:r>
          </w:p>
        </w:tc>
        <w:tc>
          <w:tcPr>
            <w:tcW w:w="183"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8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Asset write-down and restructuring</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11,222</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11,222</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*NM</w:t>
            </w:r>
          </w:p>
        </w:tc>
        <w:tc>
          <w:tcPr>
            <w:tcW w:w="561" w:type="dxa"/>
            <w:tcBorders/>
            <w:shd w:fill="CFF0FC" w:val="clear"/>
            <w:vAlign w:val="center"/>
          </w:tcPr>
          <w:p>
            <w:pPr>
              <w:pStyle w:val="TableContents"/>
              <w:bidi w:val="0"/>
              <w:spacing w:before="0" w:after="283"/>
              <w:jc w:val="right"/>
              <w:rPr/>
            </w:pPr>
            <w:r>
              <w:rPr/>
              <w:t> </w:t>
            </w:r>
          </w:p>
        </w:tc>
      </w:tr>
      <w:tr>
        <w:trPr/>
        <w:tc>
          <w:tcPr>
            <w:tcW w:w="284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operating expenses</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32,581</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31,917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664</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w:t>
            </w:r>
          </w:p>
        </w:tc>
        <w:tc>
          <w:tcPr>
            <w:tcW w:w="5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bl>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*NM - Not Meaningful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i/>
          <w:color w:val="000000"/>
          <w:sz w:val="20"/>
        </w:rPr>
        <w:t>Cost of Revenue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20"/>
        </w:rPr>
        <w:t>Cost of revenue decreased by $2.4 million, or 66%, from $3.6 million for the three months ended September 30, 2022, to $1.2 million for the three months ended September 30, 2023. Cost of revenue decreased mainly due to decreased labor and material expenses charged to product development contracts during the three months ended September 30, 2023.</w:t>
      </w:r>
      <w:r>
        <w:rPr>
          <w:rFonts w:ascii="Times New Roman" w:hAnsi="Times New Roman"/>
          <w:color w:val="000000"/>
          <w:sz w:val="20"/>
        </w:rPr>
        <w:t xml:space="preserve">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Research and Development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Research and development expense decreased by $0.5 million, or 5% from $10.5 million for the three months ended September 30, 2022, to $10.0 million for the three months ended September 30, 2023. The decrease was driven primarily by reduced third-party professional service expense during the current year period as part of our prioritization efforts on development and commercialization of our products.</w:t>
      </w:r>
    </w:p>
    <w:p>
      <w:pPr>
        <w:pStyle w:val="TextBody"/>
        <w:bidi w:val="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General and Administrative</w:t>
      </w:r>
    </w:p>
    <w:p>
      <w:pPr>
        <w:pStyle w:val="TextBody"/>
        <w:bidi w:val="0"/>
        <w:jc w:val="both"/>
        <w:rPr>
          <w:rFonts w:ascii="Times New Roman" w:hAnsi="Times New Roman"/>
          <w:sz w:val="20"/>
        </w:rPr>
      </w:pPr>
      <w:r>
        <w:rPr>
          <w:rFonts w:ascii="Times New Roman" w:hAnsi="Times New Roman"/>
          <w:b w:val="false"/>
          <w:color w:val="000000"/>
          <w:sz w:val="20"/>
        </w:rPr>
        <w:t>General and administrative expense decreased by $7.1 million, or 48%, from $14.6 million for the three months ended September 30, 2022, to $7.6 million for the three months ended September 30, 2023. General and administrative expense decreased primarily due to reduced stock-based compensation expense of $6.8 million due to certain awards vesting in the prior year and reduced outstanding unvested awards due to employee terminations during the current year period.</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Sales and Marketing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Sales and marketing expense decreased by $0.7 million, or 27%, from $2.4 million for the three months ended September 30, 2022, to $1.8 million for the three months ended September 30, 2023. This decrease was driven by a decrease in professional service fees related to third-party platform expense utilized in data management of our products and services.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Intangible Amortization Expense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Intangible amortization expense was flat at $0.8 million for the three months ended September 30, 2023 and 2022.</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Asset Write-down and Restructuring</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Asset write-down and restructuring expenses were $11.2 million for the three months ended September 30, 2023, which includes $1.1 million in severance and benefit payments, $4.4 million related to the acceleration of stock-based compensation expense resulting from the early termination of our redemption right over certain shares held by our former Chief Operating Officer in connection with the termination of his employment, a write-down of inventory of $5.2 million, and $0.5 million related to the write-down of certain assets. We anticipate incurring additional restructuring expenses, related to the restructuring actions taken during 2023, in the range of $22 million to $24 million during the fourth quarter of 2023 and the first quarter of 2024. These expenses include approximately $4 million dollars in personnel expenses such as salaries, wages, benefits and severance related to the eliminated headcount. The remainder will be non-cash expenses related to expected accelerated amortization of intangible and other assets due to the strategic shift initiated during the fourth quarter.</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Income</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following table presents other income for the three months ended September 30, 2023 and 2022, respectively:</w:t>
      </w:r>
    </w:p>
    <w:p>
      <w:pPr>
        <w:pStyle w:val="TextBody"/>
        <w:bidi w:val="0"/>
        <w:jc w:val="both"/>
        <w:rPr/>
      </w:pPr>
      <w:r>
        <w:rPr/>
        <w:t> </w:t>
      </w:r>
    </w:p>
    <w:tbl>
      <w:tblPr>
        <w:tblW w:w="7967" w:type="dxa"/>
        <w:jc w:val="left"/>
        <w:tblInd w:w="0" w:type="dxa"/>
        <w:tblLayout w:type="fixed"/>
        <w:tblCellMar>
          <w:top w:w="28" w:type="dxa"/>
          <w:left w:w="28" w:type="dxa"/>
          <w:bottom w:w="28" w:type="dxa"/>
          <w:right w:w="28" w:type="dxa"/>
        </w:tblCellMar>
      </w:tblPr>
      <w:tblGrid>
        <w:gridCol w:w="2046"/>
        <w:gridCol w:w="146"/>
        <w:gridCol w:w="332"/>
        <w:gridCol w:w="867"/>
        <w:gridCol w:w="247"/>
        <w:gridCol w:w="247"/>
        <w:gridCol w:w="332"/>
        <w:gridCol w:w="867"/>
        <w:gridCol w:w="166"/>
        <w:gridCol w:w="146"/>
        <w:gridCol w:w="196"/>
        <w:gridCol w:w="571"/>
        <w:gridCol w:w="166"/>
        <w:gridCol w:w="146"/>
        <w:gridCol w:w="168"/>
        <w:gridCol w:w="763"/>
        <w:gridCol w:w="561"/>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 vs. 2022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income</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ind w:left="0" w:right="0" w:firstLine="200"/>
              <w:jc w:val="right"/>
              <w:rPr/>
            </w:pPr>
            <w:r>
              <w:rPr/>
              <w:t> </w:t>
            </w:r>
          </w:p>
        </w:tc>
      </w:tr>
      <w:tr>
        <w:trPr/>
        <w:tc>
          <w:tcPr>
            <w:tcW w:w="20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Interest income, net</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806</w:t>
            </w:r>
          </w:p>
        </w:tc>
        <w:tc>
          <w:tcPr>
            <w:tcW w:w="247"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color w:val="000000"/>
              </w:rPr>
            </w:pPr>
            <w:r>
              <w:rPr>
                <w:color w:val="000000"/>
              </w:rPr>
              <w:t>—</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0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Gain on warrant liability</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96</w:t>
            </w:r>
          </w:p>
        </w:tc>
        <w:tc>
          <w:tcPr>
            <w:tcW w:w="247"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(1,388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(94</w:t>
            </w:r>
          </w:p>
        </w:tc>
        <w:tc>
          <w:tcPr>
            <w:tcW w:w="56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0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loss, net</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871</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(21,875</w:t>
            </w:r>
          </w:p>
        </w:tc>
        <w:tc>
          <w:tcPr>
            <w:tcW w:w="5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04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other income</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1,773</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w:t>
            </w:r>
          </w:p>
        </w:tc>
        <w:tc>
          <w:tcPr>
            <w:tcW w:w="5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Other income decreased by $0.5 million for the three months ended September 30, 2023 as compared to the prior year period, as a result of the decrease in unrealized mark-to-market gain on our outstanding private placement warrants, partially offset by increased other income related to the employee retention credit refund received during the current year period.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Income tax expense was $0 for the three months ended September 30, 2023 compared to $2.5 million in income tax benefit for the three months ended September 30, 2022. The income tax benefit recorded during the three months ended September 30, 2022 is due to the removal of a portion of our previously recorded valuation allowance on our net deferred tax assets associated with net deferred tax liabilities recorded as part of the acquisition of RE2, resulting in an income tax benefit recognized during the prior year quarter.</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Comparison of the Nine Months Ended September 30, 2023 and 2022</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 Net</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following table presents our revenue for the nine months ended September 30, 2023 and 2022, respectively:</w:t>
      </w:r>
    </w:p>
    <w:p>
      <w:pPr>
        <w:pStyle w:val="TextBody"/>
        <w:bidi w:val="0"/>
        <w:jc w:val="both"/>
        <w:rPr/>
      </w:pPr>
      <w:r>
        <w:rPr/>
        <w:t> </w:t>
      </w:r>
    </w:p>
    <w:tbl>
      <w:tblPr>
        <w:tblW w:w="8696" w:type="dxa"/>
        <w:jc w:val="left"/>
        <w:tblInd w:w="0" w:type="dxa"/>
        <w:tblLayout w:type="fixed"/>
        <w:tblCellMar>
          <w:top w:w="28" w:type="dxa"/>
          <w:left w:w="28" w:type="dxa"/>
          <w:bottom w:w="28" w:type="dxa"/>
          <w:right w:w="28" w:type="dxa"/>
        </w:tblCellMar>
      </w:tblPr>
      <w:tblGrid>
        <w:gridCol w:w="2971"/>
        <w:gridCol w:w="146"/>
        <w:gridCol w:w="322"/>
        <w:gridCol w:w="840"/>
        <w:gridCol w:w="240"/>
        <w:gridCol w:w="240"/>
        <w:gridCol w:w="322"/>
        <w:gridCol w:w="840"/>
        <w:gridCol w:w="146"/>
        <w:gridCol w:w="146"/>
        <w:gridCol w:w="216"/>
        <w:gridCol w:w="631"/>
        <w:gridCol w:w="183"/>
        <w:gridCol w:w="161"/>
        <w:gridCol w:w="260"/>
        <w:gridCol w:w="671"/>
        <w:gridCol w:w="36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 vs. 2022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Product Development Contract Revenue</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4,614</w:t>
            </w:r>
          </w:p>
        </w:tc>
        <w:tc>
          <w:tcPr>
            <w:tcW w:w="240"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4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(3,589</w:t>
            </w:r>
          </w:p>
        </w:tc>
        <w:tc>
          <w:tcPr>
            <w:tcW w:w="18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61"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w:t>
            </w:r>
          </w:p>
        </w:tc>
        <w:tc>
          <w:tcPr>
            <w:tcW w:w="3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Product Revenue</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786</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541</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221</w:t>
            </w:r>
          </w:p>
        </w:tc>
        <w:tc>
          <w:tcPr>
            <w:tcW w:w="3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Revenue, net</w:t>
            </w:r>
          </w:p>
        </w:tc>
        <w:tc>
          <w:tcPr>
            <w:tcW w:w="146" w:type="dxa"/>
            <w:tcBorders/>
            <w:shd w:fill="CFF0FC" w:val="cle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5,400</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8,448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(3,048</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61"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w:t>
            </w:r>
          </w:p>
        </w:tc>
        <w:tc>
          <w:tcPr>
            <w:tcW w:w="3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Revenue decreased by $3.0 million, or 36%, from $8.4 million for the nine months ended September 30, 2022, to $5.4 million for the nine months ended September 30, 2023, as explained below.</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Product Development Contract Revenue</w:t>
      </w:r>
    </w:p>
    <w:p>
      <w:pPr>
        <w:pStyle w:val="TextBody"/>
        <w:bidi w:val="0"/>
        <w:jc w:val="both"/>
        <w:rPr>
          <w:rFonts w:ascii="Times New Roman" w:hAnsi="Times New Roman"/>
          <w:sz w:val="20"/>
        </w:rPr>
      </w:pPr>
      <w:r>
        <w:rPr>
          <w:rFonts w:ascii="Times New Roman" w:hAnsi="Times New Roman"/>
          <w:b w:val="false"/>
          <w:color w:val="000000"/>
          <w:sz w:val="20"/>
        </w:rPr>
        <w:t>Product development contract revenue decreased by $3.6 million, or 44%, from $8.2 million for the nine months ended September 30, 2022 to $4.6 million for the nine months ended September 30, 2023. The decrease was primarily due to the completion of certain product development contracts during 2023 that have not yet been replaced with new contracts. We expect future revenue from product development contracts to fluctuate due to the timing of additional development contracts signed and the completion of existing contracts. For the time being, we intend to take on only those development contracts that we believe support and contribute to our AI/ML software platform development efforts under our refined sales and product development strategy.</w:t>
      </w:r>
      <w:r>
        <w:rPr>
          <w:rFonts w:ascii="Times New Roman" w:hAnsi="Times New Roman"/>
          <w:color w:val="000000"/>
          <w:sz w:val="20"/>
        </w:rPr>
        <w:t xml:space="preserve">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Product Revenue</w:t>
      </w:r>
    </w:p>
    <w:p>
      <w:pPr>
        <w:pStyle w:val="TextBody"/>
        <w:bidi w:val="0"/>
        <w:jc w:val="both"/>
        <w:rPr>
          <w:rFonts w:ascii="Times New Roman" w:hAnsi="Times New Roman"/>
          <w:sz w:val="20"/>
        </w:rPr>
      </w:pPr>
      <w:r>
        <w:rPr>
          <w:rFonts w:ascii="Times New Roman" w:hAnsi="Times New Roman"/>
          <w:b w:val="false"/>
          <w:color w:val="000000"/>
          <w:sz w:val="20"/>
        </w:rPr>
        <w:t>Revenue derived from product sales increased by $0.5 million, or 221%, from $0.2 million for the nine months ended September 30, 2022, to $0.8 million for the nine months ended September 30, 2023. The increase was primarily due to the sale of two Guardian Sea Class systems during the current year period.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following table presents our operating expenses for the nine months ended September 30, 2023 and 2022:</w:t>
      </w:r>
    </w:p>
    <w:p>
      <w:pPr>
        <w:pStyle w:val="TextBody"/>
        <w:bidi w:val="0"/>
        <w:jc w:val="both"/>
        <w:rPr/>
      </w:pPr>
      <w:r>
        <w:rPr/>
        <w:t> </w:t>
      </w:r>
    </w:p>
    <w:tbl>
      <w:tblPr>
        <w:tblW w:w="8818" w:type="dxa"/>
        <w:jc w:val="left"/>
        <w:tblInd w:w="0" w:type="dxa"/>
        <w:tblLayout w:type="fixed"/>
        <w:tblCellMar>
          <w:top w:w="28" w:type="dxa"/>
          <w:left w:w="28" w:type="dxa"/>
          <w:bottom w:w="28" w:type="dxa"/>
          <w:right w:w="28" w:type="dxa"/>
        </w:tblCellMar>
      </w:tblPr>
      <w:tblGrid>
        <w:gridCol w:w="2841"/>
        <w:gridCol w:w="146"/>
        <w:gridCol w:w="291"/>
        <w:gridCol w:w="894"/>
        <w:gridCol w:w="217"/>
        <w:gridCol w:w="217"/>
        <w:gridCol w:w="291"/>
        <w:gridCol w:w="894"/>
        <w:gridCol w:w="146"/>
        <w:gridCol w:w="146"/>
        <w:gridCol w:w="208"/>
        <w:gridCol w:w="704"/>
        <w:gridCol w:w="176"/>
        <w:gridCol w:w="155"/>
        <w:gridCol w:w="276"/>
        <w:gridCol w:w="655"/>
        <w:gridCol w:w="561"/>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 vs. 2022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2" w:type="dxa"/>
            <w:gridSpan w:val="2"/>
            <w:tcBorders/>
            <w:shd w:fill="CFF0FC" w:val="clear"/>
            <w:vAlign w:val="center"/>
          </w:tcPr>
          <w:p>
            <w:pPr>
              <w:pStyle w:val="TableContents"/>
              <w:bidi w:val="0"/>
              <w:spacing w:before="0" w:after="283"/>
              <w:jc w:val="right"/>
              <w:rPr/>
            </w:pPr>
            <w:r>
              <w:rPr/>
              <w:t> </w:t>
            </w:r>
          </w:p>
        </w:tc>
        <w:tc>
          <w:tcPr>
            <w:tcW w:w="176" w:type="dxa"/>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ind w:left="0" w:right="0" w:firstLine="200"/>
              <w:jc w:val="right"/>
              <w:rPr/>
            </w:pPr>
            <w:r>
              <w:rPr/>
              <w:t> </w:t>
            </w:r>
          </w:p>
        </w:tc>
      </w:tr>
      <w:tr>
        <w:trPr/>
        <w:tc>
          <w:tcPr>
            <w:tcW w:w="28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Cost of revenue</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3,951</w:t>
            </w:r>
          </w:p>
        </w:tc>
        <w:tc>
          <w:tcPr>
            <w:tcW w:w="217"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0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(3,261</w:t>
            </w:r>
          </w:p>
        </w:tc>
        <w:tc>
          <w:tcPr>
            <w:tcW w:w="17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8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Research and development</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31,120</w:t>
            </w:r>
          </w:p>
        </w:tc>
        <w:tc>
          <w:tcPr>
            <w:tcW w:w="217"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23,947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7,173</w:t>
            </w:r>
          </w:p>
        </w:tc>
        <w:tc>
          <w:tcPr>
            <w:tcW w:w="17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6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w:t>
            </w:r>
          </w:p>
        </w:tc>
        <w:tc>
          <w:tcPr>
            <w:tcW w:w="56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8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General and administrative</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25,544</w:t>
            </w:r>
          </w:p>
        </w:tc>
        <w:tc>
          <w:tcPr>
            <w:tcW w:w="217"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50,584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(25,040</w:t>
            </w:r>
          </w:p>
        </w:tc>
        <w:tc>
          <w:tcPr>
            <w:tcW w:w="17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8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Sales and marketing</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9,901</w:t>
            </w:r>
          </w:p>
        </w:tc>
        <w:tc>
          <w:tcPr>
            <w:tcW w:w="217"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70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2,699</w:t>
            </w:r>
          </w:p>
        </w:tc>
        <w:tc>
          <w:tcPr>
            <w:tcW w:w="17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6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w:t>
            </w:r>
          </w:p>
        </w:tc>
        <w:tc>
          <w:tcPr>
            <w:tcW w:w="56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8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Intangible amortization expense</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2,457</w:t>
            </w:r>
          </w:p>
        </w:tc>
        <w:tc>
          <w:tcPr>
            <w:tcW w:w="217"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1,092</w:t>
            </w:r>
          </w:p>
        </w:tc>
        <w:tc>
          <w:tcPr>
            <w:tcW w:w="17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8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Asset write-down and restructuring</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16,328</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16,328</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*NM</w:t>
            </w:r>
          </w:p>
        </w:tc>
        <w:tc>
          <w:tcPr>
            <w:tcW w:w="561" w:type="dxa"/>
            <w:tcBorders/>
            <w:shd w:fill="CFF0FC" w:val="clear"/>
            <w:vAlign w:val="center"/>
          </w:tcPr>
          <w:p>
            <w:pPr>
              <w:pStyle w:val="TableContents"/>
              <w:bidi w:val="0"/>
              <w:spacing w:before="0" w:after="283"/>
              <w:jc w:val="right"/>
              <w:rPr/>
            </w:pPr>
            <w:r>
              <w:rPr/>
              <w:t> </w:t>
            </w:r>
          </w:p>
        </w:tc>
      </w:tr>
      <w:tr>
        <w:trPr/>
        <w:tc>
          <w:tcPr>
            <w:tcW w:w="284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operating expenses</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89,301</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90,310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(1,009</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55"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5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bl>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*NM - Not Meaningful</w:t>
      </w:r>
    </w:p>
    <w:p>
      <w:pPr>
        <w:pStyle w:val="TextBody"/>
        <w:bidi w:val="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Cost of Revenue</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Cost of revenue decreased by $3.3 million, or 45%, from $7.2 million for the nine months ended September 30, 2022, to $4.0 million for the nine months ended September 30, 2023. Cost of revenue decreased mainly due to decreased labor and material expense charged to product development contracts during the nine months ended September 30, 2023.</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Research and Development</w:t>
      </w:r>
    </w:p>
    <w:p>
      <w:pPr>
        <w:pStyle w:val="TextBody"/>
        <w:bidi w:val="0"/>
        <w:jc w:val="both"/>
        <w:rPr>
          <w:rFonts w:ascii="Times New Roman" w:hAnsi="Times New Roman"/>
          <w:sz w:val="20"/>
        </w:rPr>
      </w:pPr>
      <w:r>
        <w:rPr>
          <w:rFonts w:ascii="Times New Roman" w:hAnsi="Times New Roman"/>
          <w:b w:val="false"/>
          <w:color w:val="000000"/>
          <w:sz w:val="20"/>
        </w:rPr>
        <w:t>Research and development expense increased by $7.2 million, or 30% from $23.9 million for the nine months ended September 30, 2022, to $31.1 million for the nine months ended September 30, 2023. The increase was driven primarily by an increase in labor and overhead expense as a result of increased headcount (due in part to the RE2 acquisition) and the shift of labor from cost of revenue to research and development due to the timing of new product development contracts being signed and the focus on new product development and commercialization efforts. As a result, allocated overhead and fringe related costs also increased due to the increase in labor costs. We expect that future research and development costs will decrease significantly due to the reduction in headcount actions taken during 2023 and other cost savings resulting from the pivot in strategy to prioritize the AI/ML software development and discontinue other research and development efforts.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General and Administrative</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General and administrative expense decreased by $25.0 million, or 50%, from $50.6 million for the nine months ended September 30, 2022, to $25.5 million for the nine months ended September 30, 2023. General and administrative expense decreased primarily due to reduced stock-based compensation expense of $23.6 million due to certain awards vesting in the prior year. In addition to the decrease in stock-based compensation expense, business insurance expenses decreased during the current year period to more favorable rates resulting from the latest renewal and legal fees decreased in comparison to the prior year due to the lack of acquisition-related legal expenses arising from the RE2 acquisition during the prior year period. We also expect that future general and administrative expenses will decrease significantly due to the reduction in headcount actions taken during 2023 and other cost savings resulting from our pivot in strategy to prioritize the AI/ML software development with a lower overall cost structure.</w:t>
      </w:r>
    </w:p>
    <w:p>
      <w:pPr>
        <w:pStyle w:val="TextBody"/>
        <w:bidi w:val="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Sales and Marketing</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Sales and marketing expense increased by $2.7 million, or 37%, from $7.2 million for the nine months ended September 30, 2022, to $9.9 million for the nine months ended September 30, 2023. This increase was driven by an increase in professional service fees related to third-party platform expense utilized in data management of our products and services, increased promotional and event expense during the current year period, and increased expenses related to additional headcount due in part to our RE2 acquisition. We also expect that future sales and marketing expenses will decrease significantly due to the reduction in headcount actions taken during 2023 and other cost savings resulting from our pivot in strategy to prioritize the AI/ML software development with a lower overall cost structure.</w:t>
      </w:r>
    </w:p>
    <w:p>
      <w:pPr>
        <w:pStyle w:val="TextBody"/>
        <w:bidi w:val="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Intangible Amortization Expense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Intangible amortization expense increased by $1.1 million, from $1.4 million for nine months ended September 30, 2022, to $2.5 million for the nine months ended September 30, 2023. The increase in intangible amortization expense is due to the recognition of amortization expenses on identified intangible assets recorded as part of the RE2 acquisition.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Asset Write-down and Restructuring</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Asset write-down and restructuring expenses were $16.3 million for the nine months ended September 30, 2023, which includes a write-down of inventory of $9.6 million, a $1.2 million impairment charge for certain assets as a result our product development reprioritization, $1.1 million in severance and benefit payments, and $4.4 million due to the acceleration of stock-based compensation expense resulting from the early termination of our redemption right over certain shares held by our former Chief Operating Officer in connection with the termination of his employment.</w:t>
      </w:r>
    </w:p>
    <w:p>
      <w:pPr>
        <w:pStyle w:val="TextBody"/>
        <w:bidi w:val="0"/>
        <w:jc w:val="both"/>
        <w:rPr>
          <w:rFonts w:ascii="Times New Roman" w:hAnsi="Times New Roman"/>
          <w:b/>
          <w:i/>
          <w:color w:val="000000"/>
          <w:sz w:val="20"/>
        </w:rPr>
      </w:pPr>
      <w:r>
        <w:rPr>
          <w:rFonts w:ascii="Times New Roman" w:hAnsi="Times New Roman"/>
          <w:b/>
          <w:i/>
          <w:color w:val="000000"/>
          <w:sz w:val="20"/>
        </w:rPr>
        <w:t>Other Income</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following table presents other income for the nine months ended September 30, 2023 and 2022, respectively:</w:t>
      </w:r>
    </w:p>
    <w:p>
      <w:pPr>
        <w:pStyle w:val="TextBody"/>
        <w:bidi w:val="0"/>
        <w:jc w:val="both"/>
        <w:rPr/>
      </w:pPr>
      <w:r>
        <w:rPr/>
        <w:t> </w:t>
      </w:r>
    </w:p>
    <w:tbl>
      <w:tblPr>
        <w:tblW w:w="7969" w:type="dxa"/>
        <w:jc w:val="left"/>
        <w:tblInd w:w="0" w:type="dxa"/>
        <w:tblLayout w:type="fixed"/>
        <w:tblCellMar>
          <w:top w:w="28" w:type="dxa"/>
          <w:left w:w="28" w:type="dxa"/>
          <w:bottom w:w="28" w:type="dxa"/>
          <w:right w:w="28" w:type="dxa"/>
        </w:tblCellMar>
      </w:tblPr>
      <w:tblGrid>
        <w:gridCol w:w="2046"/>
        <w:gridCol w:w="146"/>
        <w:gridCol w:w="306"/>
        <w:gridCol w:w="798"/>
        <w:gridCol w:w="228"/>
        <w:gridCol w:w="228"/>
        <w:gridCol w:w="306"/>
        <w:gridCol w:w="938"/>
        <w:gridCol w:w="166"/>
        <w:gridCol w:w="146"/>
        <w:gridCol w:w="196"/>
        <w:gridCol w:w="661"/>
        <w:gridCol w:w="166"/>
        <w:gridCol w:w="146"/>
        <w:gridCol w:w="168"/>
        <w:gridCol w:w="763"/>
        <w:gridCol w:w="561"/>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 vs. 2022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vAlign w:val="center"/>
          </w:tcPr>
          <w:p>
            <w:pPr>
              <w:pStyle w:val="TableContents"/>
              <w:bidi w:val="0"/>
              <w:spacing w:before="0" w:after="283"/>
              <w:jc w:val="left"/>
              <w:rPr/>
            </w:pPr>
            <w:r>
              <w:rPr/>
              <w:t> </w:t>
            </w:r>
          </w:p>
        </w:tc>
        <w:tc>
          <w:tcPr>
            <w:tcW w:w="12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income</w:t>
            </w:r>
          </w:p>
        </w:tc>
        <w:tc>
          <w:tcPr>
            <w:tcW w:w="146" w:type="dxa"/>
            <w:tcBorders/>
            <w:shd w:fill="CFF0FC" w:val="clear"/>
            <w:vAlign w:val="center"/>
          </w:tcPr>
          <w:p>
            <w:pPr>
              <w:pStyle w:val="TableContents"/>
              <w:bidi w:val="0"/>
              <w:spacing w:before="0" w:after="283"/>
              <w:jc w:val="left"/>
              <w:rPr/>
            </w:pPr>
            <w:r>
              <w:rPr/>
              <w:t> </w:t>
            </w:r>
          </w:p>
        </w:tc>
        <w:tc>
          <w:tcPr>
            <w:tcW w:w="1104" w:type="dxa"/>
            <w:gridSpan w:val="2"/>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124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ind w:left="0" w:right="0" w:firstLine="200"/>
              <w:jc w:val="right"/>
              <w:rPr/>
            </w:pPr>
            <w:r>
              <w:rPr/>
              <w:t> </w:t>
            </w:r>
          </w:p>
        </w:tc>
      </w:tr>
      <w:tr>
        <w:trPr/>
        <w:tc>
          <w:tcPr>
            <w:tcW w:w="20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Interest income, net</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2,779</w:t>
            </w:r>
          </w:p>
        </w:tc>
        <w:tc>
          <w:tcPr>
            <w:tcW w:w="228"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3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188</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0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Gain on warrant liability</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99</w:t>
            </w:r>
          </w:p>
        </w:tc>
        <w:tc>
          <w:tcPr>
            <w:tcW w:w="228"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12,011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(11,912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(99</w:t>
            </w:r>
          </w:p>
        </w:tc>
        <w:tc>
          <w:tcPr>
            <w:tcW w:w="56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0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income, net</w:t>
            </w:r>
          </w:p>
        </w:tc>
        <w:tc>
          <w:tcPr>
            <w:tcW w:w="146" w:type="dxa"/>
            <w:tcBorders/>
            <w:shd w:fill="FFFFFF" w:val="cle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1,909</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(47,825</w:t>
            </w:r>
          </w:p>
        </w:tc>
        <w:tc>
          <w:tcPr>
            <w:tcW w:w="5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04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other income</w:t>
            </w:r>
          </w:p>
        </w:tc>
        <w:tc>
          <w:tcPr>
            <w:tcW w:w="146" w:type="dxa"/>
            <w:tcBorders/>
            <w:shd w:fill="CFF0FC" w:val="cle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4,787</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12,972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w:t>
            </w:r>
          </w:p>
        </w:tc>
        <w:tc>
          <w:tcPr>
            <w:tcW w:w="5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bl>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*NM - Not Meaningful</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Other income decreased by $8.2 million for the nine months ended September 30, 2023 as compared to the prior year period as a result of the decrease in unrealized mark-to-market gain on our outstanding private placement warrants, partially offset by increased interest income from our investments in marketable securities and increased other income related to employee retention credit refunds received during the current year.</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Income tax expense was $3 thousand for the nine months ended September 30, 2023 compared to $4.1 million in income tax benefit for the nine months ended September 30, 2022. The income tax benefit recorded during the nine months ended September 30, 2022 is due to the removal of a portion of our previously recorded valuation allowance on our net deferred tax assets associated with net deferred tax liabilities recorded as part of the acquisition of RE2, resulting in an income tax benefit recognized during the prior year period.</w:t>
      </w:r>
    </w:p>
    <w:p>
      <w:pPr>
        <w:pStyle w:val="TextBody"/>
        <w:bidi w:val="0"/>
        <w:jc w:val="both"/>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Backlog and Total Estimated Contract Value</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backlog, as of September 30, 2023, was $9.2 million, $7.4 million of which was funded and $1.8 million of which was unfunded. Our backlog is equal to our remaining performance obligations under contracts or the expected value of exercised contracts, both funded and unfunded, less revenue recognized to date. Our total estimated contract value, which combines backlog with estimated potential contract value, including unexercised options from existing firm contracts, was $19.1 million as of September 30, 2023.</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currently use cash to fund operations and capital expenditures and meet working capital requirements. As of September 30, 2023, we had $55.1 million in cash, cash equivalents and marketable securities. We believe that our cash, cash equivalents and marketable securities on hand will be sufficient to support operations, working capital and capital expenditure requirements for at least the next 12 months from the date of this Report.</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amount and timing of our future funding requirements will depend on many factors, including the pace and results of our product development efforts, our ability to develop and deliver our commercial AI/ML software platform products and thereby recognize associated revenue and capital requirements to develop our commercial AI/ML software platform prior to receiving payments sufficient to cover our costs. Any delays in the successful commercialization of our software products will negatively impact our ability to generate revenue, our profitability and our overall operating performance.</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 addition, we may enter into arrangements to acquire or invest in complementary businesses, services and technologies, which may require acquisition capital as well as operational capital for these acquisitions or arrangements. We may be required to seek additional equity or debt financing to facilitate these arrangements. In the event that additional financing is required from outside sources, we may not be able to raise it on terms acceptable to us, or at all. If we are unable to raise additional capital when desired or needed, our business, results of operations and financial condition would be materially and adversely affected.</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If additional funds are required to support our working capital requirements, for acquisitions or for other purposes, we may seek to raise funds through additional debt or equity financings or from other sources. We have taken numerous steps to manage our use of cash, including conducting the RIFs announced on July 12, 2023 and November 14, 2023, and other related actions, and believe we have sufficient capital to fund our business for at least the next 12 months without seeking additional capital. We believe we have sufficient liquidity to operate well into 2025 without the need to raise additional capital. However, we may need to seek additional financing during that time to bolster our cash reserves and increase our ability to continue to pursue our business objectives. As a result, we intend to continue monitoring our liquidity, financial and business results and outlook and market conditions, and may be opportunistic and raise capital when we consider market conditions are good or a favorable opportunity exists. Any delays in the successful commercialization and sales of our software platform will negatively impact our ability to generate revenue, our profitability and our overall operating performance and result in the need to raise additional capital sooner than expected.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additional interest expense. Additional financing may not be available at all or, if available, may not be available on terms favorable to us or that we find acceptable.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following table summarizes our cash flow data for the periods presented:</w:t>
      </w:r>
    </w:p>
    <w:p>
      <w:pPr>
        <w:pStyle w:val="TextBody"/>
        <w:bidi w:val="0"/>
        <w:jc w:val="both"/>
        <w:rPr/>
      </w:pPr>
      <w:r>
        <w:rPr/>
        <w:t> </w:t>
      </w:r>
    </w:p>
    <w:tbl>
      <w:tblPr>
        <w:tblW w:w="9812" w:type="dxa"/>
        <w:jc w:val="left"/>
        <w:tblInd w:w="0" w:type="dxa"/>
        <w:tblLayout w:type="fixed"/>
        <w:tblCellMar>
          <w:top w:w="28" w:type="dxa"/>
          <w:left w:w="28" w:type="dxa"/>
          <w:bottom w:w="28" w:type="dxa"/>
          <w:right w:w="28" w:type="dxa"/>
        </w:tblCellMar>
      </w:tblPr>
      <w:tblGrid>
        <w:gridCol w:w="3861"/>
        <w:gridCol w:w="146"/>
        <w:gridCol w:w="259"/>
        <w:gridCol w:w="876"/>
        <w:gridCol w:w="220"/>
        <w:gridCol w:w="193"/>
        <w:gridCol w:w="259"/>
        <w:gridCol w:w="995"/>
        <w:gridCol w:w="166"/>
        <w:gridCol w:w="146"/>
        <w:gridCol w:w="196"/>
        <w:gridCol w:w="691"/>
        <w:gridCol w:w="166"/>
        <w:gridCol w:w="146"/>
        <w:gridCol w:w="233"/>
        <w:gridCol w:w="698"/>
        <w:gridCol w:w="561"/>
      </w:tblGrid>
      <w:tr>
        <w:trPr/>
        <w:tc>
          <w:tcPr>
            <w:tcW w:w="3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8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 vs. 2022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1135" w:type="dxa"/>
            <w:gridSpan w:val="2"/>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125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ind w:left="0" w:right="0" w:firstLine="200"/>
              <w:jc w:val="right"/>
              <w:rPr/>
            </w:pPr>
            <w:r>
              <w:rPr/>
              <w:t> </w:t>
            </w:r>
          </w:p>
        </w:tc>
      </w:tr>
      <w:tr>
        <w:trPr/>
        <w:tc>
          <w:tcPr>
            <w:tcW w:w="38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(60,123</w:t>
            </w:r>
          </w:p>
        </w:tc>
        <w:tc>
          <w:tcPr>
            <w:tcW w:w="22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3"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(44,448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(15,675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38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cash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60,345</w:t>
            </w:r>
          </w:p>
        </w:tc>
        <w:tc>
          <w:tcPr>
            <w:tcW w:w="220"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(149,429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209,774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(140</w:t>
            </w:r>
          </w:p>
        </w:tc>
        <w:tc>
          <w:tcPr>
            <w:tcW w:w="56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38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cash used in financing activities</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3"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(99</w:t>
            </w:r>
          </w:p>
        </w:tc>
        <w:tc>
          <w:tcPr>
            <w:tcW w:w="5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8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increase (decrease) in cash, cash equivalents</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151</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(200,985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201,136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(100</w:t>
            </w:r>
          </w:p>
        </w:tc>
        <w:tc>
          <w:tcPr>
            <w:tcW w:w="5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bl>
    <w:p>
      <w:pPr>
        <w:pStyle w:val="TextBody"/>
        <w:bidi w:val="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Net Cash Used in Operating Activities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Cash flows used in operating activities during the nine months ended September 30, 2023 increased by $15.7 million to $60.1 million from $44.4 million during the same period in 2022. The increase to net cash used in operating activities was primarily attributable to a $14.3 million increase to net loss, a net increase of $4.2 million in non-cash expenses driven mainly by increases in asset write-down expenses and decreased gains on warrant liability revaluation, offset partially by decreased stock-based compensation. Additionally, net</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cash used in operating activities related to changes in operating assets and liabilities increased by $5.6 million, driven mainly by increased inventory purchases.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i/>
          <w:color w:val="000000"/>
          <w:sz w:val="20"/>
        </w:rPr>
        <w:t>Net Cash Provided by (Used in) Investing Activities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net cash provided by investing activities during the nine months ended September 30, 2023 increased by $209.8 million. The increase in cash provided by investing activities is predominantly due to $61.4 million of maturities of marketable securities, net of purchases, during the nine months ended September 30, 2023, as compared to the $118.7 million of purchase of marketable securities, net of maturities, and $29.7 million of net cash that was included as part of the purchase consideration for the RE2 acquisition during the nine months ended September 30, 2022.</w:t>
      </w:r>
    </w:p>
    <w:p>
      <w:pPr>
        <w:pStyle w:val="TextBody"/>
        <w:bidi w:val="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Net Cash Used In Financing Activities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net cash used in financing activities during the nine months ended September 30, 2023 decreased by $7.0 million as compared to the prior year period. The decrease in financing activities was mainly due to a $7.6 million decrease in funds used to repurchase shares of common stock that were withheld for payment of tax withholding obligations upon the vesting of equity awards.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we have total annual gross revenue of $1.235 billion or more during such fiscal year (as indexed for inflation), (iii) the date on which we have issued more than $1 billion in non-convertible debt in the prior three-year period or (iv) December 31, 2025,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There have been no material changes to our critical accounting policies or estimates as disclosed in our Annual Report on Form 10-K for the year ended December 31, 2022.</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See Note 1, Basis of Presentation and Summary of Significant Accounting Policies, to our unaudited interim condensed consolidated financial statements included elsewhere in this Report for recently adopted accounting pronouncements and recently issued accounting pronouncements not yet adopted as of the date of this Report.</w:t>
      </w:r>
    </w:p>
    <w:p>
      <w:pPr>
        <w:pStyle w:val="TextBody"/>
        <w:bidi w:val="0"/>
        <w:spacing w:before="200" w:after="283"/>
        <w:jc w:val="left"/>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are a smaller reporting company as defined by Rule 12b-2 of the Exchange Act and are not required to provide the information otherwise required under this item.</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Evaluation of Disclosure Controls and Procedures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 rules and forms. Disclosure controls are also designed with the objective of ensuring that such information is accumulated and communicated to our management, including the principa</w:t>
      </w:r>
      <w:r>
        <w:rPr>
          <w:rFonts w:ascii="Times New Roman" w:hAnsi="Times New Roman"/>
          <w:sz w:val="20"/>
        </w:rPr>
        <w:t>l</w:t>
      </w:r>
      <w:r>
        <w:rPr>
          <w:rFonts w:ascii="Times New Roman" w:hAnsi="Times New Roman"/>
          <w:color w:val="000000"/>
          <w:sz w:val="20"/>
        </w:rPr>
        <w:t xml:space="preserve"> </w:t>
      </w:r>
      <w:r>
        <w:rPr>
          <w:rFonts w:ascii="Times New Roman" w:hAnsi="Times New Roman"/>
          <w:b w:val="false"/>
          <w:color w:val="000000"/>
          <w:sz w:val="20"/>
        </w:rPr>
        <w:t>executive officer and principa</w:t>
      </w:r>
      <w:r>
        <w:rPr>
          <w:rFonts w:ascii="Times New Roman" w:hAnsi="Times New Roman"/>
          <w:sz w:val="20"/>
        </w:rPr>
        <w:t>l</w:t>
      </w:r>
      <w:r>
        <w:rPr>
          <w:rFonts w:ascii="Times New Roman" w:hAnsi="Times New Roman"/>
          <w:color w:val="000000"/>
          <w:sz w:val="20"/>
        </w:rPr>
        <w:t xml:space="preserve"> </w:t>
      </w:r>
      <w:r>
        <w:rPr>
          <w:rFonts w:ascii="Times New Roman" w:hAnsi="Times New Roman"/>
          <w:b w:val="false"/>
          <w:color w:val="000000"/>
          <w:sz w:val="20"/>
        </w:rPr>
        <w:t>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the end of the fiscal quarter ended September 30, 2023, pursuant to Rule 13a-15(b) under the Exchange Act. Based upon that evaluation, our Certifying Officers concluded that our disclosure controls and procedures were effective as of September 30, 2023.</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Changes in Internal Control over Financial Reporting</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There was no change in our internal control over financial reporting that occurred during the fiscal quarter ended September 30, 2023 covered by this Report that has materially affected, or is reasonably likely to materially affect, our internal control over financial reporting.</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360" w:after="283"/>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You should carefully consider the following risk factors, in addition to the other information contained in this Report, including “Management’s Discussion and Analysis of Financial Condition and Results of Operations” and our unaudited condensed consolidated financial statements and related notes. If any of the events described in the following risk factors and the risks described elsewhere in this Report occurs, our business, operating results and financial condition could be materially harmed. This Report also contains forward-looking statements that involve risks and uncertainties. Our actual results could differ materially from those anticipated in the forward-looking statements as a result of factors that are described below and elsewhere in this Report or other risks that we currently deem immaterial or that may be unknown to us. References in this Item 1A Risk Factors to financial information as of dates prior to or for periods ended on or prior to April 25, 2022, do not include the financial information of RE2 as of those dates or for those periods.</w:t>
      </w:r>
    </w:p>
    <w:p>
      <w:pPr>
        <w:pStyle w:val="TextBody"/>
        <w:bidi w:val="0"/>
        <w:jc w:val="both"/>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jc w:val="both"/>
        <w:rPr>
          <w:rFonts w:ascii="Times New Roman" w:hAnsi="Times New Roman"/>
          <w:b/>
          <w:i/>
          <w:color w:val="000000"/>
          <w:sz w:val="20"/>
        </w:rPr>
      </w:pPr>
      <w:r>
        <w:rPr>
          <w:rFonts w:ascii="Times New Roman" w:hAnsi="Times New Roman"/>
          <w:b/>
          <w:i/>
          <w:color w:val="000000"/>
          <w:sz w:val="20"/>
        </w:rPr>
        <w:t>We are an early stage company with a history of losses, and expect to incur significant expenses for the foreseeable future.</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incurred a net loss of $79.1 million for the nine months ended September 30, 2023, and a net loss of $157.1 million for the year ended December 31, 2022. We believe that we will continue to incur operating and net losses until 2025 at the earliest. Even if we are able to successfully develop our AI/ML software platform and attract customers for commercial sales, we may not become profitable. Our potential profitability is dependent upon the successful development and successful commercial introduction and adoption on a large scale of our AI/ML software platform and our ability to lower costs as we achieve economies of scale, none of which may occur.</w:t>
      </w:r>
    </w:p>
    <w:p>
      <w:pPr>
        <w:pStyle w:val="TextBody"/>
        <w:bidi w:val="0"/>
        <w:jc w:val="both"/>
        <w:rPr>
          <w:rFonts w:ascii="Times New Roman" w:hAnsi="Times New Roman"/>
          <w:sz w:val="20"/>
        </w:rPr>
      </w:pPr>
      <w:r>
        <w:rPr>
          <w:rFonts w:ascii="Times New Roman" w:hAnsi="Times New Roman"/>
          <w:b w:val="false"/>
          <w:color w:val="000000"/>
          <w:sz w:val="20"/>
        </w:rPr>
        <w:t>We expect that we will continue to incur losses in future periods as we:</w:t>
      </w:r>
      <w:r>
        <w:rPr>
          <w:rFonts w:ascii="Times New Roman" w:hAnsi="Times New Roman"/>
          <w:color w:val="000000"/>
          <w:sz w:val="20"/>
        </w:rPr>
        <w:t xml:space="preserve"> </w:t>
      </w:r>
    </w:p>
    <w:p>
      <w:pPr>
        <w:pStyle w:val="TextBody"/>
        <w:bidi w:val="0"/>
        <w:spacing w:before="120" w:after="283"/>
        <w:jc w:val="both"/>
        <w:rPr>
          <w:caps/>
          <w:color w:val="000000"/>
        </w:rPr>
      </w:pPr>
      <w:r>
        <w:rPr>
          <w:caps/>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continue to design, develop and commercialize our AI/ML software platform;</w:t>
      </w:r>
    </w:p>
    <w:p>
      <w:pPr>
        <w:pStyle w:val="TextBody"/>
        <w:bidi w:val="0"/>
        <w:spacing w:before="120" w:after="283"/>
        <w:jc w:val="both"/>
        <w:rPr>
          <w:caps/>
          <w:color w:val="000000"/>
        </w:rPr>
      </w:pPr>
      <w:r>
        <w:rPr>
          <w:caps/>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continue to utilize and develop potential new relationships with third-party partners for software design and development;</w:t>
      </w:r>
    </w:p>
    <w:p>
      <w:pPr>
        <w:pStyle w:val="TextBody"/>
        <w:bidi w:val="0"/>
        <w:spacing w:before="120" w:after="283"/>
        <w:jc w:val="both"/>
        <w:rPr>
          <w:caps/>
          <w:color w:val="000000"/>
        </w:rPr>
      </w:pPr>
      <w:r>
        <w:rPr>
          <w:caps/>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conduct our sales and marketing activities and develop our sales infrastructure; </w:t>
      </w:r>
    </w:p>
    <w:p>
      <w:pPr>
        <w:pStyle w:val="TextBody"/>
        <w:bidi w:val="0"/>
        <w:spacing w:before="120" w:after="283"/>
        <w:jc w:val="both"/>
        <w:rPr>
          <w:caps/>
          <w:color w:val="000000"/>
        </w:rPr>
      </w:pPr>
      <w:r>
        <w:rPr>
          <w:caps/>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develop and enhance our AI/ML software platform;</w:t>
      </w:r>
    </w:p>
    <w:p>
      <w:pPr>
        <w:pStyle w:val="TextBody"/>
        <w:bidi w:val="0"/>
        <w:spacing w:before="120" w:after="283"/>
        <w:jc w:val="both"/>
        <w:rPr>
          <w:caps/>
          <w:color w:val="000000"/>
        </w:rPr>
      </w:pPr>
      <w:r>
        <w:rPr>
          <w:caps/>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develop and expand our technology infrastructure and cybersecurity measures, policies and controls; and </w:t>
      </w:r>
    </w:p>
    <w:p>
      <w:pPr>
        <w:pStyle w:val="TextBody"/>
        <w:bidi w:val="0"/>
        <w:spacing w:before="120" w:after="283"/>
        <w:jc w:val="both"/>
        <w:rPr>
          <w:caps/>
          <w:color w:val="000000"/>
        </w:rPr>
      </w:pPr>
      <w:r>
        <w:rPr>
          <w:caps/>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maintain our general and administrative functions and systems to support our operations and to operate as a publicly-traded company.</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Because we will incur costs and expenses from these efforts before we receive incremental revenue with respect thereto and because we are still developing our AI/ML software platform, we expect that our losses in future periods will continue to be significant until we start to achieve significant subscription revenue and associated revenue. In addition, we may find that these efforts are more expensive than we currently anticipate or that these efforts may result in less than expected or no additional revenue, which would further increase our losses. Further, the shift in product development and commercialization strategy to focus on our AI/ML software platform in November 2023 has affected the timing of when we expect to generate revenue and has made forecasting our quarterly and annual results more challenging.</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Due to our limited resources and access to capital, we must make decisions on the allocation of resources and have discontinued development and commercialization of certain products; these decisions may prove to be wrong and may adversely affect our business.</w:t>
      </w:r>
    </w:p>
    <w:p>
      <w:pPr>
        <w:pStyle w:val="TextBody"/>
        <w:bidi w:val="0"/>
        <w:jc w:val="both"/>
        <w:rPr>
          <w:rFonts w:ascii="Times New Roman" w:hAnsi="Times New Roman"/>
          <w:sz w:val="20"/>
        </w:rPr>
      </w:pPr>
      <w:r>
        <w:rPr>
          <w:rFonts w:ascii="Times New Roman" w:hAnsi="Times New Roman"/>
          <w:b w:val="false"/>
          <w:color w:val="000000"/>
          <w:sz w:val="20"/>
        </w:rPr>
        <w:t>We have limited financial and human resources and as a result, we may forgo or delay pursuit of opportunities with other product candidates that might have had greater commercial potential or a greater likelihood of success. For example, on November 14, 2023, we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announced a pivot in strategy to focus on the development of our commercial AI/ML software platform. After continued deep analysis of our business and careful consideration of our hardware product’s development costs and market opportunity, and of our available resources, we concluded that focusing on our AI/ML software platform meets our previously announced goal of pursuing significant near-term revenue tied to acute customer needs and reduces our capital requirements and related risks in line with available resources. However, this strategy may not prove to be effective. Moreover, we may be unable to monetize assets relating to discontinued products or further reduce expenses.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expect this will be a complex, evolving, and long-term initiative that will involve the development of new and emerging technologies, continued investment, including in privacy, safety and security efforts, and potential collaborations with other companies, developers, partners and other participants. However, our AI/ML software platform may not develop in accordance with our expectations and market acceptance of the platform is uncertain. We regularly evaluate our product roadmaps and make significant changes as our understanding of the technological challenges and market landscape and our product ideas and designs evolve. In addition, we have no experience with commercializing an AI/ML software platform, which may enable other companies to compete more effectively than us. We may be unsuccessful in our research and product development efforts.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 addition, as we develop and commercialize our AI/ML software platform, we may become subject to a variety of existing or new laws and regulations in the United States and international jurisdictions, including in the areas of privacy, security, safety, competition and consumer protection, which may delay or impede the development of our AI/ML software platform, increase our operating costs, require significant management time and attention or otherwise harm our business. As a result of these or other factors, our product strategy may not be successful in the foreseeable future, or at all, which could adversely affect our business, reputation, or financial results.</w:t>
      </w:r>
    </w:p>
    <w:p>
      <w:pPr>
        <w:pStyle w:val="TextBody"/>
        <w:bidi w:val="0"/>
        <w:jc w:val="both"/>
        <w:rPr>
          <w:rFonts w:ascii="Times New Roman" w:hAnsi="Times New Roman"/>
          <w:sz w:val="20"/>
        </w:rPr>
      </w:pPr>
      <w:r>
        <w:rPr>
          <w:rFonts w:ascii="Times New Roman" w:hAnsi="Times New Roman"/>
          <w:b/>
          <w:i/>
          <w:color w:val="000000"/>
          <w:sz w:val="20"/>
        </w:rPr>
        <w:t>Our operating and financial projections rely on management assumptions and analyses. If these assumptions or analyses prove to be incorrect, our actual operating results may be materially different from our forecasted results.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20"/>
        </w:rPr>
        <w:t>We are a development stage company, with no experience commercializing software products. Our projected financial and operating information reflect estimates of future performance and are based on multiple business, financial, technical and operational assumptions, including product strategy, timely hiring or retention of needed personnel, timing of commercial launch of our AI/ML software platform, the level of demand for our software platform, the size of our target markets, the performance of our software platform, the utilization of the platform, product pricing and the nature and length of the sales cycle. However, given our limited commercial experience, many of these assumptions may prove to be incorrect. Projections and other statements about future expectations are forward-looking statements that are inherently subject to significant risks, uncertainties and contingencies, many of which are beyond our control (in addition to the information contained in these Risk Factors, see “</w:t>
      </w:r>
      <w:r>
        <w:rPr>
          <w:rFonts w:ascii="Times New Roman" w:hAnsi="Times New Roman"/>
          <w:b w:val="false"/>
          <w:i/>
          <w:color w:val="000000"/>
          <w:sz w:val="20"/>
        </w:rPr>
        <w:t>Special Note Regarding Forward-Looking Statements</w:t>
      </w:r>
      <w:r>
        <w:rPr>
          <w:rFonts w:ascii="Times New Roman" w:hAnsi="Times New Roman"/>
          <w:color w:val="000000"/>
          <w:sz w:val="20"/>
        </w:rPr>
        <w:t xml:space="preserve">” </w:t>
      </w:r>
      <w:r>
        <w:rPr>
          <w:rFonts w:ascii="Times New Roman" w:hAnsi="Times New Roman"/>
          <w:b w:val="false"/>
          <w:i/>
          <w:color w:val="000000"/>
          <w:sz w:val="20"/>
        </w:rPr>
        <w:t xml:space="preserve">and </w:t>
      </w:r>
      <w:r>
        <w:rPr>
          <w:rFonts w:ascii="Times New Roman" w:hAnsi="Times New Roman"/>
          <w:color w:val="000000"/>
          <w:sz w:val="20"/>
        </w:rPr>
        <w:t>“</w:t>
      </w:r>
      <w:r>
        <w:rPr>
          <w:rFonts w:ascii="Times New Roman" w:hAnsi="Times New Roman"/>
          <w:b w:val="false"/>
          <w:i/>
          <w:color w:val="000000"/>
          <w:sz w:val="20"/>
        </w:rPr>
        <w:t>Management’s Discussion and Analysis of Financial Condition and Results of Operations</w:t>
      </w:r>
      <w:r>
        <w:rPr>
          <w:rFonts w:ascii="Times New Roman" w:hAnsi="Times New Roman"/>
          <w:color w:val="000000"/>
          <w:sz w:val="20"/>
        </w:rPr>
        <w:t>”</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jc w:val="both"/>
        <w:rPr>
          <w:rFonts w:ascii="Times New Roman" w:hAnsi="Times New Roman"/>
          <w:b/>
          <w:i/>
          <w:color w:val="000000"/>
          <w:sz w:val="20"/>
        </w:rPr>
      </w:pPr>
      <w:r>
        <w:rPr>
          <w:rFonts w:ascii="Times New Roman" w:hAnsi="Times New Roman"/>
          <w:b/>
          <w:i/>
          <w:color w:val="000000"/>
          <w:sz w:val="20"/>
        </w:rPr>
        <w:t>We have yet to achieve positive operating cash flow, and our ability to generate positive cash flow is uncertain.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We had negative cash flow from operating activities of $65.4 million and $42.1 million for the years ended December 31, 2022 and 2021, respectively, and negative cash flow from operating activities of $60.1 million for the nine months ended September 30, 2023. We expect to continue to have negative cash flow from operating and investing activities until 2025 at the earliest as we expect to incur research and development, sales and marketing, and general and administrative expenses and make capital expenditures in our efforts to commercialize our AI/ML software platform, increase sales and engage in continuous development work. We may not achieve positive cash flow in the near future or at all. Our business also will at times require significant amounts of working capital to support the growth of additional products. An inability to generate positive cash flow for the near term may adversely affect our ability to raise capital for our business on reasonable terms, pursue our business objectives, diminish customer willingness to enter into transactions with us and have other adverse effects that may decrease our long-term viability.</w:t>
      </w:r>
      <w:r>
        <w:rPr>
          <w:rFonts w:ascii="Times New Roman" w:hAnsi="Times New Roman"/>
          <w:color w:val="000000"/>
          <w:sz w:val="20"/>
        </w:rPr>
        <w:t xml:space="preserve"> </w:t>
      </w:r>
    </w:p>
    <w:p>
      <w:pPr>
        <w:pStyle w:val="TextBody"/>
        <w:bidi w:val="0"/>
        <w:jc w:val="both"/>
        <w:rPr>
          <w:rFonts w:ascii="Times New Roman" w:hAnsi="Times New Roman"/>
          <w:b/>
          <w:i/>
          <w:color w:val="000000"/>
          <w:sz w:val="20"/>
        </w:rPr>
      </w:pPr>
      <w:r>
        <w:rPr>
          <w:rFonts w:ascii="Times New Roman" w:hAnsi="Times New Roman"/>
          <w:b/>
          <w:i/>
          <w:color w:val="000000"/>
          <w:sz w:val="20"/>
        </w:rPr>
        <w:t>We have no previous history or experience with commercializing software products and may not be able to do so efficiently or effectively.</w:t>
      </w:r>
    </w:p>
    <w:p>
      <w:pPr>
        <w:pStyle w:val="TextBody"/>
        <w:bidi w:val="0"/>
        <w:jc w:val="both"/>
        <w:rPr>
          <w:rFonts w:ascii="Times New Roman" w:hAnsi="Times New Roman"/>
          <w:sz w:val="20"/>
        </w:rPr>
      </w:pPr>
      <w:r>
        <w:rPr>
          <w:rFonts w:ascii="Times New Roman" w:hAnsi="Times New Roman"/>
          <w:b w:val="false"/>
          <w:color w:val="000000"/>
          <w:sz w:val="20"/>
        </w:rPr>
        <w:t>We have no previous history or experience commercializing AI/ML software products or platforms and may not be able to do so efficiently or effectively. Moreover, commercialization may be delayed due to the challenges discussed under “Commercialization of our AI/ML software platform may be delayed beyond our current expectations and therefore initial availability to customers and receipt of anticipated revenue could be delayed.” A key element of our long-term business strategy involves sales, marketing, training, and customer service operations, including hiring personnel with the necessary experience. Managing and maintaining these operations is expensive and time consuming, and an inability to leverage such an organization effectively or at all could inhibit potential sales and the penetration and adoption of our AI/ML software platform into new markets. In addition, certain decisions we make regarding priorities and staffing in these areas in our efforts to responsibly manage our financial resources could have unintended negative effects on our revenue, such as by weakening the sales and marketing infrastructures or lowering the quality of customer service.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Commercialization of our AI/ML software platform may be delayed beyond our current expectations and therefore initial availability to customers and receipt of anticipated revenue could be delayed.</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As a result of our recently announced pivot in business strategy, we are focusing our efforts on the development and commercialization of our AI/ML software platform. If product testing, production or customer use demonstrate that our AI/ML software platform does not deliver the performance, reliability, functionality and/or safety that we or our potential customers expect, release of a commercial AI/ML software platform product and therefore availability to customers may be delayed as we work to address the deficiencies. If we experience delays in the commercial release of our software platform, our results of operations and financial condition would be further adversely affected, perhaps materially. In addition, delays in developing and releasing an AI/ML software platform with the performance, reliability and/or safety we and our potential customers are expecting could materially harm our operations and lead potential customers to seek alternative solutions.</w:t>
      </w:r>
    </w:p>
    <w:p>
      <w:pPr>
        <w:pStyle w:val="TextBody"/>
        <w:bidi w:val="0"/>
        <w:jc w:val="both"/>
        <w:rPr>
          <w:rFonts w:ascii="Times New Roman" w:hAnsi="Times New Roman"/>
          <w:sz w:val="20"/>
        </w:rPr>
      </w:pPr>
      <w:r>
        <w:rPr>
          <w:rFonts w:ascii="Times New Roman" w:hAnsi="Times New Roman"/>
          <w:b w:val="false"/>
          <w:color w:val="000000"/>
          <w:sz w:val="20"/>
        </w:rPr>
        <w:t>Moreover, our current estimates for completion of our AI/ML software platform development efforts and the commencement of sales of the platform to potential customers are dependent in part on our ability to hire and retain qualified employees. In addition, we have seen a significant increase in personnel costs due to shortages of qualified personnel in the labor market and general inflationary pressures. Geopolitical events and macro-economic conditions, such as the continuing effects of the COVID-19 pandemic, the current conflicts between Russia and Ukraine and between Israel and Hamas, inflation and high interest rates, and responses thereto are also contributing to price increases. Over the past year we have experienced, and we continue to experience, these challenges, which have negatively impacted our product development schedules and progress. We expect these challenges to continue and, if they do and if we are unable to effectively mitigate their impact, it is likely that we will be unable to meet our currently expected timelines.</w:t>
      </w:r>
      <w:r>
        <w:rPr>
          <w:rFonts w:ascii="Times New Roman" w:hAnsi="Times New Roman"/>
          <w:color w:val="000000"/>
          <w:sz w:val="20"/>
        </w:rPr>
        <w:t xml:space="preserve"> </w:t>
      </w:r>
    </w:p>
    <w:p>
      <w:pPr>
        <w:pStyle w:val="TextBody"/>
        <w:bidi w:val="0"/>
        <w:jc w:val="both"/>
        <w:rPr>
          <w:rFonts w:ascii="Times New Roman" w:hAnsi="Times New Roman"/>
          <w:b/>
          <w:i/>
          <w:color w:val="000000"/>
          <w:sz w:val="20"/>
        </w:rPr>
      </w:pPr>
      <w:r>
        <w:rPr>
          <w:rFonts w:ascii="Times New Roman" w:hAnsi="Times New Roman"/>
          <w:b/>
          <w:i/>
          <w:color w:val="000000"/>
          <w:sz w:val="20"/>
        </w:rPr>
        <w:t>Our revenue will be concentrated in our AI/ML software platform for the foreseeable future.</w:t>
      </w:r>
    </w:p>
    <w:p>
      <w:pPr>
        <w:pStyle w:val="TextBody"/>
        <w:bidi w:val="0"/>
        <w:jc w:val="both"/>
        <w:rPr>
          <w:rFonts w:ascii="Times New Roman" w:hAnsi="Times New Roman"/>
          <w:sz w:val="20"/>
        </w:rPr>
      </w:pPr>
      <w:r>
        <w:rPr>
          <w:rFonts w:ascii="Times New Roman" w:hAnsi="Times New Roman"/>
          <w:b w:val="false"/>
          <w:color w:val="000000"/>
          <w:sz w:val="20"/>
        </w:rPr>
        <w:t>If we are successful in commercializing our AI/ML software platform, our revenue will be concentrated in this product for the foreseeable future. We will need to continue to develop our platform and establish and grow our customer base to diversify our revenue and customers. To the extent our AI/ML software platform does not meet customer expectations, or cannot be completed or released on its projected timelines and in line with cost targets, our future revenue and operating results will be adversely affected.</w:t>
      </w:r>
      <w:r>
        <w:rPr>
          <w:rFonts w:ascii="Times New Roman" w:hAnsi="Times New Roman"/>
          <w:color w:val="000000"/>
          <w:sz w:val="20"/>
        </w:rPr>
        <w:t xml:space="preserve"> </w:t>
      </w:r>
    </w:p>
    <w:p>
      <w:pPr>
        <w:pStyle w:val="TextBody"/>
        <w:bidi w:val="0"/>
        <w:jc w:val="both"/>
        <w:rPr>
          <w:rFonts w:ascii="Times New Roman" w:hAnsi="Times New Roman"/>
          <w:b/>
          <w:i/>
          <w:color w:val="000000"/>
          <w:sz w:val="20"/>
        </w:rPr>
      </w:pPr>
      <w:r>
        <w:rPr>
          <w:rFonts w:ascii="Times New Roman" w:hAnsi="Times New Roman"/>
          <w:b/>
          <w:i/>
          <w:color w:val="000000"/>
          <w:sz w:val="20"/>
        </w:rPr>
        <w:t>With our AI/ML software platform still under development, customer trials and discussions may not result in binding subscriptions.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AI/ML software platform is still under development. At present, we have revenue generating contracts with U.S. government customers for the development and testing of AI/ML software, but no commercial customers. Our AI/ML software platform contains complex technology that we have developed over many years. The design of our software products is significantly influenced by feedback from potential customers and reflects the needs they express. Even if we are able to successfully incorporate that feedback into our software platform, customers who initially expressed an interest in our software products during the design phase may not ever purchase the software.</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have limited knowledge of the customer testing that will be required for customers to adopt our software platform. As a result, customer testing may take longer than anticipated by us, and we may not be able to provide such testing to the satisfaction of prospective customers, which could result in longer sales cycles and fewer subscriptions than anticipated. We may not be able to adapt our platform to reflect customer feedback successfully or at all. If customers who initially express an interest in our software platform and influenced its design ultimately do not enter into binding subscriptions, or if they adopt a competitors’ technology, our business, prospects, financial condition and operating results would be adversely affected.</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 addition, to build and maintain our business, we must maintain confidence among customers, analysts, ratings agencies and other parties in our AI/ML software platform product, long-term financial viability and business prospects. Maintaining such confidence may be particularly complicated by certain factors including those that are largely outside of our control, such as our limited commercial software experience, customer unfamiliarity with our software, any delays in development to meet demand, product performance, competition and uncertainty regarding the future of robotics. If we do not generate sufficient binding subscriptions for our software platform, our business, prospects, financial condition and operating results would be materially and adversely affected.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our target markets and the robotics industry do not continue to develop as we anticipate or if potential customers do not adopt our AI/ML software platform, our sales will not grow as quickly as expected, or at all, and our business, operating results and financial condition would be harmed.</w:t>
      </w:r>
    </w:p>
    <w:p>
      <w:pPr>
        <w:pStyle w:val="TextBody"/>
        <w:bidi w:val="0"/>
        <w:jc w:val="both"/>
        <w:rPr>
          <w:rFonts w:ascii="Times New Roman" w:hAnsi="Times New Roman"/>
          <w:sz w:val="20"/>
        </w:rPr>
      </w:pPr>
      <w:r>
        <w:rPr>
          <w:rFonts w:ascii="Times New Roman" w:hAnsi="Times New Roman"/>
          <w:b w:val="false"/>
          <w:color w:val="000000"/>
          <w:sz w:val="20"/>
        </w:rPr>
        <w:t>The market for our AI/ML software platform and applications similar to what we are developing is relatively new and evolving. We are developing our AI/ML software platform to respond to an increasingly global and complex business environment with rigorous regulatory standards. If organizations do not allocate their budgets as we expect or if we do not succeed in convincing potential customers to subscribe to our AI/ML software platform, our sales might not grow as quickly as anticipated, or at all. Economic uncertainty or future deterioration in general economic conditions might also cause our customers to cut or delay their spending, and such cuts might</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disproportionately affect businesses like ours to the extent customers view our AI/ML software platform as too costly or as discretionary. Moreover, market acceptance of our AI/ML software platform is critical to our continued success. Even if the market grows as expected, if potential customers do not adopt our AI/ML software platform, our business, operating results, financial condition and growth prospects will be materially and adversely affected.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we are unable to introduce and successfully implement enhancements, new features or modifications to our AI/ML software platform, our business would be harmed.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If we are unable to introduce and successfully implement new applications, enhancements or features, or fail to develop new applications that achieve market acceptance or that keep pace with rapid technological developments, our business, operating results, financial condition and growth prospects would be adversely affected. The success of enhancements and new applications depend on several factors, including timely completion, introduction and market acceptance.</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must continue to meet changing expectations and requirements of our customers. Any failure of our platform to operate effectively with future software, such as third-party robotic operating systems, and technologies or to evolve and scale to address the changing needs of our customers could reduce the demand for our platform or result in customer dissatisfaction. Further, uncertainties about the timing and nature of new software or technologies, or modifications to our platform or existing software or technologies, could increase our research and development expenses. If we are not successful in developing modifications and enhancements to our platform or if we fail to introduce new applications to market in a timely fashion, our AI/ML software platform might become less marketable, less competitive or obsolete, our revenue growth might be significantly impaired and our business, operating results and financial condition could be harmed.</w:t>
      </w:r>
    </w:p>
    <w:p>
      <w:pPr>
        <w:pStyle w:val="TextBody"/>
        <w:bidi w:val="0"/>
        <w:jc w:val="both"/>
        <w:rPr>
          <w:rFonts w:ascii="Times New Roman" w:hAnsi="Times New Roman"/>
          <w:b/>
          <w:i/>
          <w:color w:val="000000"/>
          <w:sz w:val="20"/>
        </w:rPr>
      </w:pPr>
      <w:r>
        <w:rPr>
          <w:rFonts w:ascii="Times New Roman" w:hAnsi="Times New Roman"/>
          <w:b/>
          <w:i/>
          <w:color w:val="000000"/>
          <w:sz w:val="20"/>
        </w:rPr>
        <w:t>We may fail to attract or retain customers at sufficient rates or at all.</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have no previous history or experience commercializing software products and may not be able to do so efficiently or effectively. To create and grow our customer base, we must obtain subscriptions from new customers, which we may not be able to do in sufficient numbers or at all. Even if we are able to attract customers, these customers may not maintain a high level of commitment to our software platform. In addition, we will incur marketing, sales or other expenses, including referral fees, to attract new customers, which will offset revenue from such customers. For these and other reasons, we could fail to achieve revenue growth, which would adversely affect our results of operations, prospects and financial condition.</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expect our AI/ML software platform to be used with robots operating in a wide variety of environments and for a broad range of complex uses. Our success depends on our ability, and the ability of our customers, to implement our AI/ML software platform successfully in these environments. Customer retention will also be largely dependent on the quality and effectiveness of our customer service operations, which may be handled internally by our personnel and also by third-party service providers. We expect that we will need to often assist our customers in implementing our AI/ML software platform. If we or our customers are unable to implement our AI/ML software platform successfully, or are unable to do so in a timely manner, inadequate performance might result and customer perceptions of our platform and company might be impaired, our reputation and brand might suffer, we may face legal claims, customers might choose not to renew or expand the use of our platform and we might lose opportunities for additional sales.</w:t>
      </w:r>
    </w:p>
    <w:p>
      <w:pPr>
        <w:pStyle w:val="TextBody"/>
        <w:bidi w:val="0"/>
        <w:jc w:val="both"/>
        <w:rPr>
          <w:rFonts w:ascii="Times New Roman" w:hAnsi="Times New Roman"/>
          <w:b/>
          <w:i/>
          <w:color w:val="000000"/>
          <w:sz w:val="20"/>
        </w:rPr>
      </w:pPr>
      <w:r>
        <w:rPr>
          <w:rFonts w:ascii="Times New Roman" w:hAnsi="Times New Roman"/>
          <w:b/>
          <w:i/>
          <w:color w:val="000000"/>
          <w:sz w:val="20"/>
        </w:rPr>
        <w:t>We do not have any history with our SaaS sales model.</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have no experience with selling software through a SaaS sales subscription model, and we expect to offer SaaS subscriptions for our AI/ML software platform. The success of our strategy to build recurring revenue streams through our SaaS subscription model depends on our ability to successfully market our software platform and the benefits to customers of the SaaS subscription model and to successfully develop a network of ongoing customers for our SaaS revenue model. Customers may also not perceive benefits to the SaaS subscription model in the context of our platform. The likelihood of our success must be considered in light of these risks, and our SaaS subscription model may not prove successful.</w:t>
      </w:r>
    </w:p>
    <w:p>
      <w:pPr>
        <w:pStyle w:val="TextBody"/>
        <w:bidi w:val="0"/>
        <w:jc w:val="left"/>
        <w:rPr>
          <w:rFonts w:ascii="Times New Roman" w:hAnsi="Times New Roman"/>
          <w:sz w:val="20"/>
        </w:rPr>
      </w:pPr>
      <w:r>
        <w:rPr>
          <w:rFonts w:ascii="Times New Roman" w:hAnsi="Times New Roman"/>
          <w:b w:val="false"/>
          <w:color w:val="000000"/>
          <w:sz w:val="20"/>
        </w:rPr>
        <w:t>In addition, our competitors may offer different subscription or pricing models that may be more attractive to potential customers. We may be required to adjust our sales model in response to these changes, which could adversely affect our financial performance.</w:t>
      </w:r>
      <w:r>
        <w:rPr>
          <w:rFonts w:ascii="Times New Roman" w:hAnsi="Times New Roman"/>
          <w:color w:val="000000"/>
          <w:sz w:val="20"/>
        </w:rPr>
        <w:t xml:space="preserve"> </w:t>
      </w:r>
    </w:p>
    <w:p>
      <w:pPr>
        <w:pStyle w:val="TextBody"/>
        <w:bidi w:val="0"/>
        <w:jc w:val="both"/>
        <w:rPr>
          <w:rFonts w:ascii="Times New Roman" w:hAnsi="Times New Roman"/>
          <w:b/>
          <w:i/>
          <w:color w:val="000000"/>
          <w:sz w:val="20"/>
        </w:rPr>
      </w:pPr>
      <w:r>
        <w:rPr>
          <w:rFonts w:ascii="Times New Roman" w:hAnsi="Times New Roman"/>
          <w:b/>
          <w:i/>
          <w:color w:val="000000"/>
          <w:sz w:val="20"/>
        </w:rPr>
        <w:t>Important assumptions about market demand, pricing, adoption rates and sales cycles for our future software products may be inaccurate.</w:t>
      </w:r>
    </w:p>
    <w:p>
      <w:pPr>
        <w:pStyle w:val="TextBody"/>
        <w:bidi w:val="0"/>
        <w:jc w:val="both"/>
        <w:rPr>
          <w:rFonts w:ascii="Times New Roman" w:hAnsi="Times New Roman"/>
          <w:sz w:val="20"/>
        </w:rPr>
      </w:pPr>
      <w:r>
        <w:rPr>
          <w:rFonts w:ascii="Times New Roman" w:hAnsi="Times New Roman"/>
          <w:b w:val="false"/>
          <w:color w:val="000000"/>
          <w:sz w:val="20"/>
        </w:rPr>
        <w:t>Our decision to pivot our business strategy to focus on the development of our commercial AI/ML software platform was based in part on our estimate of the potential addressable market for our platform, pricing, adoption rates and sales cycles. However, the market demand for our software platform is unproven, and important assumptions about the characteristics of targeted markets, pricing and sales cycles may be inaccurate.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Given the evolving nature of the markets in which we operate, it is difficult to predict customer demand or adoption rates for our software platform or the future growth of the markets we target. If one or more of the targeted markets experience a shift in customer demand, whether due to new solutions that better address customer needs or otherwise, our software platform may not compete as effectively, if at all, and it may not be fully developed into a commercial software product. If customer demand does not develop as expected, or if we do not accurately forecast pricing, adoption rates and sales cycles for our software platform, our business, results of operations and financial condition will be adversely affected, perhaps materially.</w:t>
      </w:r>
    </w:p>
    <w:p>
      <w:pPr>
        <w:pStyle w:val="TextBody"/>
        <w:bidi w:val="0"/>
        <w:jc w:val="both"/>
        <w:rPr>
          <w:rFonts w:ascii="Times New Roman" w:hAnsi="Times New Roman"/>
          <w:b/>
          <w:i/>
          <w:color w:val="000000"/>
          <w:sz w:val="20"/>
        </w:rPr>
      </w:pPr>
      <w:r>
        <w:rPr>
          <w:rFonts w:ascii="Times New Roman" w:hAnsi="Times New Roman"/>
          <w:b/>
          <w:i/>
          <w:color w:val="000000"/>
          <w:sz w:val="20"/>
        </w:rPr>
        <w:t>The benefits of our AI/ML software platform to customers and projected return on investment have not been substantiated through customer use.</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commercial AI/ML software platform is under development and has not been used by customers. Our software platform may not perform consistent with customers’ expectations or consistent with other products which may be or may become available. Any failure of our software platform to perform as expected could harm our reputation and result in adverse publicity, lost revenue, subscription cancellation, harm to our brand, delays in availability, product liability claims and significant warranty and other expenses and could have a material adverse impact on our business, prospects, financial condition and operating results.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currently intend to target many customers that are large businesses with substantial negotiating power, exacting product standards and potentially competitive internal solutions. If we are unable to sell our software products to these customers, our prospects and results of operations will be adversely affected.</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expect that many of our potential customers will be large businesses with substantial negotiating power relative to us and, in some instances, may have internal solutions that are competitive to our platform. These large businesses also have significant development resources, which may allow them to acquire or develop independently, or in partnership with others, competitive technologies. Meeting the technical requirements and securing binding commitments from any of these businesses will require a substantial investment of our time and resources. We may be unable to secure subscriptions from these or other businesses or we may be unable to generate meaningful revenue from these key potential customers. If our software platform is not selected by these large businesses or if these businesses develop or acquire competitive technology, it may have a material adverse effect on our business, prospects, financial condition and operating results.</w:t>
      </w:r>
    </w:p>
    <w:p>
      <w:pPr>
        <w:pStyle w:val="TextBody"/>
        <w:bidi w:val="0"/>
        <w:jc w:val="both"/>
        <w:rPr>
          <w:rFonts w:ascii="Times New Roman" w:hAnsi="Times New Roman"/>
          <w:b/>
          <w:i/>
          <w:color w:val="000000"/>
          <w:sz w:val="20"/>
        </w:rPr>
      </w:pPr>
      <w:r>
        <w:rPr>
          <w:rFonts w:ascii="Times New Roman" w:hAnsi="Times New Roman"/>
          <w:b/>
          <w:i/>
          <w:color w:val="000000"/>
          <w:sz w:val="20"/>
        </w:rPr>
        <w:t>A portion of our current revenue is currently and will continue to be generated by contracts with government entities, which make us subject to a number of uncertainties, challenges and risks.</w:t>
      </w:r>
    </w:p>
    <w:p>
      <w:pPr>
        <w:pStyle w:val="TextBody"/>
        <w:bidi w:val="0"/>
        <w:jc w:val="both"/>
        <w:rPr>
          <w:rFonts w:ascii="Times New Roman" w:hAnsi="Times New Roman"/>
          <w:sz w:val="20"/>
        </w:rPr>
      </w:pPr>
      <w:r>
        <w:rPr>
          <w:rFonts w:ascii="Times New Roman" w:hAnsi="Times New Roman"/>
          <w:b w:val="false"/>
          <w:color w:val="000000"/>
          <w:sz w:val="20"/>
        </w:rPr>
        <w:t>Contracts with government entities are subject to a number of risks. Such relationships can be highly competitive, expensive and time-consuming, often requiring significant upfront time and expense without any assurance that these efforts will generate revenue. In the event that we are successful in being awarded a government contract, such award may be subject to appeals, disputes or litigation, including bid protests by unsuccessful bidders. Government demand and payment for our solutions may be impacted by public sector budgetary cycles and funding authorizations, with funding reductions or delays adversely affecting public sector demand for our solutions. Government entities may have statutory, contractual or other legal rights to terminate our contracts for convenience or default. Also, see “</w:t>
      </w:r>
      <w:r>
        <w:rPr>
          <w:rFonts w:ascii="Times New Roman" w:hAnsi="Times New Roman"/>
          <w:b w:val="false"/>
          <w:i/>
          <w:color w:val="000000"/>
          <w:sz w:val="20"/>
        </w:rPr>
        <w:t>We are subject to laws, regulations and contractual provisions as a government contractor or subcontractor, which may pose increased risk of potential liability and expenses related thereto, which could have a material adverse effect on our business, operating results and financial condition</w:t>
      </w:r>
      <w:r>
        <w:rPr>
          <w:rFonts w:ascii="Times New Roman" w:hAnsi="Times New Roman"/>
          <w:color w:val="000000"/>
          <w:sz w:val="20"/>
        </w:rPr>
        <w:t>”</w:t>
      </w:r>
      <w:r>
        <w:rPr>
          <w:rFonts w:ascii="Times New Roman" w:hAnsi="Times New Roman"/>
          <w:b w:val="false"/>
          <w:color w:val="000000"/>
          <w:sz w:val="20"/>
        </w:rPr>
        <w:t>.</w:t>
      </w:r>
    </w:p>
    <w:p>
      <w:pPr>
        <w:pStyle w:val="TextBody"/>
        <w:bidi w:val="0"/>
        <w:jc w:val="both"/>
        <w:rPr>
          <w:rFonts w:ascii="Times New Roman" w:hAnsi="Times New Roman"/>
          <w:sz w:val="20"/>
        </w:rPr>
      </w:pPr>
      <w:r>
        <w:rPr>
          <w:rFonts w:ascii="Times New Roman" w:hAnsi="Times New Roman"/>
          <w:b/>
          <w:i/>
          <w:color w:val="000000"/>
          <w:sz w:val="20"/>
        </w:rPr>
        <w:t>We operate in a competitive industry that is subject to rapid technological change, and we expect competition to increase.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20"/>
        </w:rPr>
        <w:t>The AI/ML and robotics industries are subject to rapid technological change, and we expect competition to increase in the future. Our research and development efforts may be unable to keep up with changes in technology or its alternatives and, as a result, our competitiveness may suffer. Developments in alternative technologies or solutions may materially and adversely affect our competitiveness in ways we do not currently anticipate. While we plan to upgrade and adapt our software platform as we or others develop new technology, any failure by us to develop new or enhanced technologies or processes, or successfully react to changes or advances in existing technologies, could delay our development and introduction of new and enhanced products, which could result in the loss of competitiveness, decreased revenue and a loss of market share to competitors.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20"/>
        </w:rPr>
        <w:t>We believe our AI/ML software platform will compete with system integrators, like Grey Matter Robotics and Titan Robotics, who develop point solutions using robotic manipulators provided by companies such as Kuka, Fanuc, ABB, Universal Robots, Yasakawa and others.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20"/>
        </w:rPr>
        <w:t>Many of our competitors and potential competitors have products that are commercially available and/or in development. We expect some products currently in development to become commercially available in the next few years, especially as we develop a commercial AI/ML software platform.</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competitor base may change or expand as we continue to develop and commercialize our software platform in the future. Competitors may develop products that utilize advanced technology similar to ours (such as computer vision, machine learning, and artificial intelligence) in a more effective way, or new technologies or products that provide superior results to customers or are less expensive than our software platform. Our technologies and software platform could be rendered obsolete by such developments.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software products, particularly if they compete with or have the potential to compete with, or diminish the need/utilization of software products or technologies supported through these existing relationships. If we are not able to compete effectively, our business, prospects, financial condition and operating results will be adversely affected.</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addition, because we operate in new and evolving markets, the actions of our competitors could adversely affect our business. Adverse events such as product defects or legal claims with respect to competing or similar products could cause reputational harm to the AI/ML software or robotics markets as a whole and, accordingly, our business.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not be able to complete or enhance our product offerings through our research and development efforts.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 order to produce a commercial version of our AI/ML software platform, we need to complete our development efforts. Even after introduction of a commercial version of our platform, we will also likely need to continue to advance and evolve the product in response to the evolving demands of our customers in the various industries we expect to serve. Our software is in the early stages of development and commercialization. We will incur significant additional product development efforts and expenses, and we may not be successful in commercializing or marketing our software platform at all or within our currently expected timelines or available resources.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addition, notwithstanding our market research efforts, our AI/ML software platform may not be accepted by customers. The success of the AI/ML software platform product will depend on numerous factors, including our ability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attract, recruit and retain qualified personnel, including engineers;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identify the preferred product features for our target customers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develop and introduce the platform in a timely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adequately protect our intellectual property and avoid infringing upon the intellectual property rights of third parties;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demonstrate the flexibility, productivity, capabilities and efficiency benefits of our software products.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expect to manage our product development efforts for our AI/ML software platform through the development of pre-commercial product for testing and evaluation. We also make iterative improvements throughout the development process. If we fail to adequately communicate to customers product improvements throughout the development process, or if customer feedback is not adequately reflected in our product improvements, customers may not be persuaded of the value of our software platform. If we fail to generate demand by developing a software platform that incorporates features desired by customers, we may fail to generate revenue sufficient to achieve or maintain profitability. We have in the past experienced with respect to our hardware products and may in the future experience delays in various phases of product development, including during research and development, limited release testing, and marketing and customer education efforts. Further, delays in product development would postpone demonstrations and customer testing, which are important opportunities for customer engagement, and cause us to miss expected timelines. Such delays could cause customers to delay or forgo purchases of our software platform, or to purchase competitors’ products. Even if we are able to successfully develop our software platform when anticipated, we may not produce sales in excess of the costs of development, and our software platform may be quickly rendered obsolete by changing customer preferences or the introduction by competitors of products embodying new technologies or features. If we are unable to successfully manage our product development and communications with customers, customers may choose to not adopt or purchase our software platform, which would adversely affect our business, prospects, financial condition and operating results.</w:t>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Operations &amp; Growth</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Real or perceived design flaws, errors, defects, glitches, bugs or malfunctions (collectively, “Defects”) in our AI/ML software</w:t>
      </w:r>
      <w:r>
        <w:rPr>
          <w:rFonts w:ascii="Times New Roman" w:hAnsi="Times New Roman"/>
          <w:color w:val="000000"/>
          <w:sz w:val="20"/>
        </w:rPr>
        <w:t xml:space="preserve"> </w:t>
      </w:r>
      <w:r>
        <w:rPr>
          <w:rFonts w:ascii="Times New Roman" w:hAnsi="Times New Roman"/>
          <w:b/>
          <w:i/>
          <w:color w:val="000000"/>
          <w:sz w:val="20"/>
        </w:rPr>
        <w:t>platform, failure of our</w:t>
      </w:r>
      <w:r>
        <w:rPr>
          <w:rFonts w:ascii="Times New Roman" w:hAnsi="Times New Roman"/>
          <w:color w:val="000000"/>
          <w:sz w:val="20"/>
        </w:rPr>
        <w:t xml:space="preserve"> </w:t>
      </w:r>
      <w:r>
        <w:rPr>
          <w:rFonts w:ascii="Times New Roman" w:hAnsi="Times New Roman"/>
          <w:b/>
          <w:i/>
          <w:color w:val="000000"/>
          <w:sz w:val="20"/>
        </w:rPr>
        <w:t>software platform to perform as expected, connectivity issues or user errors can result in lower than expected</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return on investment for customers, damage to property, personal injury and significant safety concerns, each of which could materially and adversely affect our results of operations, financial condition or reputation.</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design, development and marketing of our AI/ML software platform involve certain inherent risks. Real or perceived design flaws, errors, defects, glitches, bugs, malfunctions, connectivity issues in our software platform, unanticipated use of our software platform, user errors or inadequate disclosure of risks relating to the use of our software platform, among others, can lead to injury, property damage or other adverse events. We plan to conduct extensive testing of our software platform, in some instances in collaboration with our customers, to ensure that any such issues can be identified and addressed in advance of commercial launch of the platform. However, we may not be able to identify all such issues or, if identified, efforts to address them may not be effective in all cases, and our product testing may not be adequate. We plan to conduct investigations, where applicable, to identify the cause or causes of incidents and, when appropriate, implement changes to testing protocols or to the systems and solutions to prevent such incidents from reoccurring. However, any implemented improvements may not fully prevent similar or other incidents in the future. Moreover, because of the size and weight of the third-party systems that may in the future use our AI/ML software platform, and the nature and variability of the environments in which we expect this software to be used, adverse events relating to the use of our software platform could include significant injuries or even death. To the extent that Defects or connectivity issues are discovered during or after the development of the platform, we may experience delays in the development and/or sale of the platform while the issues are resolved. If the issues cannot be adequately resolved, production of the platform may not occur and/or resume.</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 addition, we may not be aware of design Defects until injury to person or property has occurred. Such adverse events could lead to safety alerts relating to our software platform (either voluntary or required by governmental authorities), and could result, in certain cases, in the removal of our software platform from the market. Defects could also result in negative publicity, damage to our reputation or, in the event of regulatory developments, delays in new product approvals.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Complex software frequently contains errors, especially when first introduced. Our software may experience errors or performance problems in the future. A failure of any part of our AI/ML software platform could result in property damage, serious injury or even death. We plan to implement bug fixes and upgrades as part of our regular system maintenance for our AI/ML software platform, which may lead to system downtime. Even if we are able to implement the bug fixes and upgrades in a timely manner, customers and operators also may fail to install updates and fixes to the software for several reasons including poor connectivity or inattention. Any such occurrence could cause delay in market acceptance of our software platform, damage to our reputation, increased service and warranty costs, product liability claims and loss of revenue.</w:t>
      </w:r>
    </w:p>
    <w:p>
      <w:pPr>
        <w:pStyle w:val="TextBody"/>
        <w:bidi w:val="0"/>
        <w:jc w:val="left"/>
        <w:rPr>
          <w:rFonts w:ascii="Times New Roman" w:hAnsi="Times New Roman"/>
          <w:sz w:val="20"/>
        </w:rPr>
      </w:pPr>
      <w:r>
        <w:rPr>
          <w:rFonts w:ascii="Times New Roman" w:hAnsi="Times New Roman"/>
          <w:b w:val="false"/>
          <w:color w:val="000000"/>
          <w:sz w:val="20"/>
        </w:rPr>
        <w:t>We anticipate that in the ordinary course of business we may be subject to product liability claims alleging defects in the design of our software platform. A product liability claim, regardless of its merit or eventual outcome, could result in significant legal defense costs and high punitive damage payments, damage our reputation or require significant costs to redesign or fix our software platform. Although we maintain product liability insurance, the coverage is be subject to deductibles and limitations, and may not be adequate to cover future claims.</w:t>
      </w:r>
      <w:r>
        <w:rPr>
          <w:rFonts w:ascii="Times New Roman" w:hAnsi="Times New Roman"/>
          <w:color w:val="000000"/>
          <w:sz w:val="20"/>
        </w:rPr>
        <w:t xml:space="preserve"> </w:t>
      </w:r>
    </w:p>
    <w:p>
      <w:pPr>
        <w:pStyle w:val="TextBody"/>
        <w:bidi w:val="0"/>
        <w:jc w:val="both"/>
        <w:rPr>
          <w:rFonts w:ascii="Times New Roman" w:hAnsi="Times New Roman"/>
          <w:b/>
          <w:i/>
          <w:color w:val="000000"/>
          <w:sz w:val="20"/>
        </w:rPr>
      </w:pPr>
      <w:r>
        <w:rPr>
          <w:rFonts w:ascii="Times New Roman" w:hAnsi="Times New Roman"/>
          <w:b/>
          <w:i/>
          <w:color w:val="000000"/>
          <w:sz w:val="20"/>
        </w:rPr>
        <w:t>Even if our AI/ML software platform performs properly and is used as intended, if personal injuries occur while operating third-party products that use our AI/ML software, or if users injure others while operating robotic systems with our software, we could be exposed to liability and our results of operations, financial condition and reputation may be adversely affected.</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Third-party systems that may in the future use our AI/ML software platform contain complex technology and must be used as designed and intended in order to operate safely and effectively. While we expect to develop training, customer service and maintenance and servicing infrastructure to ensure users are equipped to operate our software products in a safe manner, we cannot be sure that the platform will ultimately be used as designed and intended. In addition, we cannot be sure that we will be able to predict all the ways in which use or misuse of our platform can lead to injury or damage to property, and our training resources and safety systems may not be successful at preventing all incidents. If personal injury or damage to property were to occur while operating our platform in a manner consistent with our training and instructions or otherwise, we could be exposed to liability and our results of operations, financial condition and our reputation may be adversely affected.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We may use “open source” software, which could negatively affect our ability to offer our AI/ML software platform and subject us to possible litigation.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20"/>
        </w:rPr>
        <w:t>Our AI/ML software platform may use “open source” software provided by third parties. Open source software is generally freely accessible, usable and modifiable, and is made available to the general public on an “as-is” basis under the terms of a non-negotiable license. Use and distribution of open source software may entail greater risks than use of third-party commercial software. Open source licensors generally do not provide warranties or other contractual protections regarding infringement claims or other claims relating to violation of intellectual property rights or the quality of the software. In addition, certain open source licenses, like the GNU Affero General Public License, or AGPL, may require us to offer for no cost the components of our platform that incorporate the open source software, to make available source code for modifications or derivative works we create by incorporating or using the open source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software, or to license our modifications or derivative works under the terms of the particular open source license. If we are required, under the terms of an open source license, to release our proprietary source code to the public, competitors could create similar products with lower development effort and time, which ultimately could result in a loss of sales for us.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20"/>
        </w:rPr>
        <w:t>We may also face claims alleging noncompliance with open source license terms or infringement, misappropriation or other violation of open source technology. These claims could result in litigation or require us to purchase a costly license, devote additional research and development resources to re-engineer our platform, discontinue the sale of our software products if re-engineering could not be accomplished on a timely or cost-effective basis, or make generally available our proprietary code in source code form, any of which would have a negative effect on our business and operating results, including being enjoined from the offering of the components of our platform that contained the open source software. We could also be subject to lawsuits by parties claiming ownership of what we believe to be open source software. Litigation could be costly for us to defend, have a negative effect on our operating results and financial condition and require us to devote additional research and development resources to re-engineer our platform.</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Although we monitor use of open source software and try to ensure that none is used in a manner that would subject our platform to unintended conditions, few courts have interpreted open source licenses, and there is a risk that these licenses could be construed in a way that could impose unanticipated conditions or restrictions on our ability to commercialize our AI/ML software platform. We cannot guarantee that we will incorporate open source software in our platform in a manner that will not subject us to liability, or in a manner that is consistent with our current policies and procedures.</w:t>
      </w:r>
    </w:p>
    <w:p>
      <w:pPr>
        <w:pStyle w:val="TextBody"/>
        <w:bidi w:val="0"/>
        <w:jc w:val="both"/>
        <w:rPr>
          <w:rFonts w:ascii="Times New Roman" w:hAnsi="Times New Roman"/>
          <w:b/>
          <w:i/>
          <w:color w:val="000000"/>
          <w:sz w:val="20"/>
        </w:rPr>
      </w:pPr>
      <w:r>
        <w:rPr>
          <w:rFonts w:ascii="Times New Roman" w:hAnsi="Times New Roman"/>
          <w:b/>
          <w:i/>
          <w:color w:val="000000"/>
          <w:sz w:val="20"/>
        </w:rPr>
        <w:t>Our business and prospects depend significantly on our ability to build our brand. We may not succeed in continuing to establish, maintain and strengthen our brand, and our brand and reputation could be harmed by negative publicity regarding us or our software products.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business and prospects are dependent on our ability to develop, maintain and strengthen our brand. If we do not continue to establish, maintain and strengthen our brand, we may lose the opportunity to build a critical mass of customers. Promoting and positioning our brand will likely depend significantly on our ability to provide high quality software and engage with our customers as intended. To promote our brand, we may be required to change or expand our customer development and branding practices, which could result in substantially increased expenses. If we do not develop and maintain a strong brand, our business, prospects, financial condition and operating results will be materially and adversely impacted.</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 addition, if safety incidents occur or are perceived to have occurred, whether or not such incidents are our fault, we could be subject to adverse publicity or resistance by our customers. In particular, given the popularity of social media, any negative publicity, whether true or not, could quickly proliferate and harm perceptions and confidence in our brands. Furthermore, there is the risk of potential adverse publicity related to our partners whether or not such publicity is related to their collaboration with us. Our ability to successfully position our brand could also be adversely affected by perceptions about the quality of our competitors’ products.</w:t>
      </w:r>
    </w:p>
    <w:p>
      <w:pPr>
        <w:pStyle w:val="TextBody"/>
        <w:bidi w:val="0"/>
        <w:jc w:val="both"/>
        <w:rPr>
          <w:rFonts w:ascii="Times New Roman" w:hAnsi="Times New Roman"/>
          <w:sz w:val="20"/>
        </w:rPr>
      </w:pPr>
      <w:r>
        <w:rPr>
          <w:rFonts w:ascii="Times New Roman" w:hAnsi="Times New Roman"/>
          <w:b/>
          <w:i/>
          <w:color w:val="000000"/>
          <w:sz w:val="20"/>
        </w:rPr>
        <w:t>Our management team has broad discretion in making strategic decisions to execute our growth plans, and our management’s decisions may not be successful in achieving our business objectives or may have unintended consequences that negatively impact our growth prospects.</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management has broad discretion in making strategic decisions to execute our growth plans and may devote time and company resources to new or expanded product offerings, potential acquisitions or strategic alliances, prospective customers or other initiatives that do not necessarily improve our operating results or contribute to our growth. For example, we recently determined to pivot our business to focus on the development of our commercial AI/ML software platform in lieu of hardware products because we believe this strategy meets our previously announced goal of pursuing significant near-term revenue tied to acute customer needs and reduces our capital requirements and related risks in line with available resources . However, this strategy may not prove to be effective. Any failure by management to make strategic decisions that are ultimately accretive to our growth may result in unfavorable returns and uncertainty about our prospects, each of which could cause the price of our Common Stock to decline and have a material adverse effect on our business, prospects, financial condition and results of operations.</w:t>
      </w:r>
    </w:p>
    <w:p>
      <w:pPr>
        <w:pStyle w:val="TextBody"/>
        <w:bidi w:val="0"/>
        <w:jc w:val="both"/>
        <w:rPr>
          <w:rFonts w:ascii="Times New Roman" w:hAnsi="Times New Roman"/>
          <w:b/>
          <w:i/>
          <w:color w:val="000000"/>
          <w:sz w:val="20"/>
        </w:rPr>
      </w:pPr>
      <w:r>
        <w:rPr>
          <w:rFonts w:ascii="Times New Roman" w:hAnsi="Times New Roman"/>
          <w:b/>
          <w:i/>
          <w:color w:val="000000"/>
          <w:sz w:val="20"/>
        </w:rPr>
        <w:t>If we fail to effectively manage our growth, we may not be able to design, develop, market and launch our software products successfully.</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Any failure to manage our growth effectively could materially and adversely affect our business, prospects, financial condition and operating results. As we grow our business, we may need to manage the following activities,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expanding our management, engineering and other teams;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identifying and recruiting individuals with the appropriate relevant experience;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hiring and training new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commercializing our AI/ML software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forecasting revenue and implementing enterprise resource planning (ERP)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entering into relationships with one or more third-party service providers or partners, including in relation to the development and expansion of our AI/ML software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potentially carrying out acquisitions and entering into collaborations, in-licensing arrangements, joint ventures, strategic alliances or partnerships;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expanding and enhancing internal information technology, safety and security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establishing or expanding sales and customer service organizations;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conducting demonstrations and customer trials of our software platform; and</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implementing and enhancing administrative infrastructure, systems and processes.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recently announced two RIFs, one in July 2023, affecting approximately 24% of our workforce at the time, and another in November 2023, affecting approximately 70% of our workforce at the time, ultimately resulting in our decision to shift our product development and commercialization strategy to focus on our AI/ML software platform. However, these RIFs, in particular the November RIF, which is being conducted as we shift our product development and commercialization strategy, may place additional strain on our existing resources, and we could experience systemic operating difficulties in managing our business and implementing controls and other business processes or face other liabilities that are difficult to predict at this time.</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the future, we may need to hire additional personnel, including engineers, whether due to growth of our business, unwanted attrition, a lack of certain skills or otherwise. Because of the innovative nature of our technology, individuals with the necessary experience have not been, and likely will continue not to be, readily available to hire, and as a result, we will need to expend significant time and expense to recruit and retain experienced employees and appropriately train any newly hired employees. Competition for individuals with the experience designing and developing AI/ML software is intense, and we may not be able to attract, integrate, train, motivate or retain additional highly qualified personnel. Integrating new employees can cause disruptions to processes, projects, culture, priorities and a company as a whole. Further, as a result of our recent reduction in force, we have re-organized our operations, which has resulted in some employees having different reporting relationships, team members or responsibilities, which could result in delays or other operational difficulties as employees become accustomed to the new organizational structure. New employees may not perform as expected or may not fit culturally, and long-term employees may not embrace new leaders, priorities, methods, processes or other changes and may decide to leave or may not perform as well as in the past. Any failure to attract, integrate, train, motivate and retain employees or difficulty adjusting to a new organizational structure could significantly delay our product development and commercial release and materially harm our business, prospects, financial condition and operating results.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be unable to adequately control the costs associated with our operations.</w:t>
      </w:r>
    </w:p>
    <w:p>
      <w:pPr>
        <w:pStyle w:val="TextBody"/>
        <w:bidi w:val="0"/>
        <w:jc w:val="both"/>
        <w:rPr>
          <w:rFonts w:ascii="Times New Roman" w:hAnsi="Times New Roman"/>
          <w:sz w:val="20"/>
        </w:rPr>
      </w:pPr>
      <w:r>
        <w:rPr>
          <w:rFonts w:ascii="Times New Roman" w:hAnsi="Times New Roman"/>
          <w:b w:val="false"/>
          <w:color w:val="000000"/>
          <w:sz w:val="20"/>
        </w:rPr>
        <w:t>We will require significant capital to develop and grow our business, including developing our commercial AI/ML software platform, establishing or expanding our design, research and development, sales and maintenance and service capabilities and building our brands. We have incurred and expect to continue incurring significant expenses which will impact our profitability, including research and development expenses, sales and marketing expenses as we build our brand and market our software platform and general and administrative expenses. Although the RIFs will significantly reduce expenses, the amount of savings may not be as much as we expect. Some of the factors that may lead to cost increases or reduced cost decreases are outside of our control, such as national or global geopolitical and economic conditions, including inflation or increases in interest rates. In addition, we may incur significant costs upgrading or fixing Defects in our software platform. Our ability to become profitable in the future will not only depend on our ability to complete the design and development of our software platform to meet customer needs and identify and investigate new areas of demand and successfully market our software products, but also on our ability to sell our AI/ML software platform product at a price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needed to achieve sufficient margins and control our cash outlay, including the risks and costs associated with any warranty obligations. If we are unable to efficiently design, develop, market, deploy, distribute and service our software platform in a cost-effective manner, our operating results, financial condition and prospects would be materially and adversely affected.</w:t>
      </w:r>
    </w:p>
    <w:p>
      <w:pPr>
        <w:pStyle w:val="TextBody"/>
        <w:bidi w:val="0"/>
        <w:jc w:val="both"/>
        <w:rPr>
          <w:rFonts w:ascii="Times New Roman" w:hAnsi="Times New Roman"/>
          <w:b/>
          <w:i/>
          <w:color w:val="000000"/>
          <w:sz w:val="20"/>
        </w:rPr>
      </w:pPr>
      <w:r>
        <w:rPr>
          <w:rFonts w:ascii="Times New Roman" w:hAnsi="Times New Roman"/>
          <w:b/>
          <w:i/>
          <w:color w:val="000000"/>
          <w:sz w:val="20"/>
        </w:rPr>
        <w:t>We expect to incur substantial research and development costs and devote significant resources to developing and commercializing our AI/ML software platform, which could significantly reduce our profitability and may never result in revenue.</w:t>
      </w:r>
    </w:p>
    <w:p>
      <w:pPr>
        <w:pStyle w:val="TextBody"/>
        <w:bidi w:val="0"/>
        <w:jc w:val="both"/>
        <w:rPr>
          <w:rFonts w:ascii="Times New Roman" w:hAnsi="Times New Roman"/>
          <w:sz w:val="20"/>
        </w:rPr>
      </w:pPr>
      <w:r>
        <w:rPr>
          <w:rFonts w:ascii="Times New Roman" w:hAnsi="Times New Roman"/>
          <w:b w:val="false"/>
          <w:color w:val="000000"/>
          <w:sz w:val="20"/>
        </w:rPr>
        <w:t>Our future growth depends on penetrating new markets, adapting AI/ML software platform to new applications and customer requirements and introducing new features and functionality that achieve market acceptance. We plan to incur substantial, and potentially increasing, research and development costs as part of our efforts to design, develop, enhance, and commercialize our AI/ML software platform. Our research and development program may not produce successful results or, be sufficient to adapt to new or changing technologies (such as artificial intelligence), and our products may not achieve market acceptance, create additional revenue or become profitable.</w:t>
      </w:r>
      <w:r>
        <w:rPr>
          <w:rFonts w:ascii="Times New Roman" w:hAnsi="Times New Roman"/>
          <w:color w:val="000000"/>
          <w:sz w:val="20"/>
        </w:rPr>
        <w:t xml:space="preserve"> </w:t>
      </w:r>
    </w:p>
    <w:p>
      <w:pPr>
        <w:pStyle w:val="TextBody"/>
        <w:bidi w:val="0"/>
        <w:jc w:val="both"/>
        <w:rPr>
          <w:rFonts w:ascii="Times New Roman" w:hAnsi="Times New Roman"/>
          <w:b/>
          <w:i/>
          <w:color w:val="000000"/>
          <w:sz w:val="20"/>
        </w:rPr>
      </w:pPr>
      <w:r>
        <w:rPr>
          <w:rFonts w:ascii="Times New Roman" w:hAnsi="Times New Roman"/>
          <w:b/>
          <w:i/>
          <w:color w:val="000000"/>
          <w:sz w:val="20"/>
        </w:rPr>
        <w:t>We face risks related to natural disasters, health epidemics and other calamities, which could significantly disrupt our operations.</w:t>
      </w:r>
    </w:p>
    <w:p>
      <w:pPr>
        <w:pStyle w:val="TextBody"/>
        <w:bidi w:val="0"/>
        <w:jc w:val="both"/>
        <w:rPr>
          <w:rFonts w:ascii="Times New Roman" w:hAnsi="Times New Roman"/>
          <w:sz w:val="20"/>
        </w:rPr>
      </w:pPr>
      <w:r>
        <w:rPr>
          <w:rFonts w:ascii="Times New Roman" w:hAnsi="Times New Roman"/>
          <w:b w:val="false"/>
          <w:color w:val="000000"/>
          <w:sz w:val="20"/>
        </w:rPr>
        <w:t>Our facilities or operations or any potential third-party partners or service providers could be adversely affected by events outside of our or their control, such as natural disasters, wars, health epidemics and other calamities and force majeure events. See "</w:t>
      </w:r>
      <w:r>
        <w:rPr>
          <w:rFonts w:ascii="Times New Roman" w:hAnsi="Times New Roman"/>
          <w:b w:val="false"/>
          <w:i/>
          <w:color w:val="000000"/>
          <w:sz w:val="20"/>
        </w:rPr>
        <w:t>Ongoing impacts from COVID-19 or another pandemic, epidemic or outbreak of an infectious disease may materially and adversely impact our business, prospects, financial condition and operating results."</w:t>
      </w:r>
      <w:r>
        <w:rPr>
          <w:rFonts w:ascii="Times New Roman" w:hAnsi="Times New Roman"/>
          <w:color w:val="000000"/>
          <w:sz w:val="20"/>
        </w:rPr>
        <w:t xml:space="preserve"> </w:t>
      </w:r>
      <w:r>
        <w:rPr>
          <w:rFonts w:ascii="Times New Roman" w:hAnsi="Times New Roman"/>
          <w:b w:val="false"/>
          <w:color w:val="000000"/>
          <w:sz w:val="20"/>
        </w:rPr>
        <w:t>Although we have servers that are hosted both onsite and at an offsite location, our backup system does not capture data on a real-time basis and we may be unable to recover certain data in the event of a server failure. Our backup system may not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the malfunction of software or hardware, as well as adversely affect our ability to provide services.</w:t>
      </w:r>
    </w:p>
    <w:p>
      <w:pPr>
        <w:pStyle w:val="TextBody"/>
        <w:bidi w:val="0"/>
        <w:jc w:val="both"/>
        <w:rPr>
          <w:rFonts w:ascii="Times New Roman" w:hAnsi="Times New Roman"/>
          <w:b/>
          <w:i/>
          <w:color w:val="000000"/>
          <w:sz w:val="20"/>
        </w:rPr>
      </w:pPr>
      <w:r>
        <w:rPr>
          <w:rFonts w:ascii="Times New Roman" w:hAnsi="Times New Roman"/>
          <w:b/>
          <w:i/>
          <w:color w:val="000000"/>
          <w:sz w:val="20"/>
        </w:rPr>
        <w:t>Ongoing impacts from COVID-19 or another pandemic, epidemic or outbreak of an infectious disease may materially and adversely impact our business, prospects, financial condition and operating results.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COVID-19 pandemic has adversely impacted our business, and it, as well as other possible health pandemics, epidemics or outbreaks, may materially and adversely impact our business, prospects, financial condition and operating results in the future. Depending upon the duration of the ongoing effects of the COVID-19 pandemic, which may linger for some time even as significant health risks have abated, our potential customers and partners may suspend or delay their engagement with us or take other actions or experience their own negative impacts, any of which could result in a material adverse effect on our financial condition and ability to meet current timelines. The COVID-19 pandemic adversely affected our ability to recruit skilled employees to join our team and to meet our product development timelines and it or other events could do so again.</w:t>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Finances</w:t>
      </w:r>
    </w:p>
    <w:p>
      <w:pPr>
        <w:pStyle w:val="TextBody"/>
        <w:bidi w:val="0"/>
        <w:jc w:val="both"/>
        <w:rPr>
          <w:rFonts w:ascii="Times New Roman" w:hAnsi="Times New Roman"/>
          <w:b/>
          <w:i/>
          <w:color w:val="000000"/>
          <w:sz w:val="20"/>
        </w:rPr>
      </w:pPr>
      <w:r>
        <w:rPr>
          <w:rFonts w:ascii="Times New Roman" w:hAnsi="Times New Roman"/>
          <w:b/>
          <w:i/>
          <w:color w:val="000000"/>
          <w:sz w:val="20"/>
        </w:rPr>
        <w:t>Our business plans require a significant amount of capital. Our future capital needs may require us to sell additional equity or debt securities that may dilute our stockholders or introduce covenants that may restrict our operations or our ability to pay dividends.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Although we believe we have sufficient capital to fund our business for at least the next 12 months, we may seek additional financing during that time to bolster our cash reserves and ensure our ability to continue to pursue our business objectives. Our current business plans may require us to secure additional financing prior to achieving positive operating cash flows, and we do not anticipate achieving positive operating cash flows in the near term. As a result, we intend to continue monitoring our liquidity, financial and business results and outlook and market conditions, and may be opportunistic and raise capital when we consider market conditions are good or a favorable opportunity exists to bolster our cash reserves, reduce our financial risk, help finance research and development costs and pursue business objectives. Any delays in the successful commercialization and sales of our software products will negatively impact our ability to generate revenue, our profitability and our overall operating performance and result in the need to raise additional capital sooner than expected.</w:t>
      </w:r>
    </w:p>
    <w:p>
      <w:pPr>
        <w:pStyle w:val="TextBody"/>
        <w:bidi w:val="0"/>
        <w:jc w:val="left"/>
        <w:rPr>
          <w:rFonts w:ascii="Times New Roman" w:hAnsi="Times New Roman"/>
          <w:sz w:val="20"/>
        </w:rPr>
      </w:pPr>
      <w:r>
        <w:rPr>
          <w:rFonts w:ascii="Times New Roman" w:hAnsi="Times New Roman"/>
          <w:b w:val="false"/>
          <w:color w:val="000000"/>
          <w:sz w:val="20"/>
        </w:rPr>
        <w:t>Even if we generate positive operating cash flows, we may need to raise significant amounts of additional capital to fund our business thereafter, including to finance ongoing research and development costs, any significant unplanned or accelerated expenses and new strategic alliances or acquisitions. The fact that we have limited experience commercializing our software products , coupled with our belief that our AI/ML software platform represents a significant technology advancement, means we have limited to no historical data on the demand for our software platform. In addition, we expect our capital expenditures to continue to be significant in the foreseeable future as we complete the development and launch of our commercial software platform, and that our level of capital expenditures will be significantly affected by customer demand for our platform. As a result, our future capital requirements are uncertain and actual capital requirements may be different from those we currently anticipate. We may need to seek equity or debt</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financing to finance a portion of our capital expenditures, and such financing might not be available to us in a timely manner or on terms that are acceptable, or at all. Even if available, the sale of additional equity or equity-linked securities could dilute our stockholders, and the incurrence of indebtedness would result in debt service obligations and could result in operating and financing covenants that would restrict our operations.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ability to obtain any necessary financing to carry out our business plan is subject to a number of factors, including general market conditions and investor acceptance of our business model. These factors may make the timing, amount, terms and conditions of such financing unattractive or unavailable to us. If we are unable to raise sufficient funds if and when needed, we will have to significantly reduce our spending, delay or cancel our planned activities or substantially change our corporate structure or potentially cease operations and liquidate. We might not be able to obtain any funding, and might not have sufficient resources to conduct our business as projected or at all, either of which could mean that we would be forced to curtail or discontinue our operations.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If we cannot raise additional funds when we need or want them, our operations, prospects and financial condition could be materially and adversely affected.</w:t>
      </w:r>
    </w:p>
    <w:p>
      <w:pPr>
        <w:pStyle w:val="TextBody"/>
        <w:bidi w:val="0"/>
        <w:jc w:val="both"/>
        <w:rPr>
          <w:rFonts w:ascii="Times New Roman" w:hAnsi="Times New Roman"/>
          <w:b/>
          <w:i/>
          <w:color w:val="000000"/>
          <w:sz w:val="20"/>
        </w:rPr>
      </w:pPr>
      <w:r>
        <w:rPr>
          <w:rFonts w:ascii="Times New Roman" w:hAnsi="Times New Roman"/>
          <w:b/>
          <w:i/>
          <w:color w:val="000000"/>
          <w:sz w:val="20"/>
        </w:rPr>
        <w:t>Our recent initiatives to improve our cost structure, including significant workforce reductions, may not result in the anticipated savings, could result in total costs and expenses that are greater than expected and could disrupt our business.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 July 2023, we implemented a RIF affecting approximately 71 employees, representing approximately 24% of our workforce at the time, as part of our initiatives to improve our cost structure. Further, in November 2023, we announced a RIF affecting approximately 150 employees, representing approximately 70% of our remaining workforce after the July RIF. These efforts are expected to result in significant annualized cost savings. However, we may incur additional expenses not currently contemplated due to events associated with the RIFs. The annualized cost savings are estimates and subject to a number of assumptions, and actual results may differ materially. We may not realize, in full or in part, the anticipated benefits and savings from the RIFs due to unforeseen difficulties, delays or unexpected costs. If we are unable to realize the expected operational efficiencies and cost savings from the RIFs, our operating results and financial condition would be adversely affected. In addition, we may need to undertake additional workforce reductions or restructuring activities in the future. Furthermore, our initiatives to improve our cost structure, including the RIFs, may be disruptive to our operations. For example, our workforce reductions have resulted in and may continue to result in some attrition beyond planned staff reductions, and may lead to the loss of institutional knowledge and expertise, increased difficulties in our day-to-day operations and reduced employee morale. We may need to seek contractor support due to unwanted attrition at unplanned additional expense or harm our productivity. In addition, we may be unsuccessful in distributing the duties and obligations of departed employees that are necessary to our operations among our remaining employees or to contractors, which could result in disruptions to our operations. Our workforce reductions could also harm our ability to attract and retain qualified personnel who are critical to our business, and make it difficult for us to pursue new opportunities and initiatives and require us to hire qualified replacement personnel. Any failure to attract or retain qualified personnel could prevent us from successfully developing or selling our software platform, which would adversely affect our business, financial condition, and results of operations.</w:t>
      </w:r>
    </w:p>
    <w:p>
      <w:pPr>
        <w:pStyle w:val="TextBody"/>
        <w:bidi w:val="0"/>
        <w:jc w:val="both"/>
        <w:rPr>
          <w:rFonts w:ascii="Times New Roman" w:hAnsi="Times New Roman"/>
          <w:b/>
          <w:i/>
          <w:color w:val="000000"/>
          <w:sz w:val="20"/>
        </w:rPr>
      </w:pPr>
      <w:r>
        <w:rPr>
          <w:rFonts w:ascii="Times New Roman" w:hAnsi="Times New Roman"/>
          <w:b/>
          <w:i/>
          <w:color w:val="000000"/>
          <w:sz w:val="20"/>
        </w:rPr>
        <w:t>Our financial results may vary significantly from period to period due to fluctuations in our operating costs, product demand and other factors.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expect our period-to-period financial results to vary based on our operating costs and product demand, which we anticipate will fluctuate as the pace at which we continue to design, develop and release software products. Additionally, our subscriptions from period to period may fluctuate as we identify and investigate areas of demand and add new product derivatives based on market demand and develop and introduce new features or functionality or introduce our AI/ML software platform to new markets for the first time, and as product development contract revenue fluctuates. As a result of these factors, we believe that quarter-to-quarter comparisons of our operating results, especially in the near term, are not necessarily meaningful and that these comparisons cannot be relied upon as indicators of future performance. Moreover, our operating results may not meet expectations of equity research analysts, ratings agencies or investors, who may be focused only on quarterly financial results. If any of this occurs, the trading price of our securities could fall substantially, either suddenly or over time, and/or experience significant volatility</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are highly dependent on the services of our senior management and other key employees and, if we are unable to attract and retain a sufficient number of qualified employees, our ability to design and launch our software products, operate our business and compete could be harmed.</w:t>
      </w:r>
    </w:p>
    <w:p>
      <w:pPr>
        <w:pStyle w:val="TextBody"/>
        <w:bidi w:val="0"/>
        <w:jc w:val="both"/>
        <w:rPr>
          <w:rFonts w:ascii="Times New Roman" w:hAnsi="Times New Roman"/>
          <w:sz w:val="20"/>
        </w:rPr>
      </w:pPr>
      <w:r>
        <w:rPr>
          <w:rFonts w:ascii="Times New Roman" w:hAnsi="Times New Roman"/>
          <w:b w:val="false"/>
          <w:color w:val="000000"/>
          <w:sz w:val="20"/>
        </w:rPr>
        <w:t>Our success depends, in part, on our ability to retain our key personnel. The unexpected loss of or failure to retain one or more of our senior managers or other key employees could delay product development and require outsourcing to third parties, each of which in turn could adversely affect our business. We have experienced and will, as part of the November RIF, experience changes in our senior management team. Our future performance will depend, in part, on the successful transition of our workforce to our new operating and organizational structure following our recent reduction in force. Our inability to successfully manage these transitions, could be viewed</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negatively by our customers, employees, investors and other third-party partners, and could have an adverse impact on our business and results of operations.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success also depends, in part, on our ability to identify, hire, attract, train and develop other highly qualified personnel as needed. We face intense competition for experienced and highly skilled employees from numerous other companies, including other software and technology companies, many of whom have greater financial and other resources than we do,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strategy. Given our recent RIFs, we may have increased difficulty attracting and retaining highly qualified personnel. We may incur significant costs to attract and retain qualified personnel, including significant expenditures related to salaries and benefits and compensation expenses related to equity awards, and we may lose new employees to competitors or other companies before we realize the benefit of our investment in recruiting and training them. Moreover, new employees may not be or become as productive as we expect, as we may face challenges in adequately or appropriately integrating them into our workforce and culture.</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Our headquarters are in Salt Lake City, Utah, which has fewer highly skilled employees in the AI/ML software and robotics fields than other major metropolitan areas. In addition, as part of the pivot in strategy announced on November 14, 2023, we determined to close our facility in Pittsburgh, Pennsylvania and may no longer be able to attract highly skilled employees in that location. To attract and retain key personnel, we may need to open offices in other areas of the country, which could increase costs and reduce productivity. Any failure by our management team and our employees to perform as expected may have a material adverse effect on our ability to design and launch our software products or to operate our business and compete, as well as on our business, prospects, financial condition and operating results.</w:t>
      </w:r>
    </w:p>
    <w:p>
      <w:pPr>
        <w:pStyle w:val="TextBody"/>
        <w:bidi w:val="0"/>
        <w:jc w:val="both"/>
        <w:rPr>
          <w:rFonts w:ascii="Times New Roman" w:hAnsi="Times New Roman"/>
          <w:sz w:val="20"/>
        </w:rPr>
      </w:pPr>
      <w:r>
        <w:rPr>
          <w:rFonts w:ascii="Times New Roman" w:hAnsi="Times New Roman"/>
          <w:b/>
          <w:i/>
          <w:color w:val="000000"/>
          <w:sz w:val="20"/>
        </w:rPr>
        <w:t>Our management as a group has limited experience in operating a publicly-traded company.</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Although some members of our management have public company experience, our management team may not successfully or effectively manage operating as a public company subject to significant regulatory oversight and reporting obligations under U.S. securities laws. Our officers as a group have limited experience in the management of a publicly-traded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Although we have hired personnel experienced in managing and addressing the obligations of a publicly-traded company, we may be unable to retain these employees or hire qualified replacements should we experience unwanted attrition. We may not have adequate personnel with the appropriate level of knowledge, experience and training in the accounting policies, practices or internal control over financial reporting required of public companies. Any failure by us to effectively and efficiently meet our obligations as a publicly-traded company could have a material adverse effect on our business, prospects, financial condition and operating results and/or result in legal liability or other negative consequences.</w:t>
      </w:r>
    </w:p>
    <w:p>
      <w:pPr>
        <w:pStyle w:val="TextBody"/>
        <w:bidi w:val="0"/>
        <w:jc w:val="both"/>
        <w:rPr>
          <w:rFonts w:ascii="Times New Roman" w:hAnsi="Times New Roman"/>
          <w:b/>
          <w:i/>
          <w:color w:val="000000"/>
          <w:sz w:val="20"/>
        </w:rPr>
      </w:pPr>
      <w:r>
        <w:rPr>
          <w:rFonts w:ascii="Times New Roman" w:hAnsi="Times New Roman"/>
          <w:b/>
          <w:i/>
          <w:color w:val="000000"/>
          <w:sz w:val="20"/>
        </w:rPr>
        <w:t>We incur significant expenses and administrative burdens as a publicly-traded company, which could have a material adverse effect on our business, prospects, financial condition and operating results.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As a publicly-traded company, we are incurring legal, accounting and other expenses that we previously did not have, and these expenses may increase as we continue to implement and strengthen controls, processes and systems and employ related personnel and after we are no longer an emerging growth company, as defined in Section 2(a) of the Securities Act. We are subject to reporting and other requirements of the Exchange Act, the Sarbanes-Oxley Act and the Dodd-Frank Wall Street Reform and Consumer Protection Act, as well as rules adopted by the SEC and Nasdaq. Our management and other personnel devote a substantial amount of time to these compliance initiatives. We may need to hire additional employees to support our operations as a public company, which will increase our operating costs in future periods. Moreover, these rules and regulations have substantially increased our legal and financial compliance costs and make some activities more time-consuming and costly. These increased costs have increased our net loss. For example, it has been more difficult and more expensive for us to obtain director and officer liability insurance and we have incurred substantially higher costs to obtain appropriate coverage than we incurred as a private company. We cannot accurately predict or estimate the amount or timing of all the additional costs we may incur. Being a public company could also make it more difficult for us to attract and retain qualified persons to serve on our board of directors, our board committees or as executive officers. Such increased expenses and administrative burdens involved in operating as a public company consume significant financial resources and any increases could have a material adverse effect on our business, financial condition and operating results.</w:t>
      </w:r>
    </w:p>
    <w:p>
      <w:pPr>
        <w:pStyle w:val="TextBody"/>
        <w:bidi w:val="0"/>
        <w:jc w:val="both"/>
        <w:rPr>
          <w:rFonts w:ascii="Times New Roman" w:hAnsi="Times New Roman"/>
          <w:b/>
          <w:i/>
          <w:color w:val="000000"/>
          <w:sz w:val="20"/>
        </w:rPr>
      </w:pPr>
      <w:r>
        <w:rPr>
          <w:rFonts w:ascii="Times New Roman" w:hAnsi="Times New Roman"/>
          <w:b/>
          <w:i/>
          <w:color w:val="000000"/>
          <w:sz w:val="20"/>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expect that the requirements of the Exchange Act, the Sarbanes-Oxley Act and the rules and regulations of Nasdaq will continue to result in significant legal, accounting and financial compliance costs, make some activities more difficult, time-consuming and costly, and place significant strain on personnel, systems and resources.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in a timely manner. We have been integrating our finance and accounting systems following our acquisition of RE2 to a common enterprise system, and a delay or other issues with the integration could impact our ability or prevent us from timely reporting our operating results, timely filing required reports with the SEC and complying with Section 404 of the Sarbanes-Oxley Act. The development and implementation of the processes and controls necessary for us to achieve the level of accounting standards required of a public company have increased and may continue to increase our legal and compliance costs, and such costs may be greater than expected.</w:t>
      </w:r>
    </w:p>
    <w:p>
      <w:pPr>
        <w:pStyle w:val="TextBody"/>
        <w:bidi w:val="0"/>
        <w:jc w:val="both"/>
        <w:rPr>
          <w:rFonts w:ascii="Times New Roman" w:hAnsi="Times New Roman"/>
          <w:sz w:val="20"/>
        </w:rPr>
      </w:pPr>
      <w:r>
        <w:rPr>
          <w:rFonts w:ascii="Times New Roman" w:hAnsi="Times New Roman"/>
          <w:b w:val="false"/>
          <w:color w:val="000000"/>
          <w:sz w:val="20"/>
        </w:rPr>
        <w:t>Our current controls and any new controls that we develop may be inadequate because of changes in conditions of our business or otherwise.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to the extent we are required to include such evaluations and reports in our periodic reports that we file with the SEC under Section 404 of the Sarbanes-Oxley Act. Ineffective disclosure controls and procedures and internal control over financial reporting could also cause investors to lose confidence in our reported financial and other information. See "</w:t>
      </w:r>
      <w:r>
        <w:rPr>
          <w:rFonts w:ascii="Times New Roman" w:hAnsi="Times New Roman"/>
          <w:b w:val="false"/>
          <w:i/>
          <w:color w:val="000000"/>
          <w:sz w:val="20"/>
        </w:rPr>
        <w:t>As a result of prior material weaknesses, the Restatement, the change in accounting for the Private Placement Warrants and other matters raised or that may in the future be raised by the SEC, we face the potential for litigation or other disputes, which may include claims invoking U.S. federal and state securities laws, contractual claims or other claims</w:t>
      </w:r>
      <w:r>
        <w:rPr>
          <w:rFonts w:ascii="Times New Roman" w:hAnsi="Times New Roman"/>
          <w:b w:val="false"/>
          <w:color w:val="000000"/>
          <w:sz w:val="20"/>
        </w:rPr>
        <w:t>."</w:t>
      </w:r>
    </w:p>
    <w:p>
      <w:pPr>
        <w:pStyle w:val="TextBody"/>
        <w:bidi w:val="0"/>
        <w:jc w:val="both"/>
        <w:rPr>
          <w:rFonts w:ascii="Times New Roman" w:hAnsi="Times New Roman"/>
          <w:sz w:val="20"/>
        </w:rPr>
      </w:pPr>
      <w:r>
        <w:rPr>
          <w:rFonts w:ascii="Times New Roman" w:hAnsi="Times New Roman"/>
          <w:b w:val="false"/>
          <w:color w:val="000000"/>
          <w:sz w:val="20"/>
        </w:rPr>
        <w:t>In order to maintain and improve the effectiveness of our disclosure controls and procedures and internal control over financial reporting, we expect to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operating costs and could materially and adversely affect our ability to operate our business. If our internal controls are or are perceived to be inadequate or if we are or are perceived to be unable to produce timely or accurate financial statements, investors may lose confidence in our operating results and the trading price of our securities could decline.</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 Any failure to maintain effective disclosure controls and procedures and internal control over financial reporting could have a material and adverse effect on our business, prospects, financial condition and operating results.</w:t>
      </w:r>
    </w:p>
    <w:p>
      <w:pPr>
        <w:pStyle w:val="TextBody"/>
        <w:bidi w:val="0"/>
        <w:jc w:val="both"/>
        <w:rPr>
          <w:rFonts w:ascii="Times New Roman" w:hAnsi="Times New Roman"/>
          <w:b/>
          <w:i/>
          <w:color w:val="000000"/>
          <w:sz w:val="20"/>
        </w:rPr>
      </w:pPr>
      <w:r>
        <w:rPr>
          <w:rFonts w:ascii="Times New Roman" w:hAnsi="Times New Roman"/>
          <w:b/>
          <w:i/>
          <w:color w:val="000000"/>
          <w:sz w:val="20"/>
        </w:rPr>
        <w:t>Our ability to use net operating loss carryforwards and other tax attributes may be limited in connection with ownership changes.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have incurred losses during our history and do not expect to become profitable in the near future, and we may never achieve profitability. To the extent that we continue to generate tax losses, unused losses will carry forward to offset future taxable income, if any, until such unused losses expire.</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Under the Tax Cuts and Jobs Act of 2017 (the Tax Act), as modified by the Coronavirus Aid, Relief and Economic Security Act of 2020 (the CARES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 Tax Act or the CARES Act. Suspensions or other restrictions on the use of net operating losses or tax credits, possibly with retroactive effect, may result in our existing net operating losses or tax credits expiring or otherwise being unavailable to offset future income tax liabilities.</w:t>
      </w:r>
    </w:p>
    <w:p>
      <w:pPr>
        <w:pStyle w:val="TextBody"/>
        <w:bidi w:val="0"/>
        <w:jc w:val="both"/>
        <w:rPr>
          <w:rFonts w:ascii="Times New Roman" w:hAnsi="Times New Roman"/>
          <w:sz w:val="20"/>
        </w:rPr>
      </w:pPr>
      <w:r>
        <w:rPr>
          <w:rFonts w:ascii="Times New Roman" w:hAnsi="Times New Roman"/>
          <w:b w:val="false"/>
          <w:color w:val="000000"/>
          <w:sz w:val="20"/>
        </w:rPr>
        <w:t>In addition, our net operating loss carryforwards are subject to review and possible adjustment by the Internal Revenue Service and state tax authorities. Under Sections 382 and 383 of the Internal Revenue Code of 1986, as amended (the “Code”), these U.S. federal net operating loss carryforwards and other tax attributes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net operating loss carryforwards and other tax attributes to offset future taxable income or tax liabilities may be limited as a result of ownership changes. Similar rules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may apply under state tax laws. If we earn taxable income, such limitations could result in increased future income tax liability to us and our future cash flows could be adversely affected. We have recorded a full valuation allowance related to our net operating loss carryforwards and other deferred tax assets due to the uncertainty of the ultimate realization of the future benefits of those assets.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Adverse events or perceptions affecting the financial services industry could adversely affect our operating results, liquidity, financial condition and prospects.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Limited liquidity, defaults, non-performance or other adverse developments affecting financial institutions or parties with which we do business, or perceptions regarding these or similar risks, have in the past and may in the future lead to market-wide liquidity problems. For example, on March 10, 2023, Silicon Valley Bank, or SVB was closed and placed in receivership. Subsequently, additional financial institutions have been placed into receivership. We did not hold cash deposits or other accounts with SVB and did not, and as of the date of this Report do not, otherwise have a direct business relationship with SVB or similarly situation financial institutions. The bulk of our financial assets, including our cash and investments in U.S. government securities, are held and managed within Bank of America and its affiliates (including Merrill Lynch). However, companies that did have a business relationship with SVB faced: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delayed access to deposits or other financial assets or the uninsured loss of deposits or other financial assets;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loss of access to existing revolving credit facilities or other working capital sources or the inability to refund, roll over or extend the maturity of, or enter into new credit facilities or other working capital resources;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potential or actual breach of obligations, including U.S. federal and state wage laws and contracts that required them to maintain letters of credit or other credit support arrangements;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termination of cash management arrangements or delays in accessing or actual loss of funds subject to cash management arrangements.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As a result of U.S. government intervention, account holders subsequently regained access to their accounts, including the uninsured portion of deposit accounts. However, borrowers under credit agreements, letters of credit and certain other financial instruments with SVB and similarly situated financial institutions may be unable to access such sources of liquidity. There is no guarantee that the U.S. government will intervene to provide access to uninsured funds in the future in the event of failure of other financial institutions, or that they would do so in a timely fashion. In such an event, parties with which we have commercial agreements, including customers and suppliers, may be unable to satisfy their obligations to us or enter into new commercial arrangements with us.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Any of these risks could materially impact our operating results, liquidity, financial condition and prospects.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are or may be subject to risks associated with strategic alliances or acquisitions and may not be able to identify adequate strategic relationship opportunities, or form strategic relationships, in the future.</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may seek to enter into strategic alliances, joint ventures, minority equity investments, acquisitions, collaborations and in-license arrangements. There is no guarantee that any of these partnerships or acquisitions would lead to any binding agreements or lasting or successful business relationships with third parties or that any of the other anticipated benefits will be achieved. If any of these relationships are established, they may subject us to a number of risks, including risks associated with sharing proprietary information, non-performance by the third-party and increased expenses in establishing new relationships, any of which could materially and adversely affect our business. We may have limited ability to monitor or control the actions of these third parties and, to the extent any of these strategic partners suffers negative publicity or harm to their reputation from events relating to their business, we may also suffer negative publicity or harm to our reputation by virtue of our association with any such third-party.</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expect that strategic business relationships will be an important factor in the growth and success of our business. However, we may not be able to identify or secure suitable business relationship opportunities in the future or our competitors may capitalize on such opportunities before we do. Moreover, identifying such opportunities could require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financial condition and operating results could be materially adversely affected.</w:t>
      </w:r>
    </w:p>
    <w:p>
      <w:pPr>
        <w:pStyle w:val="TextBody"/>
        <w:bidi w:val="0"/>
        <w:jc w:val="both"/>
        <w:rPr>
          <w:rFonts w:ascii="Times New Roman" w:hAnsi="Times New Roman"/>
          <w:sz w:val="20"/>
        </w:rPr>
      </w:pPr>
      <w:r>
        <w:rPr>
          <w:rFonts w:ascii="Times New Roman" w:hAnsi="Times New Roman"/>
          <w:b w:val="false"/>
          <w:color w:val="000000"/>
          <w:sz w:val="20"/>
        </w:rPr>
        <w:t>When appropriate opportunities arise, we have in the past, and may in the future acquire additional assets, products, technologies or businesses that are complementary to our existing business. From time to time, the sellers of these assets, products and technologies or businesses may retain certain rights to the technology that they sell to us, which in some circumstances could allow the sellers to compete with us. In addition to possible stockholder approval, we may need approvals and licenses from relevant government authorities for acquisitions and to comply with any applicable laws and regulations, which could result in delays and costs, and may disrupt our business strategy if we fail to do so. Furthermore, acquisitions and the subsequent integration of new assets and businesses into our own require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significant attention from our management and could result in a diversion of resources from our existing business, which in turn could have an adverse effect on our operations and financial results.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For example, we have previously experienced an impairment of all of the goodwill associated with our acquisition of RE2. Moreover, the costs of identifying and consummating acquisitions may be significant.</w:t>
      </w:r>
    </w:p>
    <w:p>
      <w:pPr>
        <w:pStyle w:val="TextBody"/>
        <w:bidi w:val="0"/>
        <w:jc w:val="both"/>
        <w:rPr>
          <w:rFonts w:ascii="Times New Roman" w:hAnsi="Times New Roman"/>
          <w:b/>
          <w:color w:val="000000"/>
          <w:sz w:val="20"/>
        </w:rPr>
      </w:pPr>
      <w:r>
        <w:rPr>
          <w:rFonts w:ascii="Times New Roman" w:hAnsi="Times New Roman"/>
          <w:b/>
          <w:color w:val="000000"/>
          <w:sz w:val="20"/>
        </w:rPr>
        <w:t>Risks Related to Claims, Legal and Regulatory Compliance</w:t>
      </w:r>
    </w:p>
    <w:p>
      <w:pPr>
        <w:pStyle w:val="TextBody"/>
        <w:bidi w:val="0"/>
        <w:jc w:val="both"/>
        <w:rPr>
          <w:rFonts w:ascii="Times New Roman" w:hAnsi="Times New Roman"/>
          <w:b/>
          <w:i/>
          <w:color w:val="000000"/>
          <w:sz w:val="20"/>
        </w:rPr>
      </w:pPr>
      <w:r>
        <w:rPr>
          <w:rFonts w:ascii="Times New Roman" w:hAnsi="Times New Roman"/>
          <w:b/>
          <w:i/>
          <w:color w:val="000000"/>
          <w:sz w:val="20"/>
        </w:rPr>
        <w:t>As a result of prior material weaknesses, the Restatement, the change in accounting for the Private Placement Warrants and other matters raised or that may in the future be raised by the SEC, we face the potential for litigation or other disputes, which may include claims invoking U.S. federal and state securities laws, contractual claims or other claims.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management is responsible for establishing and maintaining adequate internal control over financial reporting designed to provide reasonable assurance regarding the reliability of financial reporting and the preparation of consolidated financial statements for external purposes in accordance with accounting principles generally accepted in the United States (“GAAP”). Our management is likewise required, on a quarterly basis, to evaluate the effectiveness of our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Old Sarcos identified certain accounting errors related to its financial statements. As a result, Old Sarcos management concluded that a material weakness existed in its internal control over financial reporting related to the identification and review of technical issues associated with certain unique, unusual and nonstandard transactions within Old Sarcos’ equity process. As a result of this material weakness, management concluded that its internal control over financial reporting was not effective as of December 31, 2020 and 2021. Management implemented new measures designed to remediate the previously identified material weakness and completed the testing necessary to conclude that the material weakness was remediated as of June 30, 2022.</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(the “SEC Statement”). Following the issuance of the SEC Statement, after consultation with its independent registered public accounting firm, Rotor’s management and its audit committee concluded that, in light of the SEC Statement, it was appropriate to restate the previously issued audited balance sheet as of January 20, 2021 (the “Restatement”). As part of such process, Rotor identified a material weakness in its internal control over financial reporting. As of December 31, 2021, management determined that this material weakness was remediated as the previously issued financial statements were restated and management is now accounting for the Private Placement Warrants in accordance with the SEC Statement.</w:t>
      </w:r>
    </w:p>
    <w:p>
      <w:pPr>
        <w:pStyle w:val="TextBody"/>
        <w:bidi w:val="0"/>
        <w:jc w:val="both"/>
        <w:rPr>
          <w:rFonts w:ascii="Times New Roman" w:hAnsi="Times New Roman"/>
          <w:sz w:val="20"/>
        </w:rPr>
      </w:pPr>
      <w:r>
        <w:rPr>
          <w:rFonts w:ascii="Times New Roman" w:hAnsi="Times New Roman"/>
          <w:b w:val="false"/>
          <w:color w:val="000000"/>
          <w:sz w:val="20"/>
        </w:rPr>
        <w:t>To mitigate the potential for any future material weaknesses, we continue to devote significant effort and resources to the improvement of our internal control over financial reporting. Any failure to maintain effective internal control over financial reporting could adversely impact our ability to report our financial condition and results of operations on a timely and accurate basis. If our financial statements are not accurate, investors may not have a complete understanding of our operations and could lose confidence in our reported financial information, which could negatively affect the trading price of our Common Stock. In addition, if our financial statements are not filed on a timely basis, we could be subject to sanctions, enforcement actions or investigations by Nasdaq, the SEC or other regulatory authorities or to private litigation. As a result, any failure to maintain effective internal control over financial reporting could result in a material adverse effect on our business and the price of our Common Stock.</w:t>
      </w:r>
      <w:r>
        <w:rPr>
          <w:rFonts w:ascii="Times New Roman" w:hAnsi="Times New Roman"/>
          <w:color w:val="000000"/>
          <w:sz w:val="20"/>
        </w:rPr>
        <w:t xml:space="preserve"> </w:t>
      </w:r>
    </w:p>
    <w:p>
      <w:pPr>
        <w:pStyle w:val="TextBody"/>
        <w:bidi w:val="0"/>
        <w:jc w:val="both"/>
        <w:rPr>
          <w:rFonts w:ascii="Times New Roman" w:hAnsi="Times New Roman"/>
          <w:b/>
          <w:i/>
          <w:color w:val="000000"/>
          <w:sz w:val="20"/>
        </w:rPr>
      </w:pPr>
      <w:r>
        <w:rPr>
          <w:rFonts w:ascii="Times New Roman" w:hAnsi="Times New Roman"/>
          <w:b/>
          <w:i/>
          <w:color w:val="000000"/>
          <w:sz w:val="20"/>
        </w:rPr>
        <w:t>Changes in tax laws could have a material adverse effect on our business, cash flows, results of operations or financial condition.</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are subject to the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many countries and local jurisdictions and organizations such as the Organization for Economic Cooperation and Development have proposed or implemented new tax laws or changes to existing tax laws, including additional taxes on payroll or employees. The Tax Act has eliminated the option to deduct research and development expenditures currently and instead required taxpayers to capitalize and amortize them over five or fifteen years beginning in 2022. The Inflation Reduction Act of 2022 has imposed a 1% excise tax on certain repurchases of stock. Any new tax laws or changes to existing tax laws could adversely affect our effective tax rate, operating results, tax credits or incentives or tax payments, or require our potential customers to pay additional taxes, which could have a material adverse effect on our business, cash flows, results of operations or financial condition.</w:t>
      </w:r>
    </w:p>
    <w:p>
      <w:pPr>
        <w:pStyle w:val="TextBody"/>
        <w:bidi w:val="0"/>
        <w:jc w:val="both"/>
        <w:rPr>
          <w:rFonts w:ascii="Times New Roman" w:hAnsi="Times New Roman"/>
          <w:sz w:val="20"/>
        </w:rPr>
      </w:pPr>
      <w:r>
        <w:rPr>
          <w:rFonts w:ascii="Times New Roman" w:hAnsi="Times New Roman"/>
          <w:b/>
          <w:i/>
          <w:color w:val="000000"/>
          <w:sz w:val="20"/>
        </w:rPr>
        <w:t>We may become subject to new or changing governmental regulations relating to the design, marketing, distribution, servicing or use of our software products, and a failure to comply with such regulations could lead to withdrawal of our software platform from</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the market</w:t>
      </w:r>
      <w:r>
        <w:rPr>
          <w:rFonts w:ascii="Times New Roman" w:hAnsi="Times New Roman"/>
          <w:b w:val="false"/>
          <w:color w:val="000000"/>
          <w:sz w:val="20"/>
        </w:rPr>
        <w:t xml:space="preserve">, </w:t>
      </w:r>
      <w:r>
        <w:rPr>
          <w:rFonts w:ascii="Times New Roman" w:hAnsi="Times New Roman"/>
          <w:b/>
          <w:i/>
          <w:color w:val="000000"/>
          <w:sz w:val="20"/>
        </w:rPr>
        <w:t>delay our projected revenue, increase costs or make our business unviable if we are unable to modify our software platform to comply.</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may become subject to new or changing international, national, state and local regulations, including laws relating to the design, marketing, distribution, servicing or use of AI/ML software products, such as our AI/ML software platform. Such laws and regulations may also cover employment, taxation, privacy, data security, data protection, pricing, content, copyrights and other intellectual property, mobile communications, electronic contracts and other communications, consumer protection, unencumbered internet access to our services, the design and operation of websites, and the characteristics and quality of software and services, and may require us to pause sales and modify our software products, which would likely result in a material adverse effect on our revenue and financial condition, especially if implemented on a large scale or in a key market. Such laws and regulations can also give rise to liability, such as fines and penalties or for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of our software products from the market.</w:t>
      </w:r>
    </w:p>
    <w:p>
      <w:pPr>
        <w:pStyle w:val="TextBody"/>
        <w:bidi w:val="0"/>
        <w:jc w:val="both"/>
        <w:rPr>
          <w:rFonts w:ascii="Times New Roman" w:hAnsi="Times New Roman"/>
          <w:b/>
          <w:i/>
          <w:color w:val="000000"/>
          <w:sz w:val="20"/>
        </w:rPr>
      </w:pPr>
      <w:r>
        <w:rPr>
          <w:rFonts w:ascii="Times New Roman" w:hAnsi="Times New Roman"/>
          <w:b/>
          <w:i/>
          <w:color w:val="000000"/>
          <w:sz w:val="20"/>
        </w:rPr>
        <w:t>We may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may be subject to claims, lawsuits, arbitration proceedings, government investigations and other legal, regulatory and administrative proceedings. In addition, we may be subject to the heightened scrutiny that is sometimes directed toward companies taken public via a business combination with a special purpose acquisition company. The outcome of any such claims, investigations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Further, under certain circumstances we have or may take on contractual or other legal obligations to indemnify and to incur legal expenses on behalf of investors, directors, officers, employees, customers, vendors or other third-parties. For example, our Amended and Restated Bylaws (the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pStyle w:val="TextBody"/>
        <w:bidi w:val="0"/>
        <w:jc w:val="both"/>
        <w:rPr>
          <w:rFonts w:ascii="Times New Roman" w:hAnsi="Times New Roman"/>
          <w:sz w:val="20"/>
        </w:rPr>
      </w:pPr>
      <w:r>
        <w:rPr>
          <w:rFonts w:ascii="Times New Roman" w:hAnsi="Times New Roman"/>
          <w:b/>
          <w:i/>
          <w:color w:val="000000"/>
          <w:sz w:val="20"/>
        </w:rPr>
        <w:t>We are subject to evolving laws, regulations, standards, policies and contractual obligations related to data privacy and security, and our actual or perceived failure to comply with such obligations could harm our reputation, subject us to significant fines and liability or otherwise adversely affect our business, prospects, financial condition and operating results.</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are subject to or affected by a number of national,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Many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or incident. Such mandatory disclosures are costly and could lead to negative publicity, penalties, fines,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w:t>
      </w:r>
    </w:p>
    <w:p>
      <w:pPr>
        <w:pStyle w:val="TextBody"/>
        <w:bidi w:val="0"/>
        <w:jc w:val="both"/>
        <w:rPr>
          <w:rFonts w:ascii="Times New Roman" w:hAnsi="Times New Roman"/>
          <w:sz w:val="20"/>
        </w:rPr>
      </w:pPr>
      <w:r>
        <w:rPr>
          <w:rFonts w:ascii="Times New Roman" w:hAnsi="Times New Roman"/>
          <w:b w:val="false"/>
          <w:color w:val="000000"/>
          <w:sz w:val="20"/>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Additionally, a new privacy law, the California Privacy Rights Act (“CPRA”), was approved by California voters on November 3, 2020.</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The CPRA created obligations relating to consumer data beginning on January 1, 2022, and the CPRA went into effect on January 1, 2023. The CPRA significantly modified the CCPA, potentially resulting in further uncertainty. Numerous other states have proposed, and in many cases have enacted, laws addressing data privacy and security. For example, Virginia, Colorado, Connecticut, Delaware, Utah, Iowa, Indiana, Texas, Montana, Oregon, Florida, and Tennessee have enacted laws similar to the CCPA and CPRA that have taken or will take effect between 2023 and 2026. The U.S. federal government also is contemplating federal privacy legislation.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which generally are more stringent than those currently enforced in the United States. The GDPR requires companies to meet stringent requirements regarding the handling of personal data of individuals located in the European Economic Area. The GDPR also includes significant penalties for noncompliance, which may result in monetary penalties of up to the higher of €20 million or 4% of a group’s worldwide turnover for the preceding financial year for the most serious violations. The United Kingdom’s version of the GDPR, which it maintains along with its Data Protection Act,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 As a general matter, compliance with laws, regulations, contractual obligations, industry standards, and any rules or guidance from self-regulatory organizations relating to privacy, data protection, and data security that apply, or are asserted 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comply with such policies and other actual or asserted legal or contractual obligations relating to privacy, data protection or data security.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Any actual or perceived inability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or liabilities. Any such claims or other proceedings could be expensive and time-consuming to defend and could result in adverse publicity. Any of the foregoing may have an adverse effect on our business, prospects, results of operations, and financial condition.</w:t>
      </w:r>
    </w:p>
    <w:p>
      <w:pPr>
        <w:pStyle w:val="TextBody"/>
        <w:bidi w:val="0"/>
        <w:jc w:val="left"/>
        <w:rPr>
          <w:rFonts w:ascii="Times New Roman" w:hAnsi="Times New Roman"/>
          <w:b/>
          <w:i/>
          <w:color w:val="000000"/>
          <w:sz w:val="20"/>
        </w:rPr>
      </w:pPr>
      <w:r>
        <w:rPr>
          <w:rFonts w:ascii="Times New Roman" w:hAnsi="Times New Roman"/>
          <w:b/>
          <w:i/>
          <w:color w:val="000000"/>
          <w:sz w:val="20"/>
        </w:rPr>
        <w:t>Issues in the development and use of artificial intelligence, combined with an uncertain regulatory environment, may result in reputational harm, liability or other adverse consequences to our business operations.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AI/ML technologies are complex and rapidly evolving, and we face significant competition from other companies as well as an evolving regulatory landscape. The introduction of AI/ML technologies into new or existing products may result in new or enhanced governmental or regulatory scrutiny, litigation, confidentiality or security risks, ethical concerns or other complications that could adversely affect our business, reputation or financial results or limit the functionality of our software platform or our ability to sell our software platform. Governmental bodies have implemented laws and are considering further regulation of AI/ML technologies that could negatively impact our ability to use and develop platforms and products incorporating these technologies. The European Union has proposed certain legislation, such as the EU AI Act, that, when adopted, could impose onerous obligations related to the use of AI/ML related systems. For example, on October 30, 2023 the Biden administration issued an Executive Order to, among other things, establish extensive new standards for AI safety and security. Other jurisdictions may decide to adopt similar or more restrictive legislation that may render the use of such technologies challenging. If such legislation, or similar regulations in other jurisdictions, is enacted, compliance with such obligations may be difficult, onerous, and costly, and could adversely affect our business, reputation, financial condition, results of operations, and growth prospects. Additionally, the intellectual property ownership and license rights, including copyright, surrounding AI/ML technologies has not been fully addressed by U.S. courts or other federal or state laws or regulations, and the use or adoption of third party AI/ML technologies into robotic products and services may result in exposure to claims of copyright infringement or other intellectual property misappropriation or infringement.</w:t>
      </w:r>
    </w:p>
    <w:p>
      <w:pPr>
        <w:pStyle w:val="TextBody"/>
        <w:bidi w:val="0"/>
        <w:jc w:val="both"/>
        <w:rPr>
          <w:rFonts w:ascii="Times New Roman" w:hAnsi="Times New Roman"/>
          <w:sz w:val="20"/>
        </w:rPr>
      </w:pPr>
      <w:r>
        <w:rPr>
          <w:rFonts w:ascii="Times New Roman" w:hAnsi="Times New Roman"/>
          <w:b w:val="false"/>
          <w:color w:val="000000"/>
          <w:sz w:val="20"/>
        </w:rPr>
        <w:t>Uncertainty around new and emerging AI/ML technologies, may require additional investment in the development and maintenance of proprietary datasets and machine learning models, development of new approaches and processes to provide attribution or remuneration to creators of training data, and development of appropriate protections and safeguards for handling the use of data with AI technologies,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which may be costly and could impact our expenses if we decide to expand AI/ML within product offerings. AI/ML technologies may create content that appears correct but is factually inaccurate or flawed. Our customers or others may rely on or use this flawed content to their detriment, which may expose us to brand or reputational harm, competitive harm and/or legal liability. The use of AI/ML technologies presents emerging ethical and social issues, and if we enable or offer solutions that draw scrutiny or controversy due to their perceived or actual impact on customers or on society as a whole, we may experience brand or reputational harm, competitive harm and/or legal liability. These challenges may make it harder for us to conduct our business using AI, and may lead to regulatory fines or penalties, require us to change our product offerings or business practices, or prevent or limit our use of AI. If we cannot use AI, or that use is restricted, our business may be less efficient, or we may be at a competitive disadvantage. Any of these factors could adversely affect our business, financial condition, and results of operations.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are subject to cybersecurity risks to our operational systems, security systems, infrastructure, and data processed by us or third-party vendors.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have been and may in the future be a target for cybersecurity attacks designed to disrupt our operations or to attempt to gain access to our systems, data processed or maintained in our business, trade secrets or other proprietary information or financial resources. Many of our employees work remotely which has increased security risks. In addition, the risk of state-supported and geopolitical-related cybersecurity attacks is believed to be heightened in connection with the war in Ukraine and any related political or economic responses and counter-responses. Further, attackers have used AI/ML technologies to launch more automated, targeted and coordinated attacks against their targets.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 (c) in-product technology, owned by us or our third-party vendors; (d) our software, including third-party software we license; and (e) customer data that we process or our third-party vendors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we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or others; jeopardize the security of our facilities; or affect the performance of in-product technology and the integrated software in our systems. Certain efforts may be state-sponsored or supported by significant financial and technological resources, making them even more difficult to detect, remediate and otherwise respond to.</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and other malicious code, social engineering schemes, insider theft or misuse or other attempts to harm our systems. We may face objections to our intended collection or use of data, which may require us to implement new or modified data handling policies and mechanisms, increase our maintenance costs and costs associated with data processing and handling, and harm our business prospects. The use of AI/ML technologies may result in security incidents and our use of AI/ML technologies may create additional cybersecurity risks or increase cybersecurity risks, including risks of security breaches and incidents. Further, AI/ML technologies may be used in connection with certain cybersecurity attacks, resulting in heightened risks of security breaches and incidents.</w:t>
      </w:r>
    </w:p>
    <w:p>
      <w:pPr>
        <w:pStyle w:val="TextBody"/>
        <w:bidi w:val="0"/>
        <w:jc w:val="both"/>
        <w:rPr>
          <w:rFonts w:ascii="Times New Roman" w:hAnsi="Times New Roman"/>
          <w:sz w:val="20"/>
        </w:rPr>
      </w:pPr>
      <w:r>
        <w:rPr>
          <w:rFonts w:ascii="Times New Roman" w:hAnsi="Times New Roman"/>
          <w:b w:val="false"/>
          <w:color w:val="000000"/>
          <w:sz w:val="20"/>
        </w:rPr>
        <w:t>Although we have implemented and are in the process of implementing additional systems and processes that are designed to protect our data and systems within our control, prevent data loss and prevent other security breaches and security incidents, these security measures cannot guarantee security. The IT and infrastructure used in our business may be vulnerable to cyberattacks or security breaches or incidents, and third parties may be able to access data, including personal data and other sensitive and proprietary data of ours and our customers, collaborators and partners, our employees’ personal data or other sensitive and proprietary data accessible through those systems, or such data otherwise may be subject to unauthorized use, disclosure, unavailability, modification or other processing. Employee error, malfeasance or other errors in the storage, use or transmission of any of these types of data could result in an actual or perceived privacy or security breach or other security incident.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20"/>
        </w:rPr>
        <w:t>Moreover, there are inherent risks associated with developing, improving, expanding and updating our current systems, such as the disruption of our data management, procurement, production execution, finance and sales and service processes. These risks may affect</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ability to manage our data or deploy and service our products and solutions,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Any actual or perceived security breach or security incident, or any systems outages or other disruption to systems used in our business, could interrupt our operations, result in loss or improper access to, or acquisition, unavailability, modification, disclosure or other processing of, data or a loss of intellectual property protection, harm our reputation and competitive position, reduce demand for our software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pStyle w:val="TextBody"/>
        <w:bidi w:val="0"/>
        <w:jc w:val="both"/>
        <w:rPr>
          <w:rFonts w:ascii="Times New Roman" w:hAnsi="Times New Roman"/>
          <w:b/>
          <w:i/>
          <w:color w:val="000000"/>
          <w:sz w:val="20"/>
        </w:rPr>
      </w:pPr>
      <w:r>
        <w:rPr>
          <w:rFonts w:ascii="Times New Roman" w:hAnsi="Times New Roman"/>
          <w:b/>
          <w:i/>
          <w:color w:val="000000"/>
          <w:sz w:val="20"/>
        </w:rPr>
        <w:t>We are subject to laws, regulations and contractual provisions as a government contractor or subcontractor, which may pose increased risk of potential liability and expenses related thereto, which could have a material adverse effect on our business, operating results and financial condition.</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U.S. governmental agencies, such as the Defense Contract Audit Agency and the Defense Contract Management Agency, routinely audit and investigate government contractors. In addition,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our software products to our government customers. These laws and regulations may impose other added costs on our business, and failure to comply with these or other applicable regulations and requirements, including non-compliance in the past, could lead to claims for damages, downward contract price adjustments or refund obligations, civil or criminal penalties,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prospects, financial condition and operating results.</w:t>
      </w:r>
    </w:p>
    <w:p>
      <w:pPr>
        <w:pStyle w:val="TextBody"/>
        <w:bidi w:val="0"/>
        <w:jc w:val="both"/>
        <w:rPr>
          <w:rFonts w:ascii="Times New Roman" w:hAnsi="Times New Roman"/>
          <w:sz w:val="20"/>
        </w:rPr>
      </w:pPr>
      <w:r>
        <w:rPr>
          <w:rFonts w:ascii="Times New Roman" w:hAnsi="Times New Roman"/>
          <w:b/>
          <w:i/>
          <w:color w:val="000000"/>
          <w:sz w:val="20"/>
        </w:rPr>
        <w:t>We are subject to U.S. and foreign anti-corruption and anti-money laundering laws and regulations. We can face criminal liability and other serious consequences for violations of these laws, which can harm our business, prospects, financial condition and operating results.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val="false"/>
          <w:color w:val="000000"/>
          <w:sz w:val="20"/>
        </w:rPr>
        <w:t>We are subject to the U.S. Foreign Corrupt Practices Act of 1977, as amended (FCPA), the U.S. domestic bribery statute contained in 18 U.S.C. § 201, the U.S. Travel Act, and other anti-corruption, anti-bribery and anti-money laundering laws, including those of other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have direct and indirect interactions with foreign officials, including in furtherance of sales to governmental entities in non-U.S. countries. We sometimes leverage third parties to conduct our business abroad, and our third-party business partners, intermediaries, representatives and agents may have direct or indirect interactions with officials and employees of government agencies or state-owned or affiliated entities. We can be held liable for the corrupt or other illegal activities of our employees or these third-parties,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our employees, business partners, third-party intermediaries, representatives and agents may take actions in violation of our policies and applicable law, for which we may be ultimately held responsible. Our exposure for violating these laws increases as our international presence expands and as we increase sales and operations in foreign jurisdictions.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Any allegations or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pStyle w:val="TextBody"/>
        <w:bidi w:val="0"/>
        <w:jc w:val="both"/>
        <w:rPr>
          <w:rFonts w:ascii="Times New Roman" w:hAnsi="Times New Roman"/>
          <w:b/>
          <w:i/>
          <w:color w:val="000000"/>
          <w:sz w:val="20"/>
        </w:rPr>
      </w:pPr>
      <w:r>
        <w:rPr>
          <w:rFonts w:ascii="Times New Roman" w:hAnsi="Times New Roman"/>
          <w:b/>
          <w:i/>
          <w:color w:val="000000"/>
          <w:sz w:val="20"/>
        </w:rPr>
        <w:t>We are subject to governmental export and import controls and laws that could subject us to liability if we are not in compliance with such laws.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AI/ML software platform and technology are subject to compliance with any applicable export control, import and economic sanctions laws and regulations, including the U.S. Export Administration Regulations, U.S. International Traffic in Arms Regulations, U.S. Customs regulations and various economic and trade sanctions regulations administered by the U.S. Treasury Department’s Office of Foreign Assets Control. Exports of our software and technology must be made in compliance with these laws and regulations. If we fail to comply with these laws and regulations, we and certain of our employees could be subject to substantial civil or criminal penalties, including the possible loss of export or import privileges; debarment from U.S. government contracting; fines, which may be imposed on us and responsible employees or managers; and, in extreme cases, the incarceration of responsible employees or managers.</w:t>
      </w:r>
    </w:p>
    <w:p>
      <w:pPr>
        <w:pStyle w:val="TextBody"/>
        <w:bidi w:val="0"/>
        <w:jc w:val="both"/>
        <w:rPr>
          <w:rFonts w:ascii="Times New Roman" w:hAnsi="Times New Roman"/>
          <w:sz w:val="20"/>
        </w:rPr>
      </w:pPr>
      <w:r>
        <w:rPr>
          <w:rFonts w:ascii="Times New Roman" w:hAnsi="Times New Roman"/>
          <w:b w:val="false"/>
          <w:color w:val="000000"/>
          <w:sz w:val="20"/>
        </w:rPr>
        <w:t>Moreover, international sales of our software may be subject to first obtaining licenses, clearances or authorizations from various regulatory entities. If we are not allowed to export our software or the clearance process is burdensome and costly, our ability to generate revenue would be adversely affected.</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addition, changes to our software, or changes in applicable export control, import or economic sanctions laws and regulations may create delays in the introduction and sale of our software platform, constrain collaboration with suppliers or other business partners or, in some cases, prevent the export or import of our software to certain countries, governments or persons altogether. Compliance with such laws and regulations may also be costly and require time and attention from our management.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software platform systems, as well as our decreased ability to export or market our software to potential customers. Any decreased use of our software platform or limitation on our ability to export or market our software would likely adversely affect our business, prospects, financial condition and operating results.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Increased scrutiny and changing expectations from regulators,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Companies across all industries are facing increasing scrutiny related to their environmental, social and governance, or ESG, practices and reporting. Regulators, investors, customers, employees and other stakeholders have focused increasingly on ESG practices and placed increasing importance on the implications and social cost of their investments, purchases and other interactions with companies. If our ESG practices and reporting do not meet investor, customer, or employee expectations, which continue to evolve, our brand, reputation and customer retention may be negatively impacted. We could also incur additional costs and devote additional resources to monitor, report and implement various ESG practices, including as a result of regulatory developments.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jc w:val="both"/>
        <w:rPr>
          <w:rFonts w:ascii="Times New Roman" w:hAnsi="Times New Roman"/>
          <w:b/>
          <w:i/>
          <w:color w:val="000000"/>
          <w:sz w:val="20"/>
        </w:rPr>
      </w:pPr>
      <w:r>
        <w:rPr>
          <w:rFonts w:ascii="Times New Roman" w:hAnsi="Times New Roman"/>
          <w:b/>
          <w:i/>
          <w:color w:val="000000"/>
          <w:sz w:val="20"/>
        </w:rPr>
        <w:t>Our success depends in part on our ability to obtain and maintain protection for the intellectual property relating to our software and other technologies.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success depends in part on our ability to obtain and maintain protection for the intellectual property relating to our software and other technologies. We seek to protect our intellectual property through a combination of patents, trademarks and other intellectual property rights, as well as confidentiality and/or intellectual property assignment agreements with our employees and certain of our contractors, consultants, scientific advisors and other vendors and third-parties. In addition, we rely on trade secret law to protect our proprietary software and product candidates/products in development.</w:t>
      </w:r>
    </w:p>
    <w:p>
      <w:pPr>
        <w:pStyle w:val="TextBody"/>
        <w:bidi w:val="0"/>
        <w:jc w:val="both"/>
        <w:rPr>
          <w:rFonts w:ascii="Times New Roman" w:hAnsi="Times New Roman"/>
          <w:sz w:val="20"/>
        </w:rPr>
      </w:pPr>
      <w:r>
        <w:rPr>
          <w:rFonts w:ascii="Times New Roman" w:hAnsi="Times New Roman"/>
          <w:b w:val="false"/>
          <w:color w:val="000000"/>
          <w:sz w:val="20"/>
        </w:rPr>
        <w:t>Patent positions covering robotic systems and solutions can be highly uncertain and involve many new and evolving complex legal, factual and technical issues. Patent laws and interpretations of those laws are subject to change and any such changes may diminish the value of our patents or narrow the scope of our right to exclude others. In addition, we may fail to apply for or be unable to obtain patents necessary to protect our technology or software platform from competition or fail to enforce our patents due to lack of information about</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the exact use of technology or processes by third parties or for a variety of other reasons. Also, we cannot be sure that any patents will be granted in a timely manner or at all with respect to any of our pending patent applications or that any patents that are granted will be adequate to exclude others for any significant period of time or at all. Given the foregoing, and in order to continue reducing operational expenses in the future, we may invest fewer resources in filing and prosecuting new patents and on maintaining and enforcing various patents, especially in regions where we currently do not focus our market growth strategy.</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Litigation to establish or challenge the validity of patents, or to defend against or assert against others’ infringement, unauthorized use, enforceability or invalidity, can be lengthy and expensive and may result in our patents being invalidated or interpreted narrowly and may restrict our ability to be granted new patents related to our pending patent applications. Even if we prevail, litigation may be time consuming, force us to incur significant costs and divert management’s attention from managing our business while any damages or other remedies awarded to us may not be valuable or adequate. In addition, U.S. patents and patent applications may be subject to interference or derivation proceedings, and U.S. patents may be subject to re-examination and inter partes or post grant review proceedings in the U.S. Patent and Trademark Office. Furthermore, our issued patents may be subject to claims of invalidity based on earlier filed patents or published applications not discovered in any patent searches or by the patent offices that carried out examination of the issued patents. Foreign patents may also be subject to opposition or comparable proceedings in corresponding foreign patent offices. Any of these proceedings may be expensive and could result in the loss of a patent or denial of a patent application, or the loss or reduction in the scope of one or more of the claims of a patent or patent application.</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 addition, we seek to protect our trade secrets, know-how, and confidential information that is not patentable or for which we decide not to seek a patent by entering into confidentiality and intellectual property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or is using our trade secrets without authorization may be expensive and time consuming, and the outcome is unpredictable. Some of our employees or consultants or service providers may own certain technology which they license to us for a set term. If these technologies are material to our business after the term of the license, our inability to use them could adversely affect our business and profitability.</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also have taken and continue to take precautions to initiate safeguards to protect our information technology systems. However, these measures may not be adequate to safeguard our proprietary information, which could lead to the loss or impairment thereof or to expensive litigation to defend our rights against competitors who may be better funded and have superior resources. In addition, unauthorized parties may attempt to copy or reverse engineer certain aspects of our software or other technologies that we consider proprietary or our proprietary information may otherwise become known or may be independently developed by our competitors or other third parties. If other parties are able to use our proprietary technology or information, our ability to compete in the market could be harmed. Further, unauthorized use of our intellectual property may have occurred, or may occur in the future, without our knowledge.</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also have made efforts to register and enforce our trademark rights and copyrights. However, trademark law and the associated infringement analysis is complex, and, notwithstanding our efforts to develop and enforce our trademark portfolio, both outgoing and incoming claims of trademark infringement could lead to limitations, loss or impairment of those trademark rights or to expensive litigation to prosecute or defend our trademark rights against third-party infringers who may be better funded and have superior resources. Copyrights, in particular in the software space, are also complex and may be difficult to enforce.</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If we are unable to obtain or maintain adequate protection for our intellectual property, or if any protection is reduced or eliminated, competitors may be able to use our technologies, resulting in harm to our competitive position and our business.</w:t>
      </w:r>
    </w:p>
    <w:p>
      <w:pPr>
        <w:pStyle w:val="TextBody"/>
        <w:bidi w:val="0"/>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in all countries.</w:t>
      </w:r>
    </w:p>
    <w:p>
      <w:pPr>
        <w:pStyle w:val="TextBody"/>
        <w:bidi w:val="0"/>
        <w:jc w:val="both"/>
        <w:rPr>
          <w:rFonts w:ascii="Times New Roman" w:hAnsi="Times New Roman"/>
          <w:sz w:val="20"/>
        </w:rPr>
      </w:pPr>
      <w:r>
        <w:rPr>
          <w:rFonts w:ascii="Times New Roman" w:hAnsi="Times New Roman"/>
          <w:b w:val="false"/>
          <w:color w:val="000000"/>
          <w:sz w:val="20"/>
        </w:rPr>
        <w:t>Filing, prosecuting, maintaining and defending patents and trademarks and seeking to enforce copyrights on our intellectual property in all countries throughout the world would be prohibitively expensive and time consuming, and thus our intellectual property rights outside the United States are limited. In addition, the laws of some foreign countries, especially developing countries, such as China,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 Consequently, we are unable to prevent third parties from using our inventions in all countries, or from selling or importing products made using our inventions, technologies or software in the jurisdictions in which we do not have (or are unable to effectively enforce) patent or other intellectual property protection. Competitors may use our technologies in jurisdictions where they have not obtained patent protection to develop, market or otherwise commercialize their own products, and we may be unable to prevent those competitors from importing those infringing products into territories where we have patent protection, but enforcement may not be as strong as in the United States. These products may compete with our software products and our patents and other intellectual property rights may not be effective or sufficient to prevent them from competing in those jurisdictions. Moreover, strategic partners, competitors or others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may raise legal challenges against our intellectual property rights or may infringe upon our intellectual property rights, including through means that may be difficult to detect or prevent.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pStyle w:val="TextBody"/>
        <w:bidi w:val="0"/>
        <w:jc w:val="both"/>
        <w:rPr>
          <w:rFonts w:ascii="Times New Roman" w:hAnsi="Times New Roman"/>
          <w:b/>
          <w:i/>
          <w:color w:val="000000"/>
          <w:sz w:val="20"/>
        </w:rPr>
      </w:pPr>
      <w:r>
        <w:rPr>
          <w:rFonts w:ascii="Times New Roman" w:hAnsi="Times New Roman"/>
          <w:b/>
          <w:i/>
          <w:color w:val="000000"/>
          <w:sz w:val="20"/>
        </w:rPr>
        <w:t>We may be subject to intellectual property infringement claims or misappropriation claims, which may be time consuming and expensive and, if adversely determined, could limit our ability to commercialize our software products.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Companies operating in the robotics software industry may face difficulty enforcing their patent and other intellectual property rights and may become subject to a substantial amount of litigation over these rights. In particular, our competitors in both the United States and abroad, many of which have substantially greater resources than we have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pStyle w:val="TextBody"/>
        <w:bidi w:val="0"/>
        <w:jc w:val="both"/>
        <w:rPr>
          <w:rFonts w:ascii="Times New Roman" w:hAnsi="Times New Roman"/>
          <w:sz w:val="20"/>
        </w:rPr>
      </w:pPr>
      <w:r>
        <w:rPr>
          <w:rFonts w:ascii="Times New Roman" w:hAnsi="Times New Roman"/>
          <w:b w:val="false"/>
          <w:color w:val="000000"/>
          <w:sz w:val="20"/>
        </w:rPr>
        <w:t>Determining whether a product infringes a patent involves complex legal and factual issues and the outcome of patent litigation is often uncertain. No assurance can be given that patents containing claims covering our software products, technology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published applications that initially do not appear to be problematic may issue with claims that potentially cover our software, technology or methods. Moreover, there may be pending, published or allowed applications that may disclose, but not claim, subject matter covering our software, technology or methods, where such pending or published applications may be amended, or one or more continuation or divisional applications may be filed, in an attempt to capture, to the extent possible, such software, technology or methods that are in the public domain, and which may result in issued patents that our current or future products infringe.</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Infringement actions and other intellectual property claims brought against us, whether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infringing software products, unless we can obtain a license to use the technology covered by such patents or can redesign our software products so that they do not infringe. A license may not be available on commercially reasonable terms or at all, and we may not be able to redesign our software products to avoid infringement. In these circumstances, we may not be able to sell our software products at competitive prices or at all, and our business, prospects, financial condition and operating results could be harmed.</w:t>
      </w:r>
    </w:p>
    <w:p>
      <w:pPr>
        <w:pStyle w:val="TextBody"/>
        <w:bidi w:val="0"/>
        <w:jc w:val="both"/>
        <w:rPr>
          <w:rFonts w:ascii="Times New Roman" w:hAnsi="Times New Roman"/>
          <w:b/>
          <w:i/>
          <w:color w:val="000000"/>
          <w:sz w:val="20"/>
        </w:rPr>
      </w:pPr>
      <w:r>
        <w:rPr>
          <w:rFonts w:ascii="Times New Roman" w:hAnsi="Times New Roman"/>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jc w:val="both"/>
        <w:rPr>
          <w:rFonts w:ascii="Times New Roman" w:hAnsi="Times New Roman"/>
          <w:sz w:val="20"/>
        </w:rPr>
      </w:pPr>
      <w:r>
        <w:rPr>
          <w:rFonts w:ascii="Times New Roman" w:hAnsi="Times New Roman"/>
          <w:b w:val="false"/>
          <w:color w:val="000000"/>
          <w:sz w:val="20"/>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may include a non-exclusive, non-transferable, irrevocable worldwide license to use inventions for any governmental purpose. In addition, the U.S. government may have the right, under certain limited circumstances, to require us to grant exclusive, partially exclusive, or non-exclusive licenses to any of these inventions to a third party if the U.S. government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intellectual property rights generated through the use of U.S. government funding or grants, we could be forced to license or sublicense intellectual property we developed or that we license on terms unfavorable to us, and there can be no assurance that we would receive compensation from the U.S. government for the exercise of such rights. The U.S. government may also have the right to take title to these inventions if the grant recipient fails to disclose the invention to the government or fails to file an application to register the intellectual property within specified time limits. Intellectual</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bidi w:val="0"/>
        <w:jc w:val="both"/>
        <w:rPr>
          <w:rFonts w:ascii="Times New Roman" w:hAnsi="Times New Roman"/>
          <w:b/>
          <w:i/>
          <w:color w:val="000000"/>
          <w:sz w:val="20"/>
        </w:rPr>
      </w:pPr>
      <w:r>
        <w:rPr>
          <w:rFonts w:ascii="Times New Roman" w:hAnsi="Times New Roman"/>
          <w:b/>
          <w:i/>
          <w:color w:val="000000"/>
          <w:sz w:val="20"/>
        </w:rPr>
        <w:t>We may be subject to damages resulting from claims that we or our employees have wrongfully used or disclosed alleged trade secrets of our employees’ former employers.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may be subject to claims that we or our employees have inadvertently or otherwise used or disclosed trade secrets or other proprietary information of an employee’s former employers. Litigation may be necessary to defend against these claims. If we fail to defend against such claims, in addition to paying monetary damages, we may lose valuable intellectual property rights or personnel or be forced to seek a license, which may not be available on commercially acceptable terms or at all. A loss of key personnel or their work product could hamper or prevent our ability to commercialize our software products, which could severely harm our business. Even if we are successful in defending against these claims, litigation could result in substantial costs and demand on management resources.</w:t>
      </w:r>
    </w:p>
    <w:p>
      <w:pPr>
        <w:pStyle w:val="TextBody"/>
        <w:bidi w:val="0"/>
        <w:jc w:val="both"/>
        <w:rPr>
          <w:rFonts w:ascii="Times New Roman" w:hAnsi="Times New Roman"/>
          <w:b/>
          <w:color w:val="000000"/>
          <w:sz w:val="20"/>
        </w:rPr>
      </w:pPr>
      <w:r>
        <w:rPr>
          <w:rFonts w:ascii="Times New Roman" w:hAnsi="Times New Roman"/>
          <w:b/>
          <w:color w:val="000000"/>
          <w:sz w:val="20"/>
        </w:rPr>
        <w:t>Risks Related to Ownership of our Securities</w:t>
      </w:r>
    </w:p>
    <w:p>
      <w:pPr>
        <w:pStyle w:val="TextBody"/>
        <w:bidi w:val="0"/>
        <w:jc w:val="both"/>
        <w:rPr>
          <w:rFonts w:ascii="Times New Roman" w:hAnsi="Times New Roman"/>
          <w:sz w:val="20"/>
        </w:rPr>
      </w:pPr>
      <w:r>
        <w:rPr>
          <w:rFonts w:ascii="Times New Roman" w:hAnsi="Times New Roman"/>
          <w:b/>
          <w:i/>
          <w:color w:val="000000"/>
          <w:sz w:val="20"/>
        </w:rPr>
        <w:t>Resales of the shares of Common Stock issued in connection with the Business Combination and our acquisition of RE2 could depress the market price of our Common Stock.</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Sales of a substantial number of shares of our Common Stock or Warrants could occur at any time. These sales, or the perception in the market that the holders of a large number of shares intend to sell shares, could reduce the market price of our Common Stock or Warrants. Although a portion of our Common Stock was previously subject to lock-up restrictions (as described below), these restrictions have since expired.</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Common Stock issued to the former securityholders of Old Sarcos (“Old Sarcos Security Holders”) represented approximately 71.0% of our Common Stock outstanding as of September 30, 2023. The Common Stock held by Old Sarcos Security Holders was subject to lock-up agreements set forth in our Amended and Restated Bylaws and lock-up agreements entered into with the Old Sarcos Security Holders (as amended). These lock-up periods have fully expired.</w:t>
      </w:r>
    </w:p>
    <w:p>
      <w:pPr>
        <w:pStyle w:val="TextBody"/>
        <w:bidi w:val="0"/>
        <w:jc w:val="both"/>
        <w:rPr>
          <w:rFonts w:ascii="Times New Roman" w:hAnsi="Times New Roman"/>
          <w:sz w:val="20"/>
        </w:rPr>
      </w:pPr>
      <w:r>
        <w:rPr>
          <w:rFonts w:ascii="Times New Roman" w:hAnsi="Times New Roman"/>
          <w:b w:val="false"/>
          <w:color w:val="000000"/>
          <w:sz w:val="20"/>
        </w:rPr>
        <w:t>The Common Stock issued upon conversion of the shares of Rotor Class B Common Stock held by certain stockholders, including the Sponsor (the “Founder Shares”), represented approximately 4.1% of our Common Stock outstanding as of September 30, 2023. The applicable lock-up periods for the Common Stock held by the Rotor Restricted Stockholders have expired.</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On April 25, 2022, we issued 1.8 million shares of our Common Stock (the “Consideration Shares”), which represented approximately 6.9% of our Common Stock outstanding as of September 30, 2023, and assumed certain outstanding options to acquire RE2 common stock which, following such assumption, represent rights to acquire 0.6 million shares of our Common Stock (the “Assumed Options” and together with the Consideration Shares, the “RE2 Shares”) in connection with our acquisition of RE2. RE2 securityholders who were RE2 employees and became our employees on such date received in the aggregate 1.2 million Consideration Shares, in addition to the Assumed Options, and entered into lock-up agreements (the “RE2 Lock-up Agreements”). The applicable lock-up periods for the RE2 Shares have fully expired.</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Shares originally issued to PIPE Investors (as defined in Note 1 to our condensed consolidated financial statements included in this Report) represented approximately 14.2% of our Common Stock outstanding as of September 30, 2023. These shares are not subject to any lock-up.</w:t>
      </w:r>
    </w:p>
    <w:p>
      <w:pPr>
        <w:pStyle w:val="TextBody"/>
        <w:bidi w:val="0"/>
        <w:jc w:val="both"/>
        <w:rPr>
          <w:rFonts w:ascii="Times New Roman" w:hAnsi="Times New Roman"/>
          <w:b/>
          <w:i/>
          <w:color w:val="000000"/>
          <w:sz w:val="20"/>
        </w:rPr>
      </w:pPr>
      <w:r>
        <w:rPr>
          <w:rFonts w:ascii="Times New Roman" w:hAnsi="Times New Roman"/>
          <w:b/>
          <w:i/>
          <w:color w:val="000000"/>
          <w:sz w:val="20"/>
        </w:rPr>
        <w:t>The price of our Common Stock could decline due to the large number of shares of our Common Stock being subject to employee equity awards.</w:t>
      </w:r>
    </w:p>
    <w:p>
      <w:pPr>
        <w:pStyle w:val="TextBody"/>
        <w:bidi w:val="0"/>
        <w:jc w:val="both"/>
        <w:rPr>
          <w:rFonts w:ascii="Times New Roman" w:hAnsi="Times New Roman"/>
          <w:sz w:val="20"/>
        </w:rPr>
      </w:pPr>
      <w:r>
        <w:rPr>
          <w:rFonts w:ascii="Times New Roman" w:hAnsi="Times New Roman"/>
          <w:b w:val="false"/>
          <w:color w:val="000000"/>
          <w:sz w:val="20"/>
        </w:rPr>
        <w:t>We have granted and expect to continue to grant equity awards to our directors and employees as additional compensation in an effort to align their interests with those of our stockholders. Because awards granted to certain executive officers and directors may be scheduled to vest during specified points in time, such as expected open trading windows under our insider trading policy, there is a potential that sales of large amounts of our Common Stock may take place during concentrated periods, leading to a decline in the price of our Common Stock.</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color w:val="000000"/>
        </w:rPr>
      </w:pPr>
      <w:r>
        <w:rPr>
          <w:color w:val="000000"/>
        </w:rPr>
        <w:t>“</w:t>
      </w:r>
      <w:r>
        <w:rPr>
          <w:rFonts w:ascii="Times New Roman" w:hAnsi="Times New Roman"/>
          <w:b w:val="false"/>
          <w:color w:val="000000"/>
          <w:sz w:val="20"/>
        </w:rPr>
        <w:t>Sell-to-cover” transactions can be used in connection with the vesting and settlement of equity awards that are granted to our employees so that shares of our Common Stock are sold on behalf of our employees in an amount sufficient to cover the tax withholding obligations and, if applicable, exercise price associated with these awards. As a result of these transactions, a significant number of shares of our Common Stock may be sold over a limited time period in connection with significant vesting events. We may also settle tax withholding obligations in connection with vesting of awards through “net settlement,” in which we remit cash to satisfy the tax withholding obligation and withhold a number of the vested shares on each vesting date. Depending on the fair value of our Common Stock and the number of awards vesting on any applicable vesting date, such net settlement could require us to expend substantial funds to satisfy tax withholding.</w:t>
      </w:r>
    </w:p>
    <w:p>
      <w:pPr>
        <w:pStyle w:val="TextBody"/>
        <w:bidi w:val="0"/>
        <w:jc w:val="both"/>
        <w:rPr>
          <w:rFonts w:ascii="Times New Roman" w:hAnsi="Times New Roman"/>
          <w:b/>
          <w:i/>
          <w:color w:val="000000"/>
          <w:sz w:val="20"/>
        </w:rPr>
      </w:pPr>
      <w:r>
        <w:rPr>
          <w:rFonts w:ascii="Times New Roman" w:hAnsi="Times New Roman"/>
          <w:b/>
          <w:i/>
          <w:color w:val="000000"/>
          <w:sz w:val="20"/>
        </w:rPr>
        <w:t>The markets for our Common Stock and Warrants have been volatile and may not continue at all.</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Since the Business Combination and the commencement of the trading of our Common Stock and Warrants on the Nasdaq Global Market, the prices of our Common Stock and Warrants have been volatile and may continue to fluctuate significantly due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Factors affecting the trading price of our securities may include:</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actual or anticipated fluctuations in our quarterly financial results or the quarterly financial results of companies perceived to be similar to us;</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changes in the market’s expectations about our operating results;</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public’s reaction to our press releases, our other public announcements and our filings with the SEC;</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changes in strategy or financial condition;</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speculation in the press or investment community;</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success of competitors;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our operating results failing to meet the expectation of securities analysts or investors in a particular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changes in operating performance and stock market valuations of robotics software or other technology companies, or those in our industry in particular;</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changes in financial estimates and recommendations by securities analysts concerning our company or the market in general;</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operating and stock price performance of other companies that investors deem comparable to us;</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ability to market, sell and deliver our AI/ML software platform on a timely basis;</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changes in laws and regulations affecting our business;</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commencement of, or involvement in, litigation;</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changes in our capital structure, such as future issuances of securities or the incurrence of additional debt;</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b w:val="false"/>
          <w:color w:val="000000"/>
          <w:sz w:val="20"/>
        </w:rPr>
        <w:t>the volume of shares of the Common Stock and Public Warrants available for public sale, including as a result of the release of shares of our Common Stock from lock-up provisions (see "</w:t>
      </w:r>
      <w:r>
        <w:rPr>
          <w:rFonts w:ascii="Times New Roman" w:hAnsi="Times New Roman"/>
          <w:b w:val="false"/>
          <w:i/>
          <w:color w:val="000000"/>
          <w:sz w:val="20"/>
        </w:rPr>
        <w:t>Resales of the shares of Common Stock issued in connection with the Business Combination and our acquisition of RE2 could depress the market price of our Common Stock.</w:t>
      </w:r>
      <w:r>
        <w:rPr>
          <w:rFonts w:ascii="Times New Roman" w:hAnsi="Times New Roman"/>
          <w:b w:val="false"/>
          <w:color w:val="000000"/>
          <w:sz w:val="20"/>
        </w:rPr>
        <w:t>") or after exercise of any of our Warrants or the exercise or vesting of employee equity awards;</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any major change in our board of directors or management;</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sales of substantial amounts of Common Stock by our directors, officers or significant stockholders or the perception that such sales could occur;</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realization of any of the risk factors discussed herein;</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additions or departures of key personnel;</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b w:val="false"/>
          <w:color w:val="000000"/>
          <w:sz w:val="20"/>
        </w:rPr>
        <w:t xml:space="preserve">failure to comply with Nasdaq listing requirements (see </w:t>
      </w:r>
      <w:r>
        <w:rPr>
          <w:color w:val="000000"/>
        </w:rPr>
        <w:t>“</w:t>
      </w:r>
      <w:r>
        <w:rPr>
          <w:rFonts w:ascii="Times New Roman" w:hAnsi="Times New Roman"/>
          <w:b w:val="false"/>
          <w:i/>
          <w:color w:val="000000"/>
          <w:sz w:val="20"/>
        </w:rPr>
        <w:t>Our Common Stock may be delisted from The Nasdaq Global Market if we cannot satisfy Nasdaq’s continued listing requirements”</w:t>
      </w:r>
      <w:r>
        <w:rPr>
          <w:rFonts w:ascii="Times New Roman" w:hAnsi="Times New Roman"/>
          <w:b w:val="false"/>
          <w:color w:val="000000"/>
          <w:sz w:val="20"/>
        </w:rPr>
        <w:t>);</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failure to comply with the Sarbanes-Oxley Act of 2002 or other laws or regulations;</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actual, potential or perceived control, accounting or reporting problems;</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changes in accounting principles, policies and guidelines;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general economic and political conditions such as recessions, interest rates, fuel prices, international currency fluctuations and acts of war or terrorism.</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Broad market and industry factors may materially harm the market price of our securities irrespective of our operating performance or any of the factors listed above. The securities markets in general have experienced price and volume fluctuations that have often been unrelated or disproportionate to the operating performance of the particular companies affected. The trading prices and valuations of these securities, including our securities, are not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Additionally, an active trading market for our securities may not be sustained. If our Common Stock or Warrants become delisted from Nasdaq for any reason and are quoted on the OTC Bulletin Board or OTC Pink, an inter-dealer automated quotation system for equity securities that is not a national securities exchange, the liquidity of our Common Stock or Warrants may be more limited and the price of the securities may be lower than if we were quoted or listed on Nasdaq or another national securities exchange. If an active trading market for our securities is not sustained with sufficient trading volume, you may have limited or no ability to sell your securities.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pStyle w:val="TextBody"/>
        <w:bidi w:val="0"/>
        <w:jc w:val="both"/>
        <w:rPr>
          <w:rFonts w:ascii="Times New Roman" w:hAnsi="Times New Roman"/>
          <w:b/>
          <w:i/>
          <w:color w:val="000000"/>
          <w:sz w:val="20"/>
        </w:rPr>
      </w:pPr>
      <w:r>
        <w:rPr>
          <w:rFonts w:ascii="Times New Roman" w:hAnsi="Times New Roman"/>
          <w:b/>
          <w:i/>
          <w:color w:val="000000"/>
          <w:sz w:val="20"/>
        </w:rPr>
        <w:t>Our Common Stock may be delisted from The Nasdaq Global Market if we cannot satisfy Nasdaq’s continued listing requirements.</w:t>
      </w:r>
    </w:p>
    <w:p>
      <w:pPr>
        <w:pStyle w:val="TextBody"/>
        <w:bidi w:val="0"/>
        <w:jc w:val="both"/>
        <w:rPr>
          <w:rFonts w:ascii="Times New Roman" w:hAnsi="Times New Roman"/>
          <w:sz w:val="20"/>
        </w:rPr>
      </w:pPr>
      <w:r>
        <w:rPr>
          <w:rFonts w:ascii="Times New Roman" w:hAnsi="Times New Roman"/>
          <w:b w:val="false"/>
          <w:color w:val="000000"/>
          <w:sz w:val="20"/>
        </w:rPr>
        <w:t>Our listing on the Nasdaq Global Market is contingent upon meeting all the continued listing requirements of the Nasdaq Global Market, including Nasdaq Marketplace Rule 5450(b)(2)(C), which requires listed companies to maintain a $15 million minimum market value of publicly held shares (the “Minimum Market Value Requirement”), and Nasdaq Listing Rule 5450(a)(1), which requires listed securities to maintain a minimum bid price of $1.00 per share (the “Minimum Bid Price Requirement”).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On October 24, 2023, we received written notice from the Listing Qualifications Department of Nasdaq notifying us that, based on the closing bid price of our Common Stock for the previous 30 consecutive business days, we no longer comply with the minimum bid price requirement for continued listing on The Nasdaq Global Market. The deficiency notice has no immediate effect on the listing of our Common Stock on The Nasdaq Global Market. Pursuant to Nasdaq Listing Rule 5810(c)(3)(A), we have been provided an initial compliance period of 180 calendar days to regain compliance with the Minimum Bid Price Requirement. To regain compliance, the closing bid price of our Common Stock must be at least $1.00 per share for a minimum of 10 consecutive business days by April 22, 2024, and we must otherwise satisfy The Nasdaq Global Market’s requirements for listing. If we do not regain compliance by April 22, 2024, we may be eligible for an additional 180 calendar day compliance period if we elect (and meet the listing standards) to transfer to The Nasdaq Capital Market to take advantage of the additional compliance period offered on that market, unless it does not appear to Nasdaq that it is possible for us to cure the deficiency. To qualify, we would be required, among other things, to meet the continued listing requirement for market value of publicly held shares as well as all other standards for initial listing on The Nasdaq Capital Market, with the exception of the Minimum Bid Price Requirement, and would need to provide written notice to Nasdaq of our intention to cure the bid price deficiency during the second compliance period. If it does not appear to Nasdaq that it is possible for us to cure the deficiency, or if we do not regain compliance within the allotted compliance period(s), including any extensions that may be granted by Nasdaq, Nasdaq will provide notice that our Common Stock will be subject to delisting. We would then be entitled to appeal Nasdaq’s determination, but there can be no assurance that such appeal would be successful.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Nasdaq Listing Rule 5810(c)(3)(D) provides that a failure to meet the Minimum Market Value Requirement exists if the deficiency continues for a period of 30 consecutive business days. We do not currently maintain $15 million minimum market value of publicly</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held shares, and may receive a deficiency notice from Nasdaq. If we receive a deficiency notice from Nasdaq, in order for us to regain compliance with the Minimum Market Value Requirement, the market value of our publicly held shares must be $15 million or more for a minimum of 10 consecutive business days within the applicable Nasdaq compliance period(s).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intend to monitor the closing bid price of our Common Stock and consider available options to resolve the noncompliance with the Minimum Bid Price Requirement, which could include seeking to effect a reverse stock split. While we plan to review all available options, we may not be able to regain compliance with the Minimum Bid Price Requirement or otherwise be in compliance with other Nasdaq listing criteria. We also intend to monitor our compliance with the Minimum Market Value Requirement and may take any actions in response to a deficiency notice, if one is received. However, any such actions may not be sufficient to regain compliance. A delisting of our Common Stock from Nasdaq could materially reduce the liquidity of our Common Stock, impairing your ability to sell or purchase shares of our Common Stock when you wish to do so, and could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and employees. In the event of a delisting, any action taken by us to restore compliance with listing requirements may not be sufficient to allow the Common Stock to become listed again, stabilize the market price or improve the liquidity of our Common Stock, prevent our Common Stock from dropping below the Nasdaq minimum bid price requirement or prevent future non-compliance with Nasdaq’s listing requirements.</w:t>
      </w:r>
    </w:p>
    <w:p>
      <w:pPr>
        <w:pStyle w:val="TextBody"/>
        <w:bidi w:val="0"/>
        <w:jc w:val="both"/>
        <w:rPr>
          <w:rFonts w:ascii="Times New Roman" w:hAnsi="Times New Roman"/>
          <w:sz w:val="20"/>
        </w:rPr>
      </w:pPr>
      <w:r>
        <w:rPr>
          <w:rFonts w:ascii="Times New Roman" w:hAnsi="Times New Roman"/>
          <w:b/>
          <w:i/>
          <w:color w:val="000000"/>
          <w:sz w:val="20"/>
        </w:rPr>
        <w:t>If securities or industry analysts cease publishing research or reports about us, our business or our market, or if they change their recommendations regarding our Common Stock, then the price and trading volume of our Common Stock could decline</w:t>
      </w:r>
      <w:r>
        <w:rPr>
          <w:rFonts w:ascii="Times New Roman" w:hAnsi="Times New Roman"/>
          <w:b w:val="false"/>
          <w:i/>
          <w:color w:val="000000"/>
          <w:sz w:val="2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trading markets for our Common Stock and Warrants will be influenced by the research and reports that industry or securities analysts may publish about us, our business, our market or our competitors. If any of the analysts who cover us now or in the future change their recommendation regarding our stock adversely, or provide more favorable relative recommendations about our competitors, the price of our Common Stock and Public Warrants would likely decline. If any analyst covering our company now or in the future were to cease coverage of us or fail to regularly publish reports on us, we could lose visibility in the financial markets, which could cause the prices and trading volumes of the Common Stock and Public Warrants to decline.</w:t>
      </w:r>
    </w:p>
    <w:p>
      <w:pPr>
        <w:pStyle w:val="TextBody"/>
        <w:bidi w:val="0"/>
        <w:jc w:val="both"/>
        <w:rPr>
          <w:rFonts w:ascii="Times New Roman" w:hAnsi="Times New Roman"/>
          <w:sz w:val="20"/>
        </w:rPr>
      </w:pPr>
      <w:r>
        <w:rPr>
          <w:rFonts w:ascii="Times New Roman" w:hAnsi="Times New Roman"/>
          <w:b/>
          <w:i/>
          <w:color w:val="000000"/>
          <w:sz w:val="20"/>
        </w:rPr>
        <w:t>There is no guarantee that the Public Warrants or Private Placement Warrants will ever be in the money, and they may expire worthless.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The exercise price of our Warrants is higher than is typical with many companies that have merged with similar blank check companies in the past. Historically, with regard to units offered by blank check companies, the exercise price of a Warrant was generally a fraction of the purchase price of the units in the initial public offering. The exercise price for our Warrants is $69.00 per share of Common Stock. There is no guarantee that the Warrants will ever be in the money prior to their expiration, and as such, the Warrants may expire worthless.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i/>
          <w:color w:val="000000"/>
          <w:sz w:val="20"/>
        </w:rPr>
        <w:t>We may redeem unexpired Warrants prior to their exercise at a time that is disadvantageous to Warrant holders, thereby making their Warrants worthless</w:t>
      </w:r>
      <w:r>
        <w:rPr>
          <w:rFonts w:ascii="Times New Roman" w:hAnsi="Times New Roman"/>
          <w:b w:val="false"/>
          <w:i/>
          <w:color w:val="000000"/>
          <w:sz w:val="20"/>
        </w:rPr>
        <w:t>.</w:t>
      </w:r>
    </w:p>
    <w:p>
      <w:pPr>
        <w:pStyle w:val="TextBody"/>
        <w:bidi w:val="0"/>
        <w:jc w:val="both"/>
        <w:rPr>
          <w:rFonts w:ascii="Times New Roman" w:hAnsi="Times New Roman"/>
          <w:sz w:val="20"/>
        </w:rPr>
      </w:pPr>
      <w:r>
        <w:rPr>
          <w:rFonts w:ascii="Times New Roman" w:hAnsi="Times New Roman"/>
          <w:b w:val="false"/>
          <w:color w:val="000000"/>
          <w:sz w:val="20"/>
        </w:rPr>
        <w:t>We have the ability to redeem outstanding Warrants at any time after they become exercisable and prior to their expiration, subject to certain exceptions, provided that the last reported sales price of our Common Stock equals or exceeds $60.00 per share (as adjusted for stock splits, stock dividends, reorganizations, recapitalization and the like) for any 20 trading days within a 30 trading-day period ending on the third trading day prior to the date on which we give proper notice of such redemption to the Warrant holders and provided certain other conditions are met. For additional information on the circumstances in which the Public Warrants may be redeemed, see "</w:t>
      </w:r>
      <w:r>
        <w:rPr>
          <w:rFonts w:ascii="Times New Roman" w:hAnsi="Times New Roman"/>
          <w:b w:val="false"/>
          <w:i/>
          <w:color w:val="000000"/>
          <w:sz w:val="20"/>
        </w:rPr>
        <w:t>Description of Securities—Warrants—Public Stockholders’ Warrants</w:t>
      </w:r>
      <w:r>
        <w:rPr>
          <w:rFonts w:ascii="Times New Roman" w:hAnsi="Times New Roman"/>
          <w:b w:val="false"/>
          <w:color w:val="000000"/>
          <w:sz w:val="20"/>
        </w:rPr>
        <w:t>" in our prospectus filed with the SEC on April 6, 2022. If and when the Warrants become redeemable by us, we may exercise our redemption right even if we are unable to register or qualify the underlying securities for sale under all applicable state securities laws. Redemption of the outstanding Warrants could force the Warrant holders (i) to exercise their Warrants and pay the exercise price therefor at a time when it may be disadvantageous for them to do so, (ii) to sell their Warrants at the then-current market price when they might otherwise wish to hold their Warrants or (iii) to accept the nominal redemption price which, at the time the outstanding Warrants are called for redemption, is likely to be substantially less than the market value of their Warrants. None of the Private Placement Warrants will be redeemable by us so long as they are held by the initial purchasers or their permitted transferees, subject to certain exceptions.</w:t>
      </w:r>
    </w:p>
    <w:p>
      <w:pPr>
        <w:pStyle w:val="TextBody"/>
        <w:bidi w:val="0"/>
        <w:jc w:val="both"/>
        <w:rPr>
          <w:rFonts w:ascii="Times New Roman" w:hAnsi="Times New Roman"/>
          <w:sz w:val="20"/>
        </w:rPr>
      </w:pPr>
      <w:r>
        <w:rPr>
          <w:rFonts w:ascii="Times New Roman" w:hAnsi="Times New Roman"/>
          <w:b/>
          <w:i/>
          <w:color w:val="000000"/>
          <w:sz w:val="20"/>
        </w:rPr>
        <w:t>Warrants are exercisable for Common Stock, and their exercise would increase the number of shares eligible for future resale in the public market and result in dilution to our stockholders</w:t>
      </w:r>
      <w:r>
        <w:rPr>
          <w:rFonts w:ascii="Times New Roman" w:hAnsi="Times New Roman"/>
          <w:b w:val="false"/>
          <w:i/>
          <w:color w:val="000000"/>
          <w:sz w:val="20"/>
        </w:rPr>
        <w:t>.</w:t>
      </w:r>
    </w:p>
    <w:p>
      <w:pPr>
        <w:pStyle w:val="TextBody"/>
        <w:bidi w:val="0"/>
        <w:jc w:val="both"/>
        <w:rPr>
          <w:rFonts w:ascii="Times New Roman" w:hAnsi="Times New Roman"/>
          <w:sz w:val="20"/>
        </w:rPr>
      </w:pPr>
      <w:r>
        <w:rPr>
          <w:rFonts w:ascii="Times New Roman" w:hAnsi="Times New Roman"/>
          <w:b w:val="false"/>
          <w:color w:val="000000"/>
          <w:sz w:val="20"/>
        </w:rPr>
        <w:t>As of September 30, 2023, we had outstanding Public Warrants to purchase approximately 2,527,697 shares of Common Stock at $11.50 per warrant and Private Placement Warrants to purchase 897,212 shares at $11.50 per warrant. Upon exercise, the exercise price of the Public Warrants and Private Placement Warrants and the number of shares of Common Stock issuable shall be adjusted in the same ratio as the reverse stock split that was effective as of July 5, 2023, or 1-for-6. The shares of Common Stock issued upon exercise of our</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Public Warrants.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Private Placement Warrants are identical to the Public Warrants except that, so long as they are held by the initial purchasers or their permitted transferees, (i) they will not be redeemable by us subject to certain exceptions, (ii) they may be exercised by the holders on a cashless basis and (iii) they are subject to registration rights.</w:t>
      </w:r>
    </w:p>
    <w:p>
      <w:pPr>
        <w:pStyle w:val="TextBody"/>
        <w:bidi w:val="0"/>
        <w:jc w:val="both"/>
        <w:rPr>
          <w:rFonts w:ascii="Times New Roman" w:hAnsi="Times New Roman"/>
          <w:sz w:val="20"/>
        </w:rPr>
      </w:pPr>
      <w:r>
        <w:rPr>
          <w:rFonts w:ascii="Times New Roman" w:hAnsi="Times New Roman"/>
          <w:b/>
          <w:i/>
          <w:color w:val="000000"/>
          <w:sz w:val="20"/>
        </w:rPr>
        <w:t>Anti-takeover provisions contained in our Charter and Bylaws, as well as provisions of Delaware law, could impair a takeover attempt, which could limit the price investors might be willing to pay in the future for our Common Stock</w:t>
      </w:r>
      <w:r>
        <w:rPr>
          <w:rFonts w:ascii="Times New Roman" w:hAnsi="Times New Roman"/>
          <w:b w:val="false"/>
          <w:i/>
          <w:color w:val="000000"/>
          <w:sz w:val="2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Charter and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 prohibition on stockholder action by written consent, which forces stockholder action to be taken at an annual or special meeting of our stockholders;</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only the board of directors (pursuant to a majority vote of the whole board), the chairperson of the board of directors, or the Chief Executive Officer may call a special meeting;</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stockholder vote of at least 66-2/3% required to remove a director for “cause”;</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stockholder vote of at least 66-2/3% required to approve certain amendments to the Charter and Bylaws;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designation of Delaware and federal courts as the exclusive forums for certain disputes.</w:t>
      </w:r>
    </w:p>
    <w:p>
      <w:pPr>
        <w:pStyle w:val="TextBody"/>
        <w:bidi w:val="0"/>
        <w:jc w:val="both"/>
        <w:rPr>
          <w:rFonts w:ascii="Times New Roman" w:hAnsi="Times New Roman"/>
          <w:b/>
          <w:i/>
          <w:color w:val="000000"/>
          <w:sz w:val="20"/>
        </w:rPr>
      </w:pPr>
      <w:r>
        <w:rPr>
          <w:rFonts w:ascii="Times New Roman" w:hAnsi="Times New Roman"/>
          <w:b/>
          <w:i/>
          <w:color w:val="000000"/>
          <w:sz w:val="20"/>
        </w:rPr>
        <w:t>Our Bylaws provide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Our Bylaws provide, to the fullest extent permitted by law, that internal corporate claims may be brought only in the Court of Chancery in the State of Delaware (or, if the Court of Chancery does not have, or declines to accept, jurisdiction, another state court or a federal court located within the State of Delaware). In addition, our Bylaws provide that the federal district courts of the United States will be the exclusive forum for resolving any complaint asserting a cause of action arising under the Securities Act. This forum selection provision will not apply to claims brought to enforce a duty or liability created by the Exchange Act. Any person or entity purchasing or otherwise acquiring or holding any interest in our stock shall be deemed to have notice of and consented to the forum provision in our Bylaws.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w:t>
      </w:r>
    </w:p>
    <w:p>
      <w:pPr>
        <w:pStyle w:val="TextBody"/>
        <w:bidi w:val="0"/>
        <w:jc w:val="both"/>
        <w:rPr>
          <w:rFonts w:ascii="Times New Roman" w:hAnsi="Times New Roman"/>
          <w:sz w:val="20"/>
        </w:rPr>
      </w:pPr>
      <w:r>
        <w:rPr>
          <w:rFonts w:ascii="Times New Roman" w:hAnsi="Times New Roman"/>
          <w:b/>
          <w:i/>
          <w:color w:val="000000"/>
          <w:sz w:val="20"/>
        </w:rPr>
        <w:t>The JOBS Act permits “emerging growth companies” like us to take advantage of certain exemptions from various reporting requirements applicable to other public companies that are not emerging growth companies</w:t>
      </w:r>
      <w:r>
        <w:rPr>
          <w:rFonts w:ascii="Times New Roman" w:hAnsi="Times New Roman"/>
          <w:b w:val="false"/>
          <w:i/>
          <w:color w:val="000000"/>
          <w:sz w:val="20"/>
        </w:rPr>
        <w:t>.</w:t>
      </w:r>
    </w:p>
    <w:p>
      <w:pPr>
        <w:pStyle w:val="TextBody"/>
        <w:bidi w:val="0"/>
        <w:jc w:val="both"/>
        <w:rPr>
          <w:rFonts w:ascii="Times New Roman" w:hAnsi="Times New Roman"/>
          <w:sz w:val="20"/>
        </w:rPr>
      </w:pPr>
      <w:r>
        <w:rPr>
          <w:rFonts w:ascii="Times New Roman" w:hAnsi="Times New Roman"/>
          <w:b w:val="false"/>
          <w:color w:val="000000"/>
          <w:sz w:val="20"/>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January 20, 2026, the fifth anniversary of Rotor’s initial public offering, (b) in which we have total annual</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gross revenue of at least $1.235 billion or (c) in which we are deemed to be a large accelerated filer, which means the market value of our Common Stock and Public Warrants that is held by non-affiliates exceeds $700 million as of the last business day of our prior second fiscal quarter, and (ii) the date on which we have issued more than $1.0 billion in non-convertible debt during the prior three-year period.</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Investors may find our Common Stock or Public Warrants less attractive because we rely on these exemptions and may continue to rely on them to the extent they remain available to us. If some investors find our Common Stock or Public Warrants less attractive as a result of these exemptions and reduced disclosure as an emerging growth company, there may be a less active trading market for and/or more price volatility with respect to our Common Stock or Public Warrants.</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left"/>
        <w:rPr>
          <w:rFonts w:ascii="Times New Roman" w:hAnsi="Times New Roman"/>
          <w:b/>
          <w:color w:val="000000"/>
          <w:sz w:val="20"/>
        </w:rPr>
      </w:pPr>
      <w:bookmarkStart w:id="17" w:name="item_3_defaults_upon_senior"/>
      <w:bookmarkEnd w:id="17"/>
      <w:r>
        <w:rPr>
          <w:rFonts w:ascii="Times New Roman" w:hAnsi="Times New Roman"/>
          <w:b/>
          <w:color w:val="000000"/>
          <w:sz w:val="20"/>
        </w:rPr>
        <w:t>Item 3. Defaults Upon Senior Securities.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36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360" w:after="283"/>
        <w:jc w:val="left"/>
        <w:rPr>
          <w:rFonts w:ascii="Times New Roman" w:hAnsi="Times New Roman"/>
          <w:sz w:val="20"/>
        </w:rPr>
      </w:pPr>
      <w:bookmarkStart w:id="19" w:name="item_5_othe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val="false"/>
          <w:color w:val="000000"/>
          <w:sz w:val="20"/>
        </w:rPr>
        <w:t>During our last fiscal quarter, no director or officer, as defined in Rule 16a-1(f), adopted or terminated a “Rule 10b5-1 trading arrangement” or a “non-Rule 10b5-1 trading arrangement,” each as defined in Regulation S-K Item 408.</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20" w:name="item_6_exhibits"/>
      <w:bookmarkEnd w:id="20"/>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7"/>
        <w:gridCol w:w="146"/>
        <w:gridCol w:w="9292"/>
      </w:tblGrid>
      <w:tr>
        <w:trPr/>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2" w:type="dxa"/>
            <w:tcBorders/>
            <w:vAlign w:val="center"/>
          </w:tcPr>
          <w:p>
            <w:pPr>
              <w:pStyle w:val="TableContents"/>
              <w:bidi w:val="0"/>
              <w:spacing w:before="0" w:after="283"/>
              <w:jc w:val="left"/>
              <w:rPr>
                <w:sz w:val="4"/>
                <w:szCs w:val="4"/>
              </w:rPr>
            </w:pPr>
            <w:r>
              <w:rPr>
                <w:sz w:val="4"/>
                <w:szCs w:val="4"/>
              </w:rPr>
            </w:r>
          </w:p>
        </w:tc>
      </w:tr>
      <w:tr>
        <w:trPr/>
        <w:tc>
          <w:tcPr>
            <w:tcW w:w="767"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b w:val="false"/>
                  <w:color w:val="0000FF"/>
                  <w:sz w:val="20"/>
                  <w:u w:val="single"/>
                </w:rPr>
                <w:t>Second Amended and Restated Certificate of Incorporation of Sarcos Technology and Robotics Corporation (incorporated by reference to Exhibit 3.1 to the Company’s Current Report on Form 8-K, filed with the SEC on September 30, 2021).</w:t>
              </w:r>
            </w:hyperlink>
          </w:p>
        </w:tc>
      </w:tr>
      <w:tr>
        <w:trPr/>
        <w:tc>
          <w:tcPr>
            <w:tcW w:w="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b w:val="false"/>
                  <w:color w:val="0000FF"/>
                  <w:sz w:val="20"/>
                  <w:u w:val="single"/>
                </w:rPr>
                <w:t>Amended and Restated Bylaws of Sarcos Technology and Robotics Corporation (incorporated by reference to Exhibit 3.1 to the Company’s Current Report on Form 8-K filed with the SEC on November 8, 2022).</w:t>
              </w:r>
            </w:hyperlink>
          </w:p>
        </w:tc>
      </w:tr>
      <w:tr>
        <w:trPr/>
        <w:tc>
          <w:tcPr>
            <w:tcW w:w="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b w:val="false"/>
                  <w:color w:val="0000FF"/>
                  <w:sz w:val="20"/>
                  <w:u w:val="single"/>
                </w:rPr>
                <w:t>Certificate of Amendment of Amended and Restated Certificate of Incorporation of Sarcos Technology and Robotics Corporation (incorporated by reference to Exhibit 3.1 to the Company’s Current Report on Form 8-K filed with the SEC on June 20, 2023).</w:t>
              </w:r>
            </w:hyperlink>
          </w:p>
        </w:tc>
      </w:tr>
      <w:tr>
        <w:trPr/>
        <w:tc>
          <w:tcPr>
            <w:tcW w:w="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b w:val="false"/>
                  <w:color w:val="0000FF"/>
                  <w:sz w:val="20"/>
                  <w:u w:val="single"/>
                </w:rPr>
                <w:t>Separation Agreement and Release, dated as of August 23, 2023, between Sarcos Technology and Robotics Corporation and Jorgen Pedersen (incorporated by reference to Exhibit 10.1 to the Company’s Current Report on Form 8-K filed with the SEC on September 1, 2023).</w:t>
              </w:r>
            </w:hyperlink>
          </w:p>
        </w:tc>
      </w:tr>
      <w:tr>
        <w:trPr/>
        <w:tc>
          <w:tcPr>
            <w:tcW w:w="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b w:val="false"/>
                  <w:color w:val="0000FF"/>
                  <w:sz w:val="20"/>
                  <w:u w:val="single"/>
                </w:rPr>
                <w:t>Separation Agreement and Release, dated as of September 25, 2023, between Sarcos Technology and Robotics Corporation and Kristi Martindale (incorporated by reference to Exhibit 10.1 to the Company’s Current Report on Form 8-K filed with the SEC on October 4, 2023).</w:t>
              </w:r>
            </w:hyperlink>
          </w:p>
        </w:tc>
      </w:tr>
      <w:tr>
        <w:trPr/>
        <w:tc>
          <w:tcPr>
            <w:tcW w:w="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rc-ex31_1.htm">
              <w:r>
                <w:rPr>
                  <w:rStyle w:val="InternetLink"/>
                  <w:rFonts w:ascii="Times New Roman" w:hAnsi="Times New Roman"/>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rc-ex31_2.htm">
              <w:r>
                <w:rPr>
                  <w:rStyle w:val="InternetLink"/>
                  <w:rFonts w:ascii="Times New Roman" w:hAnsi="Times New Roman"/>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rc-ex32_1.htm">
              <w:r>
                <w:rPr>
                  <w:rStyle w:val="InternetLink"/>
                  <w:rFonts w:ascii="Times New Roman" w:hAnsi="Times New Roman"/>
                  <w:b w:val="false"/>
                  <w:color w:val="0000FF"/>
                  <w:sz w:val="20"/>
                  <w:u w:val="single"/>
                </w:rPr>
                <w:t>Certification of Principal Executive Officer Pursuant to 18 U.S.C. Section 1350, as Adopted Pursuant to Section 906 of the Sarbanes-Oxley Act of 2002.</w:t>
              </w:r>
            </w:hyperlink>
          </w:p>
        </w:tc>
      </w:tr>
      <w:tr>
        <w:trPr/>
        <w:tc>
          <w:tcPr>
            <w:tcW w:w="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rc-ex32_2.htm">
              <w:r>
                <w:rPr>
                  <w:rStyle w:val="InternetLink"/>
                  <w:rFonts w:ascii="Times New Roman" w:hAnsi="Times New Roman"/>
                  <w:b w:val="false"/>
                  <w:color w:val="0000FF"/>
                  <w:sz w:val="20"/>
                  <w:u w:val="single"/>
                </w:rPr>
                <w:t>Certification of Principal Financial Officer Pursuant to 18 U.S.C. Section 1350, as Adopted Pursuant to Section 906 of the Sarbanes-Oxley Act of 2002.</w:t>
              </w:r>
            </w:hyperlink>
          </w:p>
        </w:tc>
      </w:tr>
      <w:tr>
        <w:trPr/>
        <w:tc>
          <w:tcPr>
            <w:tcW w:w="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XBRL tags are embedded within the Inline XBRL document.</w:t>
            </w:r>
          </w:p>
        </w:tc>
      </w:tr>
      <w:tr>
        <w:trPr/>
        <w:tc>
          <w:tcPr>
            <w:tcW w:w="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r>
      <w:tr>
        <w:trPr/>
        <w:tc>
          <w:tcPr>
            <w:tcW w:w="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r>
      <w:tr>
        <w:trPr/>
        <w:tc>
          <w:tcPr>
            <w:tcW w:w="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r>
      <w:tr>
        <w:trPr/>
        <w:tc>
          <w:tcPr>
            <w:tcW w:w="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r>
      <w:tr>
        <w:trPr/>
        <w:tc>
          <w:tcPr>
            <w:tcW w:w="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Schedules and exhibits omitted pursuant to Item 601(a)(5) of Regulation S-K. The Company agrees to furnish supplementally a copy of any omitted schedule or exhibit to the SEC upon request.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Filed herewith.</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The Certifications attached as Exhibits 32.1 and 32.2 that accompany this Quarterly Report on Form 10-Q are not deemed filed with the Securities and Exchange Commission and are not to be incorporated by reference into any filing of Sarcos Technology and Robotics Corporation under the Securities Act of 1933, as amended, or the Securities Exchange Act of 1934, as amended, whether made before or after the date of this Form 10-Q, irrespective of any general incorporation language contained in such filing.</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its behalf by the undersigned thereunto duly authorized.</w:t>
      </w:r>
    </w:p>
    <w:p>
      <w:pPr>
        <w:pStyle w:val="TextBody"/>
        <w:bidi w:val="0"/>
        <w:jc w:val="left"/>
        <w:rPr/>
      </w:pPr>
      <w:r>
        <w:rPr/>
        <w:t> </w:t>
      </w:r>
    </w:p>
    <w:tbl>
      <w:tblPr>
        <w:tblW w:w="7700" w:type="dxa"/>
        <w:jc w:val="left"/>
        <w:tblInd w:w="0" w:type="dxa"/>
        <w:tblLayout w:type="fixed"/>
        <w:tblCellMar>
          <w:top w:w="28" w:type="dxa"/>
          <w:left w:w="28" w:type="dxa"/>
          <w:bottom w:w="28" w:type="dxa"/>
          <w:right w:w="28" w:type="dxa"/>
        </w:tblCellMar>
      </w:tblPr>
      <w:tblGrid>
        <w:gridCol w:w="2206"/>
        <w:gridCol w:w="109"/>
        <w:gridCol w:w="504"/>
        <w:gridCol w:w="488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88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SARCOS TECHNOLOGY AND ROBOTICS CORPORATION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48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Laura J. Peterson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Laura J. Peterson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color w:val="000000"/>
                <w:sz w:val="20"/>
              </w:rPr>
              <w:t>President and Chief Executive Officer</w:t>
            </w:r>
            <w:r>
              <w:rPr>
                <w:rFonts w:ascii="Times New Roman" w:hAnsi="Times New Roman"/>
                <w:color w:val="000000"/>
                <w:sz w:val="20"/>
              </w:rPr>
              <w:t xml:space="preserve">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48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Andrew Hamer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Andrew Hamer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bookmarkStart w:id="22" w:name="strc-ex31_1.htm"/>
      <w:bookmarkStart w:id="23" w:name="ksstrc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Laura J. Peterson, certify that: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 have reviewed this Quarterly Report on Form 10-Q of Sarcos Technology and Robotics Corporation;</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p>
    <w:p>
      <w:pPr>
        <w:pStyle w:val="TextBody"/>
        <w:bidi w:val="0"/>
        <w:jc w:val="both"/>
        <w:rPr/>
      </w:pPr>
      <w:r>
        <w:rPr/>
        <w:t> </w:t>
      </w:r>
    </w:p>
    <w:tbl>
      <w:tblPr>
        <w:tblW w:w="6052" w:type="dxa"/>
        <w:jc w:val="left"/>
        <w:tblInd w:w="0" w:type="dxa"/>
        <w:tblLayout w:type="fixed"/>
        <w:tblCellMar>
          <w:top w:w="28" w:type="dxa"/>
          <w:left w:w="28" w:type="dxa"/>
          <w:bottom w:w="28" w:type="dxa"/>
          <w:right w:w="28" w:type="dxa"/>
        </w:tblCellMar>
      </w:tblPr>
      <w:tblGrid>
        <w:gridCol w:w="2206"/>
        <w:gridCol w:w="109"/>
        <w:gridCol w:w="406"/>
        <w:gridCol w:w="33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Laura J. Peterson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Laura J. Peterson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strc-ex31_2.htm"/>
      <w:bookmarkStart w:id="25" w:name="ksstrc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 Andrew Hamer, certify that: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 have reviewed this Quarterly Report on Form 10-Q of Sarcos Technology and Robotics Corporation;</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2206"/>
        <w:gridCol w:w="109"/>
        <w:gridCol w:w="406"/>
        <w:gridCol w:w="39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Andrew Hamer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Andrew Hamer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strc-ex32_1.htm"/>
      <w:bookmarkStart w:id="27" w:name="ksstrc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connection with the Quarterly Report of Sarcos Technology and Robotics Corporation (the “Company”) on Form 10-Q for the period ending September 30, 2023 as filed with the Securities and Exchange Commission on the date hereof (the “Report”), I certify, pursuant to 18 U.S.C. § 1350, as adopted pursuant to § 906 of the Sarbanes-Oxley Act of 2002, that, to my knowledge:</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(1) The Report fully complies with the requirements of section 13(a) or 15(d), as applicable, of the Securities Exchange Act of 1934; and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6052" w:type="dxa"/>
        <w:jc w:val="left"/>
        <w:tblInd w:w="0" w:type="dxa"/>
        <w:tblLayout w:type="fixed"/>
        <w:tblCellMar>
          <w:top w:w="28" w:type="dxa"/>
          <w:left w:w="28" w:type="dxa"/>
          <w:bottom w:w="28" w:type="dxa"/>
          <w:right w:w="28" w:type="dxa"/>
        </w:tblCellMar>
      </w:tblPr>
      <w:tblGrid>
        <w:gridCol w:w="2206"/>
        <w:gridCol w:w="109"/>
        <w:gridCol w:w="406"/>
        <w:gridCol w:w="33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Laura J. Peterson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Laura J. Peterson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strc-ex32_2.htm"/>
      <w:bookmarkStart w:id="29" w:name="ksstrcex32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connection with the Quarterly Report of Sarcos Technology and Robotics Corporation (the “Company”) on Form 10-Q for the period ending September 30, 2023 as filed with the Securities and Exchange Commission on the date hereof (the “Report”), I certify, pursuant to 18 U.S.C. § 1350, as adopted pursuant to § 906 of the Sarbanes-Oxley Act of 2002, that, to my knowledge:</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(1) The Report fully complies with the requirements of section 13(a) or 15(d), as applicable, of the Securities Exchange Act of 1934; and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2206"/>
        <w:gridCol w:w="109"/>
        <w:gridCol w:w="406"/>
        <w:gridCol w:w="39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Andrew Hamer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Andrew Hamer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681/000156459021049662/strc-ex31_83.htm" TargetMode="External"/><Relationship Id="rId3" Type="http://schemas.openxmlformats.org/officeDocument/2006/relationships/hyperlink" Target="https://www.sec.gov/Archives/edgar/data/1826681/000095017022023251/strc-ex3_1.htm" TargetMode="External"/><Relationship Id="rId4" Type="http://schemas.openxmlformats.org/officeDocument/2006/relationships/hyperlink" Target="https://www.sec.gov/Archives/edgar/data/1826681/000095017023028943/strc-ex3_1.htm" TargetMode="External"/><Relationship Id="rId5" Type="http://schemas.openxmlformats.org/officeDocument/2006/relationships/hyperlink" Target="https://www.sec.gov/Archives/edgar/data/1826681/000095017023046091/strc-ex10_1.htm" TargetMode="External"/><Relationship Id="rId6" Type="http://schemas.openxmlformats.org/officeDocument/2006/relationships/hyperlink" Target="https://www.sec.gov/Archives/edgar/data/1826681/000095017023051924/strc-ex10_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44905</Words>
  <Characters>248673</Characters>
  <CharactersWithSpaces>293836</CharactersWithSpaces>
  <Paragraphs>5468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